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Look w:val="0000" w:firstRow="0" w:lastRow="0" w:firstColumn="0" w:lastColumn="0" w:noHBand="0" w:noVBand="0"/>
      </w:tblPr>
      <w:tblGrid>
        <w:gridCol w:w="1559"/>
        <w:gridCol w:w="6520"/>
        <w:gridCol w:w="993"/>
      </w:tblGrid>
      <w:tr w:rsidR="002C0D3E" w:rsidRPr="009B423C" w14:paraId="2AFA7026" w14:textId="77777777" w:rsidTr="00EF4BC7">
        <w:trPr>
          <w:trHeight w:val="850"/>
        </w:trPr>
        <w:tc>
          <w:tcPr>
            <w:tcW w:w="1559" w:type="dxa"/>
          </w:tcPr>
          <w:p w14:paraId="376FBB32" w14:textId="6BE85E09" w:rsidR="002C0D3E" w:rsidRPr="009B423C" w:rsidRDefault="002C0D3E" w:rsidP="009B423C">
            <w:pPr>
              <w:pStyle w:val="AUnitedNations"/>
              <w:rPr>
                <w:rFonts w:ascii="Times New Roman" w:eastAsia="SimHei" w:hAnsi="Times New Roman" w:cs="Times New Roman"/>
                <w:sz w:val="32"/>
                <w:szCs w:val="32"/>
              </w:rPr>
            </w:pPr>
            <w:proofErr w:type="spellStart"/>
            <w:r w:rsidRPr="009B423C">
              <w:rPr>
                <w:rFonts w:ascii="Times New Roman" w:eastAsia="SimHei" w:hAnsi="Times New Roman" w:cs="Times New Roman"/>
                <w:bCs/>
                <w:color w:val="000000"/>
                <w:sz w:val="32"/>
                <w:szCs w:val="32"/>
                <w:lang w:val="zh-CN"/>
              </w:rPr>
              <w:t>联合国</w:t>
            </w:r>
            <w:proofErr w:type="spellEnd"/>
          </w:p>
        </w:tc>
        <w:tc>
          <w:tcPr>
            <w:tcW w:w="6520" w:type="dxa"/>
          </w:tcPr>
          <w:p w14:paraId="546D2CA1" w14:textId="406FFB34" w:rsidR="002C0D3E" w:rsidRPr="009B423C" w:rsidRDefault="007C7EEB" w:rsidP="009B423C">
            <w:pPr>
              <w:pStyle w:val="Normal-pool"/>
              <w:rPr>
                <w:rFonts w:eastAsiaTheme="minorEastAsia"/>
              </w:rPr>
            </w:pPr>
            <w:r w:rsidRPr="009B423C">
              <w:rPr>
                <w:noProof/>
              </w:rPr>
              <w:drawing>
                <wp:anchor distT="0" distB="0" distL="114300" distR="114300" simplePos="0" relativeHeight="251658240" behindDoc="0" locked="0" layoutInCell="1" allowOverlap="0" wp14:anchorId="2304DADA" wp14:editId="0C4C9253">
                  <wp:simplePos x="0" y="0"/>
                  <wp:positionH relativeFrom="margin">
                    <wp:posOffset>635</wp:posOffset>
                  </wp:positionH>
                  <wp:positionV relativeFrom="paragraph">
                    <wp:posOffset>2540</wp:posOffset>
                  </wp:positionV>
                  <wp:extent cx="1306800" cy="572400"/>
                  <wp:effectExtent l="0" t="0" r="8255" b="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993" w:type="dxa"/>
          </w:tcPr>
          <w:p w14:paraId="7B55F08E" w14:textId="77777777" w:rsidR="002C0D3E" w:rsidRPr="009B423C" w:rsidRDefault="002C0D3E" w:rsidP="009B423C">
            <w:pPr>
              <w:pStyle w:val="Normal-pool"/>
              <w:rPr>
                <w:rFonts w:eastAsiaTheme="minorEastAsia"/>
              </w:rPr>
            </w:pPr>
          </w:p>
        </w:tc>
      </w:tr>
    </w:tbl>
    <w:p w14:paraId="36E9CB8C" w14:textId="77777777" w:rsidR="006533B3" w:rsidRPr="009B423C" w:rsidRDefault="006533B3" w:rsidP="009B423C">
      <w:pPr>
        <w:pStyle w:val="ASpacer"/>
        <w:rPr>
          <w:rFonts w:eastAsiaTheme="minorEastAsia"/>
        </w:rPr>
      </w:pPr>
    </w:p>
    <w:tbl>
      <w:tblPr>
        <w:tblW w:w="9072" w:type="dxa"/>
        <w:tblLook w:val="0000" w:firstRow="0" w:lastRow="0" w:firstColumn="0" w:lastColumn="0" w:noHBand="0" w:noVBand="0"/>
      </w:tblPr>
      <w:tblGrid>
        <w:gridCol w:w="6378"/>
        <w:gridCol w:w="2694"/>
      </w:tblGrid>
      <w:tr w:rsidR="009B423C" w:rsidRPr="009B2681" w14:paraId="4717732E" w14:textId="77777777" w:rsidTr="00EF4BC7">
        <w:trPr>
          <w:trHeight w:val="340"/>
        </w:trPr>
        <w:tc>
          <w:tcPr>
            <w:tcW w:w="3515" w:type="pct"/>
            <w:vAlign w:val="bottom"/>
          </w:tcPr>
          <w:p w14:paraId="0B3DE2D7" w14:textId="77777777" w:rsidR="009B423C" w:rsidRPr="009B2681" w:rsidRDefault="009B423C" w:rsidP="009F2BC4">
            <w:pPr>
              <w:pStyle w:val="Normal-pool"/>
              <w:rPr>
                <w:rFonts w:eastAsiaTheme="minorEastAsia"/>
              </w:rPr>
            </w:pPr>
          </w:p>
        </w:tc>
        <w:tc>
          <w:tcPr>
            <w:tcW w:w="1485" w:type="pct"/>
            <w:noWrap/>
            <w:vAlign w:val="bottom"/>
          </w:tcPr>
          <w:p w14:paraId="603407AD" w14:textId="77777777" w:rsidR="009B423C" w:rsidRPr="009B2681" w:rsidRDefault="009B423C" w:rsidP="009F2BC4">
            <w:pPr>
              <w:pStyle w:val="ASymbol"/>
              <w:rPr>
                <w:lang w:eastAsia="zh-CN"/>
              </w:rPr>
            </w:pPr>
            <w:r w:rsidRPr="009B2681">
              <w:rPr>
                <w:b/>
                <w:sz w:val="28"/>
              </w:rPr>
              <w:t>UNEP</w:t>
            </w:r>
            <w:r w:rsidRPr="009B2681">
              <w:t>/OzL.Pro.WG.</w:t>
            </w:r>
            <w:bookmarkStart w:id="0" w:name="Symbol1A"/>
            <w:r w:rsidRPr="009B2681">
              <w:t>1</w:t>
            </w:r>
            <w:bookmarkStart w:id="1" w:name="Symbol1B"/>
            <w:bookmarkEnd w:id="0"/>
            <w:r w:rsidRPr="009B2681">
              <w:t>/48</w:t>
            </w:r>
            <w:bookmarkStart w:id="2" w:name="Symbol1C"/>
            <w:bookmarkEnd w:id="1"/>
            <w:r w:rsidRPr="009B2681">
              <w:t>/</w:t>
            </w:r>
            <w:bookmarkEnd w:id="2"/>
            <w:r w:rsidRPr="009B2681">
              <w:t>5</w:t>
            </w:r>
          </w:p>
        </w:tc>
      </w:tr>
    </w:tbl>
    <w:p w14:paraId="3D3B5B02" w14:textId="77777777" w:rsidR="002C0D3E" w:rsidRPr="009B423C" w:rsidRDefault="002C0D3E" w:rsidP="009B423C">
      <w:pPr>
        <w:pStyle w:val="ASpacer"/>
        <w:rPr>
          <w:rFonts w:eastAsiaTheme="minorEastAsia"/>
        </w:rPr>
      </w:pPr>
    </w:p>
    <w:tbl>
      <w:tblPr>
        <w:tblW w:w="9072"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2694"/>
      </w:tblGrid>
      <w:tr w:rsidR="002C0D3E" w:rsidRPr="009B423C" w14:paraId="74D89D6D" w14:textId="77777777" w:rsidTr="00EF4BC7">
        <w:trPr>
          <w:trHeight w:val="2098"/>
        </w:trPr>
        <w:tc>
          <w:tcPr>
            <w:tcW w:w="5386" w:type="dxa"/>
          </w:tcPr>
          <w:p w14:paraId="62527042" w14:textId="55BBDD5A" w:rsidR="002C0D3E" w:rsidRPr="009B423C" w:rsidRDefault="002C0D3E" w:rsidP="009B423C">
            <w:pPr>
              <w:pStyle w:val="AConvName"/>
              <w:rPr>
                <w:rFonts w:ascii="Times New Roman" w:eastAsia="SimHei" w:hAnsi="Times New Roman"/>
                <w:sz w:val="32"/>
                <w:szCs w:val="32"/>
                <w:lang w:eastAsia="zh-CN"/>
              </w:rPr>
            </w:pPr>
            <w:r w:rsidRPr="009B423C">
              <w:rPr>
                <w:rFonts w:ascii="Times New Roman" w:eastAsia="SimHei" w:hAnsi="Times New Roman"/>
                <w:bCs/>
                <w:color w:val="000000"/>
                <w:sz w:val="32"/>
                <w:szCs w:val="32"/>
                <w:lang w:val="zh-CN" w:eastAsia="zh-CN"/>
              </w:rPr>
              <w:t>关于消耗臭氧层物质的</w:t>
            </w:r>
            <w:r w:rsidR="00B901B0" w:rsidRPr="009B423C">
              <w:rPr>
                <w:rFonts w:ascii="Times New Roman" w:eastAsia="SimHei" w:hAnsi="Times New Roman"/>
                <w:bCs/>
                <w:color w:val="000000"/>
                <w:sz w:val="32"/>
                <w:szCs w:val="32"/>
                <w:lang w:val="zh-CN" w:eastAsia="zh-CN"/>
              </w:rPr>
              <w:br/>
            </w:r>
            <w:r w:rsidRPr="009B423C">
              <w:rPr>
                <w:rFonts w:ascii="Times New Roman" w:eastAsia="SimHei" w:hAnsi="Times New Roman"/>
                <w:bCs/>
                <w:color w:val="000000"/>
                <w:sz w:val="32"/>
                <w:szCs w:val="32"/>
                <w:lang w:val="zh-CN" w:eastAsia="zh-CN"/>
              </w:rPr>
              <w:t>蒙特利尔议定书</w:t>
            </w:r>
          </w:p>
        </w:tc>
        <w:tc>
          <w:tcPr>
            <w:tcW w:w="992" w:type="dxa"/>
          </w:tcPr>
          <w:p w14:paraId="0FA972FD" w14:textId="77777777" w:rsidR="002C0D3E" w:rsidRPr="009B423C" w:rsidRDefault="002C0D3E" w:rsidP="009B423C">
            <w:pPr>
              <w:pStyle w:val="Normal-pool"/>
              <w:rPr>
                <w:rFonts w:eastAsiaTheme="minorEastAsia"/>
                <w:lang w:eastAsia="zh-CN"/>
              </w:rPr>
            </w:pPr>
          </w:p>
        </w:tc>
        <w:tc>
          <w:tcPr>
            <w:tcW w:w="2694" w:type="dxa"/>
          </w:tcPr>
          <w:p w14:paraId="1EC00397" w14:textId="6B937FCA" w:rsidR="002C0D3E" w:rsidRPr="009B423C" w:rsidRDefault="002C0D3E" w:rsidP="009B423C">
            <w:pPr>
              <w:pStyle w:val="AText"/>
              <w:rPr>
                <w:rFonts w:eastAsiaTheme="minorEastAsia"/>
              </w:rPr>
            </w:pPr>
            <w:r w:rsidRPr="009B423C">
              <w:rPr>
                <w:rFonts w:eastAsiaTheme="minorEastAsia"/>
                <w:color w:val="000000"/>
              </w:rPr>
              <w:t xml:space="preserve">Distr.: </w:t>
            </w:r>
            <w:bookmarkStart w:id="3" w:name="Distribution"/>
            <w:r w:rsidR="0009397A" w:rsidRPr="009B423C">
              <w:rPr>
                <w:rFonts w:eastAsiaTheme="minorEastAsia"/>
                <w:color w:val="000000"/>
              </w:rPr>
              <w:t>General</w:t>
            </w:r>
            <w:bookmarkEnd w:id="3"/>
          </w:p>
          <w:p w14:paraId="0FEFDCD5" w14:textId="6C7D4982" w:rsidR="002C0D3E" w:rsidRPr="009B423C" w:rsidRDefault="00D757D4" w:rsidP="009B423C">
            <w:pPr>
              <w:pStyle w:val="AText0"/>
              <w:rPr>
                <w:rFonts w:eastAsiaTheme="minorEastAsia"/>
              </w:rPr>
            </w:pPr>
            <w:bookmarkStart w:id="4" w:name="DistributionDate"/>
            <w:r w:rsidRPr="009B423C">
              <w:rPr>
                <w:color w:val="000000"/>
              </w:rPr>
              <w:t>21 July 2026</w:t>
            </w:r>
            <w:bookmarkEnd w:id="4"/>
          </w:p>
          <w:p w14:paraId="72AD13AC" w14:textId="1E83E17B" w:rsidR="002C0D3E" w:rsidRPr="009B423C" w:rsidRDefault="00B901B0" w:rsidP="009B423C">
            <w:pPr>
              <w:pStyle w:val="AText"/>
              <w:rPr>
                <w:rFonts w:eastAsiaTheme="minorEastAsia"/>
              </w:rPr>
            </w:pPr>
            <w:bookmarkStart w:id="5" w:name="DistributionLang"/>
            <w:r w:rsidRPr="009B423C">
              <w:rPr>
                <w:rFonts w:eastAsiaTheme="minorEastAsia" w:hint="eastAsia"/>
                <w:color w:val="000000"/>
                <w:lang w:eastAsia="zh-CN"/>
              </w:rPr>
              <w:t>Chinese</w:t>
            </w:r>
            <w:r w:rsidR="00734141">
              <w:rPr>
                <w:rFonts w:eastAsiaTheme="minorEastAsia" w:hint="eastAsia"/>
                <w:color w:val="000000"/>
                <w:lang w:eastAsia="zh-CN"/>
              </w:rPr>
              <w:t xml:space="preserve"> </w:t>
            </w:r>
            <w:r w:rsidRPr="009B423C">
              <w:rPr>
                <w:rFonts w:eastAsiaTheme="minorEastAsia"/>
                <w:color w:val="000000"/>
                <w:lang w:eastAsia="zh-CN"/>
              </w:rPr>
              <w:br/>
            </w:r>
            <w:r w:rsidR="002C0D3E" w:rsidRPr="009B423C">
              <w:rPr>
                <w:rFonts w:eastAsiaTheme="minorEastAsia"/>
                <w:color w:val="000000"/>
              </w:rPr>
              <w:t>Original: English</w:t>
            </w:r>
            <w:bookmarkEnd w:id="5"/>
          </w:p>
        </w:tc>
      </w:tr>
    </w:tbl>
    <w:p w14:paraId="4DE77972" w14:textId="77777777" w:rsidR="002C0D3E" w:rsidRPr="009B423C" w:rsidRDefault="002C0D3E" w:rsidP="009B423C">
      <w:pPr>
        <w:pStyle w:val="ASpacer"/>
        <w:rPr>
          <w:rFonts w:eastAsiaTheme="minorEastAsia"/>
        </w:rPr>
      </w:pPr>
    </w:p>
    <w:tbl>
      <w:tblPr>
        <w:tblW w:w="9072" w:type="dxa"/>
        <w:tblLayout w:type="fixed"/>
        <w:tblCellMar>
          <w:left w:w="0" w:type="dxa"/>
          <w:right w:w="0" w:type="dxa"/>
        </w:tblCellMar>
        <w:tblLook w:val="0000" w:firstRow="0" w:lastRow="0" w:firstColumn="0" w:lastColumn="0" w:noHBand="0" w:noVBand="0"/>
      </w:tblPr>
      <w:tblGrid>
        <w:gridCol w:w="5301"/>
        <w:gridCol w:w="3771"/>
      </w:tblGrid>
      <w:tr w:rsidR="002C0D3E" w:rsidRPr="009B423C" w14:paraId="7395EBBE" w14:textId="77777777" w:rsidTr="001E3333">
        <w:trPr>
          <w:trHeight w:val="57"/>
        </w:trPr>
        <w:tc>
          <w:tcPr>
            <w:tcW w:w="5301" w:type="dxa"/>
          </w:tcPr>
          <w:p w14:paraId="1007086E" w14:textId="25226BEB" w:rsidR="002C0D3E" w:rsidRPr="009B423C" w:rsidRDefault="002C0D3E" w:rsidP="009B423C">
            <w:pPr>
              <w:pStyle w:val="AATitle"/>
              <w:rPr>
                <w:rFonts w:eastAsia="SimHei"/>
                <w:sz w:val="24"/>
                <w:szCs w:val="24"/>
                <w:lang w:eastAsia="zh-CN"/>
              </w:rPr>
            </w:pPr>
            <w:bookmarkStart w:id="6" w:name="CorNot1Text"/>
            <w:r w:rsidRPr="009B423C">
              <w:rPr>
                <w:rFonts w:eastAsia="SimHei"/>
                <w:bCs/>
                <w:color w:val="000000"/>
                <w:sz w:val="24"/>
                <w:szCs w:val="24"/>
                <w:lang w:val="zh-CN" w:eastAsia="zh-CN"/>
              </w:rPr>
              <w:t>关于消耗臭氧层物质的蒙特利尔议定书</w:t>
            </w:r>
            <w:r w:rsidR="007C7EEB" w:rsidRPr="009B423C">
              <w:rPr>
                <w:rFonts w:eastAsia="SimHei"/>
                <w:bCs/>
                <w:color w:val="000000"/>
                <w:sz w:val="24"/>
                <w:szCs w:val="24"/>
                <w:lang w:val="zh-CN" w:eastAsia="zh-CN"/>
              </w:rPr>
              <w:br/>
            </w:r>
            <w:r w:rsidRPr="009B423C">
              <w:rPr>
                <w:rFonts w:eastAsia="SimHei"/>
                <w:bCs/>
                <w:color w:val="000000"/>
                <w:sz w:val="24"/>
                <w:szCs w:val="24"/>
                <w:lang w:val="zh-CN" w:eastAsia="zh-CN"/>
              </w:rPr>
              <w:t>缔约方不限成员名额工作组</w:t>
            </w:r>
          </w:p>
          <w:p w14:paraId="0EF7F41A" w14:textId="070821E8" w:rsidR="002C0D3E" w:rsidRPr="009B423C" w:rsidRDefault="002C0D3E" w:rsidP="009B423C">
            <w:pPr>
              <w:pStyle w:val="AATitle"/>
              <w:rPr>
                <w:rFonts w:eastAsia="SimHei"/>
                <w:sz w:val="24"/>
                <w:szCs w:val="24"/>
                <w:lang w:eastAsia="zh-CN"/>
              </w:rPr>
            </w:pPr>
            <w:r w:rsidRPr="009B423C">
              <w:rPr>
                <w:rFonts w:eastAsia="SimHei"/>
                <w:bCs/>
                <w:color w:val="000000"/>
                <w:sz w:val="24"/>
                <w:szCs w:val="24"/>
                <w:lang w:val="zh-CN" w:eastAsia="zh-CN"/>
              </w:rPr>
              <w:t>第四十八次会议</w:t>
            </w:r>
            <w:bookmarkEnd w:id="6"/>
          </w:p>
          <w:p w14:paraId="19014930" w14:textId="62CF95AB" w:rsidR="002C0D3E" w:rsidRPr="009B423C" w:rsidRDefault="002C0D3E" w:rsidP="009B423C">
            <w:pPr>
              <w:pStyle w:val="AATitle1"/>
              <w:rPr>
                <w:rFonts w:eastAsia="SimSun"/>
                <w:sz w:val="24"/>
                <w:szCs w:val="24"/>
                <w:lang w:eastAsia="zh-CN"/>
              </w:rPr>
            </w:pPr>
            <w:bookmarkStart w:id="7" w:name="CorNot1VenueDate"/>
            <w:r w:rsidRPr="009B423C">
              <w:rPr>
                <w:rFonts w:eastAsia="SimSun"/>
                <w:color w:val="000000"/>
                <w:sz w:val="24"/>
                <w:szCs w:val="24"/>
                <w:lang w:val="zh-CN" w:eastAsia="zh-CN"/>
              </w:rPr>
              <w:t>2026</w:t>
            </w:r>
            <w:r w:rsidRPr="009B423C">
              <w:rPr>
                <w:rFonts w:eastAsia="SimSun"/>
                <w:color w:val="000000"/>
                <w:sz w:val="24"/>
                <w:szCs w:val="24"/>
                <w:lang w:val="zh-CN" w:eastAsia="zh-CN"/>
              </w:rPr>
              <w:t>年</w:t>
            </w:r>
            <w:r w:rsidRPr="009B423C">
              <w:rPr>
                <w:rFonts w:eastAsia="SimSun"/>
                <w:color w:val="000000"/>
                <w:sz w:val="24"/>
                <w:szCs w:val="24"/>
                <w:lang w:val="zh-CN" w:eastAsia="zh-CN"/>
              </w:rPr>
              <w:t>7</w:t>
            </w:r>
            <w:r w:rsidRPr="009B423C">
              <w:rPr>
                <w:rFonts w:eastAsia="SimSun"/>
                <w:color w:val="000000"/>
                <w:sz w:val="24"/>
                <w:szCs w:val="24"/>
                <w:lang w:val="zh-CN" w:eastAsia="zh-CN"/>
              </w:rPr>
              <w:t>月</w:t>
            </w:r>
            <w:r w:rsidRPr="009B423C">
              <w:rPr>
                <w:rFonts w:eastAsia="SimSun"/>
                <w:color w:val="000000"/>
                <w:sz w:val="24"/>
                <w:szCs w:val="24"/>
                <w:lang w:val="zh-CN" w:eastAsia="zh-CN"/>
              </w:rPr>
              <w:t>13</w:t>
            </w:r>
            <w:r w:rsidRPr="009B423C">
              <w:rPr>
                <w:rFonts w:eastAsia="SimSun"/>
                <w:color w:val="000000"/>
                <w:sz w:val="24"/>
                <w:szCs w:val="24"/>
                <w:lang w:val="zh-CN" w:eastAsia="zh-CN"/>
              </w:rPr>
              <w:t>日至</w:t>
            </w:r>
            <w:r w:rsidRPr="009B423C">
              <w:rPr>
                <w:rFonts w:eastAsia="SimSun"/>
                <w:color w:val="000000"/>
                <w:sz w:val="24"/>
                <w:szCs w:val="24"/>
                <w:lang w:val="zh-CN" w:eastAsia="zh-CN"/>
              </w:rPr>
              <w:t>17</w:t>
            </w:r>
            <w:r w:rsidRPr="009B423C">
              <w:rPr>
                <w:rFonts w:eastAsia="SimSun"/>
                <w:color w:val="000000"/>
                <w:sz w:val="24"/>
                <w:szCs w:val="24"/>
                <w:lang w:val="zh-CN" w:eastAsia="zh-CN"/>
              </w:rPr>
              <w:t>日，曼谷</w:t>
            </w:r>
            <w:bookmarkEnd w:id="7"/>
          </w:p>
        </w:tc>
        <w:tc>
          <w:tcPr>
            <w:tcW w:w="3771" w:type="dxa"/>
          </w:tcPr>
          <w:p w14:paraId="61617A19" w14:textId="77777777" w:rsidR="002C0D3E" w:rsidRPr="009B423C" w:rsidRDefault="002C0D3E" w:rsidP="009B423C">
            <w:pPr>
              <w:pStyle w:val="Normal-pool"/>
              <w:rPr>
                <w:rFonts w:eastAsiaTheme="minorEastAsia"/>
                <w:lang w:eastAsia="zh-CN"/>
              </w:rPr>
            </w:pPr>
          </w:p>
        </w:tc>
      </w:tr>
    </w:tbl>
    <w:p w14:paraId="4DCB50E5" w14:textId="3ACAAB0A" w:rsidR="001F1F39" w:rsidRPr="009B423C" w:rsidRDefault="00845CD4" w:rsidP="0006565F">
      <w:pPr>
        <w:pStyle w:val="BBTitle"/>
        <w:ind w:right="1088"/>
        <w:rPr>
          <w:rFonts w:eastAsia="SimHei"/>
          <w:sz w:val="32"/>
          <w:szCs w:val="32"/>
          <w:lang w:eastAsia="zh-CN"/>
        </w:rPr>
      </w:pPr>
      <w:r w:rsidRPr="009B423C">
        <w:rPr>
          <w:rFonts w:eastAsia="SimHei"/>
          <w:bCs/>
          <w:sz w:val="32"/>
          <w:szCs w:val="32"/>
          <w:lang w:val="zh-CN" w:eastAsia="zh-CN"/>
        </w:rPr>
        <w:t>关于消耗臭氧层物质的蒙特利尔议定书缔约方不限成员名额工作组第四十八次会议报告</w:t>
      </w:r>
    </w:p>
    <w:p w14:paraId="0BEB3590" w14:textId="5914357E" w:rsidR="001F1F39" w:rsidRPr="009B423C" w:rsidRDefault="001F1F39">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rPr>
      </w:pPr>
      <w:proofErr w:type="spellStart"/>
      <w:r w:rsidRPr="009B423C">
        <w:rPr>
          <w:rFonts w:eastAsia="SimHei"/>
          <w:bCs/>
          <w:sz w:val="32"/>
          <w:szCs w:val="32"/>
          <w:lang w:val="zh-CN"/>
        </w:rPr>
        <w:t>会议开幕</w:t>
      </w:r>
      <w:proofErr w:type="spellEnd"/>
    </w:p>
    <w:p w14:paraId="0C16198B" w14:textId="14D7BDD5"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关于消耗臭氧层物质的蒙特利尔议定书缔约方不限成员名额工作组第四十八次会议于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7</w:t>
      </w:r>
      <w:r w:rsidRPr="009B423C">
        <w:rPr>
          <w:rFonts w:eastAsia="SimSun"/>
          <w:sz w:val="24"/>
          <w:szCs w:val="24"/>
          <w:lang w:val="zh-CN"/>
        </w:rPr>
        <w:t>月</w:t>
      </w:r>
      <w:r w:rsidRPr="009B423C">
        <w:rPr>
          <w:rFonts w:eastAsia="SimSun"/>
          <w:sz w:val="24"/>
          <w:szCs w:val="24"/>
          <w:lang w:val="zh-CN"/>
        </w:rPr>
        <w:t>13</w:t>
      </w:r>
      <w:r w:rsidRPr="009B423C">
        <w:rPr>
          <w:rFonts w:eastAsia="SimSun"/>
          <w:sz w:val="24"/>
          <w:szCs w:val="24"/>
          <w:lang w:val="zh-CN"/>
        </w:rPr>
        <w:t>日至</w:t>
      </w:r>
      <w:r w:rsidRPr="009B423C">
        <w:rPr>
          <w:rFonts w:eastAsia="SimSun"/>
          <w:sz w:val="24"/>
          <w:szCs w:val="24"/>
          <w:lang w:val="zh-CN"/>
        </w:rPr>
        <w:t>17</w:t>
      </w:r>
      <w:r w:rsidRPr="009B423C">
        <w:rPr>
          <w:rFonts w:eastAsia="SimSun"/>
          <w:sz w:val="24"/>
          <w:szCs w:val="24"/>
          <w:lang w:val="zh-CN"/>
        </w:rPr>
        <w:t>日在曼谷联合国会议中心举行。会议由</w:t>
      </w:r>
      <w:r w:rsidRPr="009B423C">
        <w:rPr>
          <w:rFonts w:eastAsia="SimSun"/>
          <w:sz w:val="24"/>
          <w:szCs w:val="24"/>
          <w:lang w:val="zh-CN"/>
        </w:rPr>
        <w:t>Annie Gabriel</w:t>
      </w:r>
      <w:r w:rsidRPr="009B423C">
        <w:rPr>
          <w:rFonts w:eastAsia="SimSun"/>
          <w:sz w:val="24"/>
          <w:szCs w:val="24"/>
          <w:lang w:val="zh-CN"/>
        </w:rPr>
        <w:t>（澳大利亚）和</w:t>
      </w:r>
      <w:r w:rsidRPr="009B423C">
        <w:rPr>
          <w:rFonts w:eastAsia="SimSun"/>
          <w:sz w:val="24"/>
          <w:szCs w:val="24"/>
          <w:lang w:val="zh-CN"/>
        </w:rPr>
        <w:t>Igobe Mbulawa</w:t>
      </w:r>
      <w:r w:rsidRPr="009B423C">
        <w:rPr>
          <w:rFonts w:eastAsia="SimSun"/>
          <w:sz w:val="24"/>
          <w:szCs w:val="24"/>
          <w:lang w:val="zh-CN"/>
        </w:rPr>
        <w:t>（博茨瓦纳）担任共同主席。</w:t>
      </w:r>
    </w:p>
    <w:p w14:paraId="46DE99B6" w14:textId="6EFEAAB9"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Mbulawa</w:t>
      </w:r>
      <w:r w:rsidRPr="009B423C">
        <w:rPr>
          <w:rFonts w:eastAsia="SimSun"/>
          <w:sz w:val="24"/>
          <w:szCs w:val="24"/>
          <w:lang w:val="zh-CN"/>
        </w:rPr>
        <w:t>女士于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7</w:t>
      </w:r>
      <w:r w:rsidRPr="009B423C">
        <w:rPr>
          <w:rFonts w:eastAsia="SimSun"/>
          <w:sz w:val="24"/>
          <w:szCs w:val="24"/>
          <w:lang w:val="zh-CN"/>
        </w:rPr>
        <w:t>月</w:t>
      </w:r>
      <w:r w:rsidRPr="009B423C">
        <w:rPr>
          <w:rFonts w:eastAsia="SimSun"/>
          <w:sz w:val="24"/>
          <w:szCs w:val="24"/>
          <w:lang w:val="zh-CN"/>
        </w:rPr>
        <w:t>13</w:t>
      </w:r>
      <w:r w:rsidRPr="009B423C">
        <w:rPr>
          <w:rFonts w:eastAsia="SimSun"/>
          <w:sz w:val="24"/>
          <w:szCs w:val="24"/>
          <w:lang w:val="zh-CN"/>
        </w:rPr>
        <w:t>日星期一上午</w:t>
      </w:r>
      <w:r w:rsidRPr="009B423C">
        <w:rPr>
          <w:rFonts w:eastAsia="SimSun"/>
          <w:sz w:val="24"/>
          <w:szCs w:val="24"/>
          <w:lang w:val="zh-CN"/>
        </w:rPr>
        <w:t>10</w:t>
      </w:r>
      <w:r w:rsidRPr="009B423C">
        <w:rPr>
          <w:rFonts w:eastAsia="SimSun"/>
          <w:sz w:val="24"/>
          <w:szCs w:val="24"/>
          <w:lang w:val="zh-CN"/>
        </w:rPr>
        <w:t>时宣布会议开幕。联合国环境规划署（环境署）亚洲及太平洋区域办事处主任</w:t>
      </w:r>
      <w:r w:rsidRPr="009B423C">
        <w:rPr>
          <w:rFonts w:eastAsia="SimSun"/>
          <w:sz w:val="24"/>
          <w:szCs w:val="24"/>
          <w:lang w:val="zh-CN"/>
        </w:rPr>
        <w:t>Dechen Tsering</w:t>
      </w:r>
      <w:r w:rsidRPr="009B423C">
        <w:rPr>
          <w:rFonts w:eastAsia="SimSun"/>
          <w:sz w:val="24"/>
          <w:szCs w:val="24"/>
          <w:lang w:val="zh-CN"/>
        </w:rPr>
        <w:t>和臭氧秘书处执行秘书</w:t>
      </w:r>
      <w:r w:rsidRPr="009B423C">
        <w:rPr>
          <w:rFonts w:eastAsia="SimSun"/>
          <w:sz w:val="24"/>
          <w:szCs w:val="24"/>
          <w:lang w:val="zh-CN"/>
        </w:rPr>
        <w:t>Megumi Seki</w:t>
      </w:r>
      <w:r w:rsidRPr="009B423C">
        <w:rPr>
          <w:rFonts w:eastAsia="SimSun"/>
          <w:sz w:val="24"/>
          <w:szCs w:val="24"/>
          <w:lang w:val="zh-CN"/>
        </w:rPr>
        <w:t>分别致开幕词。</w:t>
      </w:r>
    </w:p>
    <w:p w14:paraId="64BBC3C1" w14:textId="1C94CC68"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Tsering</w:t>
      </w:r>
      <w:r w:rsidRPr="009B423C">
        <w:rPr>
          <w:rFonts w:eastAsia="SimSun"/>
          <w:sz w:val="24"/>
          <w:szCs w:val="24"/>
          <w:lang w:val="zh-CN"/>
        </w:rPr>
        <w:t>女士向与会者表示欢迎，并指出，《蒙特利尔议定书》仍是历史上最成功的多边环境协定之一。通过基于科学的政策制定、国际团结以及持续的资金和技术支持，各缔约方在保护臭氧层方面取得了非凡的成果，同时带来了显著的气候惠益。《议定书》继续证明，多边合作能够为人类和地球带来可量化的持久成果。</w:t>
      </w:r>
    </w:p>
    <w:p w14:paraId="1251A32D" w14:textId="77777777"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她指出，将要审议的几项议题将有助于塑造议定书的未来走向，这与目前整个联合国系统为加强本组织的有效性、效率和影响力而开展的更广泛的改革努力如出一辙。这两个进程都受到共同目标的指引，即维护并加强成功的机构，同时使其适应新的现实。尽管《议定书》面临许多挑战，但她深信，贯穿该文书历史的合作精神将继续指引各缔约方在本次会议期间的审议工作。</w:t>
      </w:r>
    </w:p>
    <w:p w14:paraId="60EDA394" w14:textId="45CB0708"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Seki</w:t>
      </w:r>
      <w:r w:rsidRPr="009B423C">
        <w:rPr>
          <w:rFonts w:eastAsia="SimSun"/>
          <w:sz w:val="24"/>
          <w:szCs w:val="24"/>
          <w:lang w:val="zh-CN"/>
        </w:rPr>
        <w:t>女士在致辞中回顾说，正如先前</w:t>
      </w:r>
      <w:r w:rsidR="006917EC">
        <w:rPr>
          <w:rFonts w:eastAsia="SimSun" w:hint="eastAsia"/>
          <w:sz w:val="24"/>
          <w:szCs w:val="24"/>
          <w:lang w:val="zh-CN"/>
        </w:rPr>
        <w:t>说明</w:t>
      </w:r>
      <w:r w:rsidRPr="009B423C">
        <w:rPr>
          <w:rFonts w:eastAsia="SimSun"/>
          <w:sz w:val="24"/>
          <w:szCs w:val="24"/>
          <w:lang w:val="zh-CN"/>
        </w:rPr>
        <w:t>的那样，当选为不限成员名额工作组共同主席的乌干达的</w:t>
      </w:r>
      <w:r w:rsidRPr="009B423C">
        <w:rPr>
          <w:rFonts w:eastAsia="SimSun"/>
          <w:sz w:val="24"/>
          <w:szCs w:val="24"/>
          <w:lang w:val="zh-CN"/>
        </w:rPr>
        <w:t>Leila Akello Gonasa</w:t>
      </w:r>
      <w:r w:rsidRPr="009B423C">
        <w:rPr>
          <w:rFonts w:eastAsia="SimSun"/>
          <w:sz w:val="24"/>
          <w:szCs w:val="24"/>
          <w:lang w:val="zh-CN"/>
        </w:rPr>
        <w:t>因旅行限制无法出席本次会议。经与非洲国家组及其他按</w:t>
      </w:r>
      <w:r w:rsidR="0091373A">
        <w:rPr>
          <w:rFonts w:eastAsia="SimSun" w:hint="eastAsia"/>
          <w:sz w:val="24"/>
          <w:szCs w:val="24"/>
          <w:lang w:val="zh-CN"/>
        </w:rPr>
        <w:t>《议定书》</w:t>
      </w:r>
      <w:r w:rsidRPr="009B423C">
        <w:rPr>
          <w:rFonts w:eastAsia="SimSun"/>
          <w:sz w:val="24"/>
          <w:szCs w:val="24"/>
          <w:lang w:val="zh-CN"/>
        </w:rPr>
        <w:t>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1</w:t>
      </w:r>
      <w:r w:rsidRPr="009B423C">
        <w:rPr>
          <w:rFonts w:eastAsia="SimSun"/>
          <w:sz w:val="24"/>
          <w:szCs w:val="24"/>
          <w:lang w:val="zh-CN"/>
        </w:rPr>
        <w:t>款行事的缔约</w:t>
      </w:r>
      <w:r w:rsidRPr="009B423C">
        <w:rPr>
          <w:rFonts w:eastAsia="SimSun"/>
          <w:sz w:val="24"/>
          <w:szCs w:val="24"/>
          <w:lang w:val="zh-CN"/>
        </w:rPr>
        <w:lastRenderedPageBreak/>
        <w:t>方（第</w:t>
      </w:r>
      <w:r w:rsidRPr="009B423C">
        <w:rPr>
          <w:rFonts w:eastAsia="SimSun"/>
          <w:sz w:val="24"/>
          <w:szCs w:val="24"/>
          <w:lang w:val="zh-CN"/>
        </w:rPr>
        <w:t>5</w:t>
      </w:r>
      <w:r w:rsidRPr="009B423C">
        <w:rPr>
          <w:rFonts w:eastAsia="SimSun"/>
          <w:sz w:val="24"/>
          <w:szCs w:val="24"/>
          <w:lang w:val="zh-CN"/>
        </w:rPr>
        <w:t>条缔约方）协商，乌干达已提名博茨瓦纳的</w:t>
      </w:r>
      <w:r w:rsidRPr="009B423C">
        <w:rPr>
          <w:rFonts w:eastAsia="SimSun"/>
          <w:sz w:val="24"/>
          <w:szCs w:val="24"/>
          <w:lang w:val="zh-CN"/>
        </w:rPr>
        <w:t>Mbulawa</w:t>
      </w:r>
      <w:r w:rsidRPr="009B423C">
        <w:rPr>
          <w:rFonts w:eastAsia="SimSun"/>
          <w:sz w:val="24"/>
          <w:szCs w:val="24"/>
          <w:lang w:val="zh-CN"/>
        </w:rPr>
        <w:t>女士接替其职务。</w:t>
      </w:r>
      <w:bookmarkStart w:id="8" w:name="_Hlk234814426"/>
      <w:bookmarkEnd w:id="8"/>
    </w:p>
    <w:p w14:paraId="17A94161" w14:textId="7923B003"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她在概述本次会议的讨论项目时表示，会议将于</w:t>
      </w:r>
      <w:r w:rsidRPr="009B423C">
        <w:rPr>
          <w:rFonts w:eastAsia="SimSun"/>
          <w:sz w:val="24"/>
          <w:szCs w:val="24"/>
          <w:lang w:val="zh-CN"/>
        </w:rPr>
        <w:t>7</w:t>
      </w:r>
      <w:r w:rsidRPr="009B423C">
        <w:rPr>
          <w:rFonts w:eastAsia="SimSun"/>
          <w:sz w:val="24"/>
          <w:szCs w:val="24"/>
          <w:lang w:val="zh-CN"/>
        </w:rPr>
        <w:t>月</w:t>
      </w:r>
      <w:r w:rsidRPr="009B423C">
        <w:rPr>
          <w:rFonts w:eastAsia="SimSun"/>
          <w:sz w:val="24"/>
          <w:szCs w:val="24"/>
          <w:lang w:val="zh-CN"/>
        </w:rPr>
        <w:t>14</w:t>
      </w:r>
      <w:r w:rsidRPr="009B423C">
        <w:rPr>
          <w:rFonts w:eastAsia="SimSun"/>
          <w:sz w:val="24"/>
          <w:szCs w:val="24"/>
          <w:lang w:val="zh-CN"/>
        </w:rPr>
        <w:t>日星期二暂停，以便召开缔约方第六次特别会议，就蒙特利尔议定书不遵守情事程序下设履行委员会的成员构成作出决定。鉴于从东欧国家组收到两项提名，可能需要通过投票来决定哪位成员当选。这样的投票将标志着《蒙特利尔议定书》</w:t>
      </w:r>
      <w:r w:rsidRPr="009B423C">
        <w:rPr>
          <w:rFonts w:eastAsia="SimSun"/>
          <w:sz w:val="24"/>
          <w:szCs w:val="24"/>
          <w:lang w:val="zh-CN"/>
        </w:rPr>
        <w:t>40</w:t>
      </w:r>
      <w:r w:rsidRPr="009B423C">
        <w:rPr>
          <w:rFonts w:eastAsia="SimSun"/>
          <w:sz w:val="24"/>
          <w:szCs w:val="24"/>
          <w:lang w:val="zh-CN"/>
        </w:rPr>
        <w:t>年历史上首次无法在缔约方之间达成协商一致。她表示希望各缔约方继续进行非正式磋商以寻求妥协。</w:t>
      </w:r>
    </w:p>
    <w:p w14:paraId="533DED32" w14:textId="5C8DB153"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她提请注意技术和经济评估小组关于执行蒙特利尔议定书多边基金</w:t>
      </w:r>
      <w:r w:rsidRPr="009B423C">
        <w:rPr>
          <w:rFonts w:eastAsia="SimSun"/>
          <w:sz w:val="24"/>
          <w:szCs w:val="24"/>
          <w:lang w:val="zh-CN"/>
        </w:rPr>
        <w:t>2027–2029</w:t>
      </w:r>
      <w:r w:rsidRPr="009B423C">
        <w:rPr>
          <w:rFonts w:eastAsia="SimSun"/>
          <w:sz w:val="24"/>
          <w:szCs w:val="24"/>
          <w:lang w:val="zh-CN"/>
        </w:rPr>
        <w:t>年充资工作的报告，其估算出的范围是</w:t>
      </w:r>
      <w:r w:rsidRPr="009B423C">
        <w:rPr>
          <w:rFonts w:eastAsia="SimSun"/>
          <w:sz w:val="24"/>
          <w:szCs w:val="24"/>
          <w:lang w:val="zh-CN"/>
        </w:rPr>
        <w:t>12</w:t>
      </w:r>
      <w:r w:rsidRPr="009B423C">
        <w:rPr>
          <w:rFonts w:eastAsia="SimSun"/>
          <w:sz w:val="24"/>
          <w:szCs w:val="24"/>
          <w:lang w:val="zh-CN"/>
        </w:rPr>
        <w:t>亿美元至</w:t>
      </w:r>
      <w:r w:rsidRPr="009B423C">
        <w:rPr>
          <w:rFonts w:eastAsia="SimSun"/>
          <w:sz w:val="24"/>
          <w:szCs w:val="24"/>
          <w:lang w:val="zh-CN"/>
        </w:rPr>
        <w:t>17</w:t>
      </w:r>
      <w:r w:rsidRPr="009B423C">
        <w:rPr>
          <w:rFonts w:eastAsia="SimSun"/>
          <w:sz w:val="24"/>
          <w:szCs w:val="24"/>
          <w:lang w:val="zh-CN"/>
        </w:rPr>
        <w:t>亿美元。她表示希望，由评估小组的工作队在秘书处支持下开发、旨在便于根据各种设想方案和假设来计算充资数额的计算工具，将有助于使该进程对各缔约方而言更加透明和易于参与。</w:t>
      </w:r>
      <w:bookmarkStart w:id="9" w:name="_Hlk234813200"/>
      <w:bookmarkEnd w:id="9"/>
    </w:p>
    <w:p w14:paraId="09C17188" w14:textId="18D9A935"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大气监测方面，维也纳公约研究和系统性观测信托基金咨询委员会与秘书处在确定适合建立监测台站的场址方面取得了进展，并已与相关缔约方启动了非正式磋商。多边基金执行委员会和基金秘书处已推进了实施试点监测项目的筹备工作。为进一步支持缔约方的努力，臭氧秘书处正在开发一种实用的费用估算工具，这种工具可以反映国家情况、当地市场条件、现有基础设施和业务要求，</w:t>
      </w:r>
      <w:r w:rsidR="00B57D99">
        <w:rPr>
          <w:rFonts w:eastAsia="SimSun" w:hint="eastAsia"/>
          <w:sz w:val="24"/>
          <w:szCs w:val="24"/>
          <w:lang w:val="zh-CN"/>
        </w:rPr>
        <w:t>以便</w:t>
      </w:r>
      <w:r w:rsidRPr="009B423C">
        <w:rPr>
          <w:rFonts w:eastAsia="SimSun"/>
          <w:sz w:val="24"/>
          <w:szCs w:val="24"/>
          <w:lang w:val="zh-CN"/>
        </w:rPr>
        <w:t>生成更准确且针对特定国家的估计数。</w:t>
      </w:r>
    </w:p>
    <w:p w14:paraId="5D2D2421" w14:textId="583B1BF8"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关于《蒙特利尔议定书》业务的可行性，应缔约方的要求，秘书处编制了一份关于作出有效和高效更改的备选方案的文件，并附带了相关费用估计数。她强调了一项调查结果，即如果按支出率</w:t>
      </w:r>
      <w:r w:rsidRPr="009B423C">
        <w:rPr>
          <w:rFonts w:eastAsia="SimSun"/>
          <w:sz w:val="24"/>
          <w:szCs w:val="24"/>
          <w:lang w:val="zh-CN"/>
        </w:rPr>
        <w:t>85%</w:t>
      </w:r>
      <w:r w:rsidRPr="009B423C">
        <w:rPr>
          <w:rFonts w:eastAsia="SimSun"/>
          <w:sz w:val="24"/>
          <w:szCs w:val="24"/>
          <w:lang w:val="zh-CN"/>
        </w:rPr>
        <w:t>的照常情形继续运作，且蒙特利尔议定书信托基金的捐款到位率为</w:t>
      </w:r>
      <w:r w:rsidRPr="009B423C">
        <w:rPr>
          <w:rFonts w:eastAsia="SimSun"/>
          <w:sz w:val="24"/>
          <w:szCs w:val="24"/>
          <w:lang w:val="zh-CN"/>
        </w:rPr>
        <w:t>75%</w:t>
      </w:r>
      <w:r w:rsidRPr="009B423C">
        <w:rPr>
          <w:rFonts w:eastAsia="SimSun"/>
          <w:sz w:val="24"/>
          <w:szCs w:val="24"/>
          <w:lang w:val="zh-CN"/>
        </w:rPr>
        <w:t>，那么到</w:t>
      </w:r>
      <w:r w:rsidRPr="009B423C">
        <w:rPr>
          <w:rFonts w:eastAsia="SimSun"/>
          <w:sz w:val="24"/>
          <w:szCs w:val="24"/>
          <w:lang w:val="zh-CN"/>
        </w:rPr>
        <w:t>2031</w:t>
      </w:r>
      <w:r w:rsidRPr="009B423C">
        <w:rPr>
          <w:rFonts w:eastAsia="SimSun"/>
          <w:sz w:val="24"/>
          <w:szCs w:val="24"/>
          <w:lang w:val="zh-CN"/>
        </w:rPr>
        <w:t>年，现金结余将降至所需现金储备水平以下，秘书处将无法开展业务以支持缔约方和《蒙特利尔议定书》。希望缔约方能够找到维护臭氧条约的运作和有效性的方法。</w:t>
      </w:r>
    </w:p>
    <w:p w14:paraId="27CFE8E5" w14:textId="57DC69B9"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议程上的其他议题包括技术和经济评估小组及其各技术选择委员会的进度报告，以及卢旺达提供的关于缔约方第三十八次会议</w:t>
      </w:r>
      <w:r w:rsidR="00433035">
        <w:rPr>
          <w:rFonts w:eastAsia="SimSun" w:hint="eastAsia"/>
          <w:sz w:val="24"/>
          <w:szCs w:val="24"/>
          <w:lang w:val="zh-CN"/>
        </w:rPr>
        <w:t>的计划、</w:t>
      </w:r>
      <w:r w:rsidRPr="009B423C">
        <w:rPr>
          <w:rFonts w:eastAsia="SimSun"/>
          <w:sz w:val="24"/>
          <w:szCs w:val="24"/>
          <w:lang w:val="zh-CN"/>
        </w:rPr>
        <w:t>筹备和愿景的最新</w:t>
      </w:r>
      <w:r w:rsidR="00433035">
        <w:rPr>
          <w:rFonts w:eastAsia="SimSun" w:hint="eastAsia"/>
          <w:sz w:val="24"/>
          <w:szCs w:val="24"/>
          <w:lang w:val="zh-CN"/>
        </w:rPr>
        <w:t>状</w:t>
      </w:r>
      <w:r w:rsidRPr="009B423C">
        <w:rPr>
          <w:rFonts w:eastAsia="SimSun"/>
          <w:sz w:val="24"/>
          <w:szCs w:val="24"/>
          <w:lang w:val="zh-CN"/>
        </w:rPr>
        <w:t>况；缔约方第三十八次会议将包括《议定书基加利修正》十周年庆祝活动。她鼓励尚未批准《基加利修正》的</w:t>
      </w:r>
      <w:r w:rsidRPr="009B423C">
        <w:rPr>
          <w:rFonts w:eastAsia="SimSun"/>
          <w:sz w:val="24"/>
          <w:szCs w:val="24"/>
          <w:lang w:val="zh-CN"/>
        </w:rPr>
        <w:t>25</w:t>
      </w:r>
      <w:r w:rsidRPr="009B423C">
        <w:rPr>
          <w:rFonts w:eastAsia="SimSun"/>
          <w:sz w:val="24"/>
          <w:szCs w:val="24"/>
          <w:lang w:val="zh-CN"/>
        </w:rPr>
        <w:t>个缔约方尽快批准，以便以全球团结一致的姿态共同庆祝这一周年。</w:t>
      </w:r>
    </w:p>
    <w:p w14:paraId="4D9573F1" w14:textId="452BA88E" w:rsidR="007E4BA1" w:rsidRPr="009B423C" w:rsidRDefault="007E4BA1">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随后，一位代表就任命</w:t>
      </w:r>
      <w:r w:rsidRPr="009B423C">
        <w:rPr>
          <w:rFonts w:eastAsia="SimSun"/>
          <w:sz w:val="24"/>
          <w:szCs w:val="24"/>
          <w:lang w:val="zh-CN"/>
        </w:rPr>
        <w:t>Mbulawa</w:t>
      </w:r>
      <w:r w:rsidRPr="009B423C">
        <w:rPr>
          <w:rFonts w:eastAsia="SimSun"/>
          <w:sz w:val="24"/>
          <w:szCs w:val="24"/>
          <w:lang w:val="zh-CN"/>
        </w:rPr>
        <w:t>女士接替</w:t>
      </w:r>
      <w:r w:rsidRPr="009B423C">
        <w:rPr>
          <w:rFonts w:eastAsia="SimSun"/>
          <w:sz w:val="24"/>
          <w:szCs w:val="24"/>
          <w:lang w:val="zh-CN"/>
        </w:rPr>
        <w:t>Gonasa</w:t>
      </w:r>
      <w:r w:rsidRPr="009B423C">
        <w:rPr>
          <w:rFonts w:eastAsia="SimSun"/>
          <w:sz w:val="24"/>
          <w:szCs w:val="24"/>
          <w:lang w:val="zh-CN"/>
        </w:rPr>
        <w:t>女士一事寻求澄清任命程序（他表示曾就此问题要求发言）。他指出，根据蒙特利尔议定书缔约方会议议事规则第</w:t>
      </w:r>
      <w:r w:rsidRPr="009B423C">
        <w:rPr>
          <w:rFonts w:eastAsia="SimSun"/>
          <w:sz w:val="24"/>
          <w:szCs w:val="24"/>
          <w:lang w:val="zh-CN"/>
        </w:rPr>
        <w:t>26</w:t>
      </w:r>
      <w:r w:rsidRPr="009B423C">
        <w:rPr>
          <w:rFonts w:eastAsia="SimSun"/>
          <w:sz w:val="24"/>
          <w:szCs w:val="24"/>
          <w:lang w:val="zh-CN"/>
        </w:rPr>
        <w:t>条，由不限成员名额工作组任命其共同主席；秘书处和原先当选的个人都不能决定接替人选。他说，虽然他对</w:t>
      </w:r>
      <w:r w:rsidRPr="009B423C">
        <w:rPr>
          <w:rFonts w:eastAsia="SimSun"/>
          <w:sz w:val="24"/>
          <w:szCs w:val="24"/>
          <w:lang w:val="zh-CN"/>
        </w:rPr>
        <w:t>Mbulawa</w:t>
      </w:r>
      <w:r w:rsidRPr="009B423C">
        <w:rPr>
          <w:rFonts w:eastAsia="SimSun"/>
          <w:sz w:val="24"/>
          <w:szCs w:val="24"/>
          <w:lang w:val="zh-CN"/>
        </w:rPr>
        <w:t>女士的任命没有异议，但澄清这一程序对今后工作很重要。</w:t>
      </w:r>
    </w:p>
    <w:p w14:paraId="2417A4CC" w14:textId="798DBD0A" w:rsidR="007E4BA1" w:rsidRPr="009B423C" w:rsidRDefault="007E4BA1">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据此，不限成员名额工作组选举</w:t>
      </w:r>
      <w:r w:rsidRPr="009B423C">
        <w:rPr>
          <w:rFonts w:eastAsia="SimSun"/>
          <w:sz w:val="24"/>
          <w:szCs w:val="24"/>
          <w:lang w:val="zh-CN"/>
        </w:rPr>
        <w:t>Mbulawa</w:t>
      </w:r>
      <w:r w:rsidRPr="009B423C">
        <w:rPr>
          <w:rFonts w:eastAsia="SimSun"/>
          <w:sz w:val="24"/>
          <w:szCs w:val="24"/>
          <w:lang w:val="zh-CN"/>
        </w:rPr>
        <w:t>女士担任工作组共同主席。</w:t>
      </w:r>
    </w:p>
    <w:p w14:paraId="5B6E860B" w14:textId="5F5E8A96" w:rsidR="002B321D" w:rsidRPr="009B423C" w:rsidRDefault="002B321D">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lang w:eastAsia="zh-CN"/>
        </w:rPr>
      </w:pPr>
      <w:r w:rsidRPr="009B423C">
        <w:rPr>
          <w:rFonts w:eastAsia="SimHei"/>
          <w:bCs/>
          <w:sz w:val="32"/>
          <w:szCs w:val="32"/>
          <w:lang w:val="zh-CN" w:eastAsia="zh-CN"/>
        </w:rPr>
        <w:lastRenderedPageBreak/>
        <w:t>组织事项</w:t>
      </w:r>
    </w:p>
    <w:p w14:paraId="3E7CC730" w14:textId="69E68281" w:rsidR="006215D4" w:rsidRPr="009B423C" w:rsidRDefault="006215D4">
      <w:pPr>
        <w:pStyle w:val="CH2"/>
        <w:numPr>
          <w:ilvl w:val="0"/>
          <w:numId w:val="29"/>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9B423C">
        <w:rPr>
          <w:rFonts w:eastAsia="SimHei"/>
          <w:bCs/>
          <w:sz w:val="28"/>
          <w:szCs w:val="28"/>
          <w:lang w:val="zh-CN" w:eastAsia="zh-CN"/>
        </w:rPr>
        <w:t>出席情况</w:t>
      </w:r>
    </w:p>
    <w:p w14:paraId="10BDB01C" w14:textId="73D433F4" w:rsidR="00C07576" w:rsidRPr="009B423C" w:rsidRDefault="57082E52">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下列蒙特利尔议定书缔约方派代表出席了会议：阿尔巴尼亚、安哥拉、阿根廷、亚美尼亚、澳大利亚、奥地利、阿塞拜疆、巴林、孟加拉国、巴巴多斯、比利时、伯利兹、贝宁、不丹、波斯尼亚和黑塞哥维那、博茨瓦纳、巴西、文莱达鲁萨兰国、布基纳法索、布隆迪、喀麦隆、加拿大、中非共和国、乍得、智利、中国、哥伦比亚、库克群岛、哥斯达黎加、科特迪瓦、古巴、塞浦路斯、捷克、朝鲜民主主义人民共和国、丹麦、吉布提、多米尼克、多米尼加共和国、厄瓜多尔、埃及、萨尔瓦多、爱沙尼亚、斯威士兰、欧洲联盟、斐济、芬兰、法国、冈比亚、格鲁吉亚、德国、加纳、希腊、格林纳达、危地马拉、几内亚比绍、海地、洪都拉斯、印度、印度尼西亚、伊朗伊斯兰共和国、爱尔兰、以色列、意大利、牙买加、日本、约旦、哈萨克斯坦、肯尼亚、科威特、吉尔吉斯斯坦、拉脱维亚、黎巴嫩、莱索托、利比里亚、利比亚、立陶宛、卢森堡、马达加斯加、马拉维、马来西亚、马尔代夫、毛里塔尼亚、毛里求斯、墨西哥、密克罗尼西亚联邦、蒙古、黑山、摩洛哥、莫桑比克、缅甸、纳米比亚、荷兰王国、新西兰、尼加拉瓜、尼日利亚、纽埃、北马其顿、挪威、阿曼、帕劳、巴拿马、巴布亚新几内亚、巴拉圭、秘鲁、菲律宾、波兰、葡萄牙、卡塔尔、大韩民国、摩尔多瓦共和国、俄罗斯联邦、卢旺达、圣基茨和尼维斯、圣卢西亚、萨摩亚、圣多美和普林西比、沙特阿拉伯、塞内加尔、塞尔维亚、塞舌尔、塞拉利昂、斯洛伐克、所罗门群岛、索马里、南非、南苏丹、西班牙、斯里兰卡、苏丹、瑞典、瑞士、阿拉伯叙利亚共和国、塔吉克斯坦、泰国、东帝汶、多哥、特立尼达和多巴哥、突尼斯、土耳其、土库曼斯坦、图瓦卢、乌克兰、大不列颠及北爱尔兰联合王国、坦桑尼亚联合共和国、美利坚合众国、乌拉圭、乌兹别克斯坦、瓦努阿图、越南、也门、赞比亚和津巴布韦。</w:t>
      </w:r>
    </w:p>
    <w:p w14:paraId="5819D678" w14:textId="13B37520" w:rsidR="00C07576" w:rsidRPr="009B423C" w:rsidRDefault="00C07576">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下列联合国实体、组织和专门机构派代表出席了会议：国际民用航空组织；巴塞尔、鹿特丹和斯德哥尔摩公约秘书处；执行蒙特利尔议定书多边基金秘书处；联合国开发计划署；联合国环境规划署；联合国工业发展组织；世界银行和世界气象组织。蒙特利尔议定书各评估小组也派代表出席了会议。</w:t>
      </w:r>
    </w:p>
    <w:p w14:paraId="7245B18D" w14:textId="77254FE2" w:rsidR="00C07576" w:rsidRPr="009B423C" w:rsidRDefault="00C07576">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下列政府间、非政府、行业和学术机构和其他机构派代表作为观察员出席了会议</w:t>
      </w:r>
      <w:r w:rsidRPr="009B423C">
        <w:rPr>
          <w:rFonts w:eastAsia="SimSun"/>
          <w:sz w:val="24"/>
          <w:szCs w:val="24"/>
        </w:rPr>
        <w:t>：</w:t>
      </w:r>
      <w:r w:rsidRPr="009B423C">
        <w:rPr>
          <w:rFonts w:eastAsia="SimSun"/>
          <w:sz w:val="24"/>
          <w:szCs w:val="24"/>
        </w:rPr>
        <w:t>A-Gas International</w:t>
      </w:r>
      <w:r w:rsidRPr="009B423C">
        <w:rPr>
          <w:rFonts w:eastAsia="SimSun"/>
          <w:sz w:val="24"/>
          <w:szCs w:val="24"/>
        </w:rPr>
        <w:t>；</w:t>
      </w:r>
      <w:r w:rsidRPr="009B423C">
        <w:rPr>
          <w:rFonts w:eastAsia="SimSun"/>
          <w:sz w:val="24"/>
          <w:szCs w:val="24"/>
          <w:lang w:val="zh-CN"/>
        </w:rPr>
        <w:t>负责任的大气政策联盟</w:t>
      </w:r>
      <w:r w:rsidRPr="009B423C">
        <w:rPr>
          <w:rFonts w:eastAsia="SimSun"/>
          <w:sz w:val="24"/>
          <w:szCs w:val="24"/>
        </w:rPr>
        <w:t>；</w:t>
      </w:r>
      <w:r w:rsidRPr="009B423C">
        <w:rPr>
          <w:rFonts w:eastAsia="SimSun"/>
          <w:sz w:val="24"/>
          <w:szCs w:val="24"/>
          <w:lang w:val="zh-CN"/>
        </w:rPr>
        <w:t>东盟能源中心</w:t>
      </w:r>
      <w:r w:rsidRPr="009B423C">
        <w:rPr>
          <w:rFonts w:eastAsia="SimSun"/>
          <w:sz w:val="24"/>
          <w:szCs w:val="24"/>
        </w:rPr>
        <w:t>；</w:t>
      </w:r>
      <w:r w:rsidRPr="009B423C">
        <w:rPr>
          <w:rFonts w:eastAsia="SimSun"/>
          <w:sz w:val="24"/>
          <w:szCs w:val="24"/>
          <w:lang w:val="zh-CN"/>
        </w:rPr>
        <w:t>巴西制冷、空调、通风与供暖协会</w:t>
      </w:r>
      <w:r w:rsidRPr="009B423C">
        <w:rPr>
          <w:rFonts w:eastAsia="SimSun"/>
          <w:sz w:val="24"/>
          <w:szCs w:val="24"/>
        </w:rPr>
        <w:t>；</w:t>
      </w:r>
      <w:r w:rsidRPr="009B423C">
        <w:rPr>
          <w:rFonts w:eastAsia="SimSun"/>
          <w:sz w:val="24"/>
          <w:szCs w:val="24"/>
          <w:lang w:val="zh-CN"/>
        </w:rPr>
        <w:t>法国制冷剂经销、充注、回收与再利用协会</w:t>
      </w:r>
      <w:r w:rsidRPr="009B423C">
        <w:rPr>
          <w:rFonts w:eastAsia="SimSun"/>
          <w:sz w:val="24"/>
          <w:szCs w:val="24"/>
        </w:rPr>
        <w:t>；</w:t>
      </w:r>
      <w:proofErr w:type="spellStart"/>
      <w:r w:rsidRPr="009B423C">
        <w:rPr>
          <w:rFonts w:eastAsia="SimSun"/>
          <w:sz w:val="24"/>
          <w:szCs w:val="24"/>
        </w:rPr>
        <w:t>ATMOsphere</w:t>
      </w:r>
      <w:proofErr w:type="spellEnd"/>
      <w:r w:rsidRPr="009B423C">
        <w:rPr>
          <w:rFonts w:eastAsia="SimSun"/>
          <w:sz w:val="24"/>
          <w:szCs w:val="24"/>
        </w:rPr>
        <w:t>；</w:t>
      </w:r>
      <w:r w:rsidRPr="009B423C">
        <w:rPr>
          <w:rFonts w:eastAsia="SimSun"/>
          <w:sz w:val="24"/>
          <w:szCs w:val="24"/>
          <w:lang w:val="zh-CN"/>
        </w:rPr>
        <w:t>碳封存实验室</w:t>
      </w:r>
      <w:r w:rsidRPr="009B423C">
        <w:rPr>
          <w:rFonts w:eastAsia="SimSun"/>
          <w:sz w:val="24"/>
          <w:szCs w:val="24"/>
        </w:rPr>
        <w:t>；</w:t>
      </w:r>
      <w:r w:rsidR="005739FE" w:rsidRPr="009B423C">
        <w:rPr>
          <w:rFonts w:eastAsia="SimSun"/>
          <w:sz w:val="24"/>
          <w:szCs w:val="24"/>
          <w:lang w:val="zh-CN"/>
        </w:rPr>
        <w:t>开利公司</w:t>
      </w:r>
      <w:r w:rsidR="005739FE" w:rsidRPr="009B423C">
        <w:rPr>
          <w:rFonts w:eastAsia="SimSun"/>
          <w:sz w:val="24"/>
          <w:szCs w:val="24"/>
        </w:rPr>
        <w:t>；</w:t>
      </w:r>
      <w:r w:rsidRPr="009B423C">
        <w:rPr>
          <w:rFonts w:eastAsia="SimSun"/>
          <w:sz w:val="24"/>
          <w:szCs w:val="24"/>
          <w:lang w:val="zh-CN"/>
        </w:rPr>
        <w:t>卡斯卡德气候</w:t>
      </w:r>
      <w:r w:rsidRPr="009B423C">
        <w:rPr>
          <w:rFonts w:eastAsia="SimSun"/>
          <w:sz w:val="24"/>
          <w:szCs w:val="24"/>
        </w:rPr>
        <w:t>；</w:t>
      </w:r>
      <w:r w:rsidR="005739FE" w:rsidRPr="009B423C">
        <w:rPr>
          <w:rFonts w:eastAsia="SimSun"/>
          <w:sz w:val="24"/>
          <w:szCs w:val="24"/>
          <w:lang w:val="zh-CN"/>
        </w:rPr>
        <w:t>共同责任与技术雄心中心</w:t>
      </w:r>
      <w:r w:rsidR="005739FE" w:rsidRPr="009B423C">
        <w:rPr>
          <w:rFonts w:eastAsia="SimSun"/>
          <w:sz w:val="24"/>
          <w:szCs w:val="24"/>
        </w:rPr>
        <w:t>；</w:t>
      </w:r>
      <w:r w:rsidRPr="009B423C">
        <w:rPr>
          <w:rFonts w:eastAsia="SimSun"/>
          <w:sz w:val="24"/>
          <w:szCs w:val="24"/>
          <w:lang w:val="zh-CN"/>
        </w:rPr>
        <w:t>环境正义与发展中心</w:t>
      </w:r>
      <w:r w:rsidRPr="009B423C">
        <w:rPr>
          <w:rFonts w:eastAsia="SimSun"/>
          <w:sz w:val="24"/>
          <w:szCs w:val="24"/>
        </w:rPr>
        <w:t>；</w:t>
      </w:r>
      <w:r w:rsidRPr="009B423C">
        <w:rPr>
          <w:rFonts w:eastAsia="SimSun"/>
          <w:sz w:val="24"/>
          <w:szCs w:val="24"/>
          <w:lang w:val="zh-CN"/>
        </w:rPr>
        <w:t>中国汽车技术研究中心</w:t>
      </w:r>
      <w:r w:rsidRPr="009B423C">
        <w:rPr>
          <w:rFonts w:eastAsia="SimSun"/>
          <w:sz w:val="24"/>
          <w:szCs w:val="24"/>
        </w:rPr>
        <w:t>；</w:t>
      </w:r>
      <w:r w:rsidRPr="009B423C">
        <w:rPr>
          <w:rFonts w:eastAsia="SimSun"/>
          <w:sz w:val="24"/>
          <w:szCs w:val="24"/>
          <w:lang w:val="zh-CN"/>
        </w:rPr>
        <w:t>电器能效组织</w:t>
      </w:r>
      <w:r w:rsidRPr="009B423C">
        <w:rPr>
          <w:rFonts w:eastAsia="SimSun"/>
          <w:sz w:val="24"/>
          <w:szCs w:val="24"/>
        </w:rPr>
        <w:t>；</w:t>
      </w:r>
      <w:r w:rsidRPr="009B423C">
        <w:rPr>
          <w:rFonts w:eastAsia="SimSun"/>
          <w:sz w:val="24"/>
          <w:szCs w:val="24"/>
          <w:lang w:val="zh-CN"/>
        </w:rPr>
        <w:t>大金公司</w:t>
      </w:r>
      <w:r w:rsidRPr="009B423C">
        <w:rPr>
          <w:rFonts w:eastAsia="SimSun"/>
          <w:sz w:val="24"/>
          <w:szCs w:val="24"/>
        </w:rPr>
        <w:t>；</w:t>
      </w:r>
      <w:r w:rsidRPr="009B423C">
        <w:rPr>
          <w:rFonts w:eastAsia="SimSun"/>
          <w:sz w:val="24"/>
          <w:szCs w:val="24"/>
          <w:lang w:val="zh-CN"/>
        </w:rPr>
        <w:t>丹佛斯公司</w:t>
      </w:r>
      <w:r w:rsidRPr="009B423C">
        <w:rPr>
          <w:rFonts w:eastAsia="SimSun"/>
          <w:sz w:val="24"/>
          <w:szCs w:val="24"/>
        </w:rPr>
        <w:t>（</w:t>
      </w:r>
      <w:r w:rsidRPr="009B423C">
        <w:rPr>
          <w:rFonts w:eastAsia="SimSun"/>
          <w:sz w:val="24"/>
          <w:szCs w:val="24"/>
          <w:lang w:val="zh-CN"/>
        </w:rPr>
        <w:t>丹麦</w:t>
      </w:r>
      <w:r w:rsidRPr="009B423C">
        <w:rPr>
          <w:rFonts w:eastAsia="SimSun"/>
          <w:sz w:val="24"/>
          <w:szCs w:val="24"/>
        </w:rPr>
        <w:t>）；</w:t>
      </w:r>
      <w:r w:rsidRPr="009B423C">
        <w:rPr>
          <w:rFonts w:eastAsia="SimSun"/>
          <w:sz w:val="24"/>
          <w:szCs w:val="24"/>
          <w:lang w:val="zh-CN"/>
        </w:rPr>
        <w:t>德国国际合作机构</w:t>
      </w:r>
      <w:r w:rsidRPr="009B423C">
        <w:rPr>
          <w:rFonts w:eastAsia="SimSun"/>
          <w:sz w:val="24"/>
          <w:szCs w:val="24"/>
        </w:rPr>
        <w:t>；</w:t>
      </w:r>
      <w:r w:rsidRPr="009B423C">
        <w:rPr>
          <w:rFonts w:eastAsia="SimSun"/>
          <w:sz w:val="24"/>
          <w:szCs w:val="24"/>
          <w:lang w:val="zh-CN"/>
        </w:rPr>
        <w:t>环境调查署</w:t>
      </w:r>
      <w:r w:rsidRPr="009B423C">
        <w:rPr>
          <w:rFonts w:eastAsia="SimSun"/>
          <w:sz w:val="24"/>
          <w:szCs w:val="24"/>
        </w:rPr>
        <w:t>；</w:t>
      </w:r>
      <w:r w:rsidRPr="009B423C">
        <w:rPr>
          <w:rFonts w:eastAsia="SimSun"/>
          <w:sz w:val="24"/>
          <w:szCs w:val="24"/>
          <w:lang w:val="zh-CN"/>
        </w:rPr>
        <w:t>欧洲制冷和空调安装工协会</w:t>
      </w:r>
      <w:r w:rsidRPr="009B423C">
        <w:rPr>
          <w:rFonts w:eastAsia="SimSun"/>
          <w:sz w:val="24"/>
          <w:szCs w:val="24"/>
        </w:rPr>
        <w:t>；</w:t>
      </w:r>
      <w:r w:rsidRPr="009B423C">
        <w:rPr>
          <w:rFonts w:eastAsia="SimSun"/>
          <w:sz w:val="24"/>
          <w:szCs w:val="24"/>
          <w:lang w:val="zh-CN"/>
        </w:rPr>
        <w:t>欧洲能源与环境伙伴关系</w:t>
      </w:r>
      <w:r w:rsidRPr="009B423C">
        <w:rPr>
          <w:rFonts w:eastAsia="SimSun"/>
          <w:sz w:val="24"/>
          <w:szCs w:val="24"/>
        </w:rPr>
        <w:t>；</w:t>
      </w:r>
      <w:proofErr w:type="spellStart"/>
      <w:r w:rsidRPr="009B423C">
        <w:rPr>
          <w:rFonts w:eastAsia="SimSun"/>
          <w:sz w:val="24"/>
          <w:szCs w:val="24"/>
        </w:rPr>
        <w:t>Frostchem</w:t>
      </w:r>
      <w:proofErr w:type="spellEnd"/>
      <w:r w:rsidRPr="009B423C">
        <w:rPr>
          <w:rFonts w:eastAsia="SimSun"/>
          <w:sz w:val="24"/>
          <w:szCs w:val="24"/>
        </w:rPr>
        <w:t xml:space="preserve"> Global FZE</w:t>
      </w:r>
      <w:r w:rsidRPr="009B423C">
        <w:rPr>
          <w:rFonts w:eastAsia="SimSun"/>
          <w:sz w:val="24"/>
          <w:szCs w:val="24"/>
        </w:rPr>
        <w:t>；</w:t>
      </w:r>
      <w:r w:rsidRPr="009B423C">
        <w:rPr>
          <w:rFonts w:eastAsia="SimSun"/>
          <w:sz w:val="24"/>
          <w:szCs w:val="24"/>
        </w:rPr>
        <w:t>Glencoe Strategies</w:t>
      </w:r>
      <w:r w:rsidRPr="009B423C">
        <w:rPr>
          <w:rFonts w:eastAsia="SimSun"/>
          <w:sz w:val="24"/>
          <w:szCs w:val="24"/>
          <w:lang w:val="zh-CN"/>
        </w:rPr>
        <w:t>有限公司</w:t>
      </w:r>
      <w:r w:rsidRPr="009B423C">
        <w:rPr>
          <w:rFonts w:eastAsia="SimSun"/>
          <w:sz w:val="24"/>
          <w:szCs w:val="24"/>
        </w:rPr>
        <w:t>；</w:t>
      </w:r>
      <w:r w:rsidRPr="009B423C">
        <w:rPr>
          <w:rFonts w:eastAsia="SimSun"/>
          <w:sz w:val="24"/>
          <w:szCs w:val="24"/>
          <w:lang w:val="zh-CN"/>
        </w:rPr>
        <w:t>全球政策协会</w:t>
      </w:r>
      <w:r w:rsidRPr="009B423C">
        <w:rPr>
          <w:rFonts w:eastAsia="SimSun"/>
          <w:sz w:val="24"/>
          <w:szCs w:val="24"/>
        </w:rPr>
        <w:t>；</w:t>
      </w:r>
      <w:r w:rsidRPr="009B423C">
        <w:rPr>
          <w:rFonts w:eastAsia="SimSun"/>
          <w:sz w:val="24"/>
          <w:szCs w:val="24"/>
        </w:rPr>
        <w:t>Green TERRE</w:t>
      </w:r>
      <w:r w:rsidRPr="009B423C">
        <w:rPr>
          <w:rFonts w:eastAsia="SimSun"/>
          <w:sz w:val="24"/>
          <w:szCs w:val="24"/>
          <w:lang w:val="zh-CN"/>
        </w:rPr>
        <w:t>基金会</w:t>
      </w:r>
      <w:r w:rsidRPr="009B423C">
        <w:rPr>
          <w:rFonts w:eastAsia="SimSun"/>
          <w:sz w:val="24"/>
          <w:szCs w:val="24"/>
        </w:rPr>
        <w:t>；</w:t>
      </w:r>
      <w:proofErr w:type="spellStart"/>
      <w:r w:rsidRPr="009B423C">
        <w:rPr>
          <w:rFonts w:eastAsia="SimSun"/>
          <w:sz w:val="24"/>
          <w:szCs w:val="24"/>
        </w:rPr>
        <w:t>Guidehouse</w:t>
      </w:r>
      <w:proofErr w:type="spellEnd"/>
      <w:r w:rsidRPr="009B423C">
        <w:rPr>
          <w:rFonts w:eastAsia="SimSun"/>
          <w:sz w:val="24"/>
          <w:szCs w:val="24"/>
        </w:rPr>
        <w:t xml:space="preserve"> Germany</w:t>
      </w:r>
      <w:r w:rsidRPr="009B423C">
        <w:rPr>
          <w:rFonts w:eastAsia="SimSun"/>
          <w:sz w:val="24"/>
          <w:szCs w:val="24"/>
          <w:lang w:val="zh-CN"/>
        </w:rPr>
        <w:t>有限公司</w:t>
      </w:r>
      <w:r w:rsidRPr="009B423C">
        <w:rPr>
          <w:rFonts w:eastAsia="SimSun"/>
          <w:sz w:val="24"/>
          <w:szCs w:val="24"/>
        </w:rPr>
        <w:t>；</w:t>
      </w:r>
      <w:r w:rsidRPr="009B423C">
        <w:rPr>
          <w:rFonts w:eastAsia="SimSun"/>
          <w:sz w:val="24"/>
          <w:szCs w:val="24"/>
          <w:lang w:val="zh-CN"/>
        </w:rPr>
        <w:t>印度古吉拉特氟化工有限公司</w:t>
      </w:r>
      <w:r w:rsidRPr="009B423C">
        <w:rPr>
          <w:rFonts w:eastAsia="SimSun"/>
          <w:sz w:val="24"/>
          <w:szCs w:val="24"/>
        </w:rPr>
        <w:t>；</w:t>
      </w:r>
      <w:r w:rsidRPr="009B423C">
        <w:rPr>
          <w:rFonts w:eastAsia="SimSun"/>
          <w:sz w:val="24"/>
          <w:szCs w:val="24"/>
          <w:lang w:val="zh-CN"/>
        </w:rPr>
        <w:t>海湾合作委员会</w:t>
      </w:r>
      <w:r w:rsidRPr="009B423C">
        <w:rPr>
          <w:rFonts w:eastAsia="SimSun"/>
          <w:sz w:val="24"/>
          <w:szCs w:val="24"/>
        </w:rPr>
        <w:t>；</w:t>
      </w:r>
      <w:r w:rsidRPr="009B423C">
        <w:rPr>
          <w:rFonts w:eastAsia="SimSun"/>
          <w:sz w:val="24"/>
          <w:szCs w:val="24"/>
        </w:rPr>
        <w:t>ICF International</w:t>
      </w:r>
      <w:r w:rsidRPr="009B423C">
        <w:rPr>
          <w:rFonts w:eastAsia="SimSun"/>
          <w:sz w:val="24"/>
          <w:szCs w:val="24"/>
        </w:rPr>
        <w:t>；</w:t>
      </w:r>
      <w:proofErr w:type="spellStart"/>
      <w:r w:rsidRPr="009B423C">
        <w:rPr>
          <w:rFonts w:eastAsia="SimSun"/>
          <w:sz w:val="24"/>
          <w:szCs w:val="24"/>
        </w:rPr>
        <w:t>iFOREST</w:t>
      </w:r>
      <w:proofErr w:type="spellEnd"/>
      <w:r w:rsidRPr="009B423C">
        <w:rPr>
          <w:rFonts w:eastAsia="SimSun"/>
          <w:sz w:val="24"/>
          <w:szCs w:val="24"/>
        </w:rPr>
        <w:t>；</w:t>
      </w:r>
      <w:r w:rsidRPr="009B423C">
        <w:rPr>
          <w:rFonts w:eastAsia="SimSun"/>
          <w:sz w:val="24"/>
          <w:szCs w:val="24"/>
          <w:lang w:val="zh-CN"/>
        </w:rPr>
        <w:t>能源和气候战略研究所</w:t>
      </w:r>
      <w:r w:rsidRPr="009B423C">
        <w:rPr>
          <w:rFonts w:eastAsia="SimSun"/>
          <w:sz w:val="24"/>
          <w:szCs w:val="24"/>
        </w:rPr>
        <w:t>；</w:t>
      </w:r>
      <w:r w:rsidRPr="009B423C">
        <w:rPr>
          <w:rFonts w:eastAsia="SimSun"/>
          <w:sz w:val="24"/>
          <w:szCs w:val="24"/>
          <w:lang w:val="zh-CN"/>
        </w:rPr>
        <w:t>全球脱碳进程研究所</w:t>
      </w:r>
      <w:r w:rsidRPr="009B423C">
        <w:rPr>
          <w:rFonts w:eastAsia="SimSun"/>
          <w:sz w:val="24"/>
          <w:szCs w:val="24"/>
        </w:rPr>
        <w:t>；</w:t>
      </w:r>
      <w:r w:rsidRPr="009B423C">
        <w:rPr>
          <w:rFonts w:eastAsia="SimSun"/>
          <w:sz w:val="24"/>
          <w:szCs w:val="24"/>
          <w:lang w:val="zh-CN"/>
        </w:rPr>
        <w:t>治理和可持续发展研究所</w:t>
      </w:r>
      <w:r w:rsidRPr="009B423C">
        <w:rPr>
          <w:rFonts w:eastAsia="SimSun"/>
          <w:sz w:val="24"/>
          <w:szCs w:val="24"/>
        </w:rPr>
        <w:t>；</w:t>
      </w:r>
      <w:r w:rsidRPr="009B423C">
        <w:rPr>
          <w:rFonts w:eastAsia="SimSun"/>
          <w:sz w:val="24"/>
          <w:szCs w:val="24"/>
          <w:lang w:val="zh-CN"/>
        </w:rPr>
        <w:t>航空航天工业协</w:t>
      </w:r>
      <w:r w:rsidRPr="009B423C">
        <w:rPr>
          <w:rFonts w:eastAsia="SimSun"/>
          <w:sz w:val="24"/>
          <w:szCs w:val="24"/>
          <w:lang w:val="zh-CN"/>
        </w:rPr>
        <w:lastRenderedPageBreak/>
        <w:t>会国际协调理事会</w:t>
      </w:r>
      <w:r w:rsidRPr="009B423C">
        <w:rPr>
          <w:rFonts w:eastAsia="SimSun"/>
          <w:sz w:val="24"/>
          <w:szCs w:val="24"/>
        </w:rPr>
        <w:t>；</w:t>
      </w:r>
      <w:r w:rsidRPr="009B423C">
        <w:rPr>
          <w:rFonts w:eastAsia="SimSun"/>
          <w:sz w:val="24"/>
          <w:szCs w:val="24"/>
          <w:lang w:val="zh-CN"/>
        </w:rPr>
        <w:t>国际能源倡议</w:t>
      </w:r>
      <w:r w:rsidRPr="009B423C">
        <w:rPr>
          <w:rFonts w:eastAsia="SimSun"/>
          <w:sz w:val="24"/>
          <w:szCs w:val="24"/>
        </w:rPr>
        <w:t>；</w:t>
      </w:r>
      <w:r w:rsidRPr="009B423C">
        <w:rPr>
          <w:rFonts w:eastAsia="SimSun"/>
          <w:sz w:val="24"/>
          <w:szCs w:val="24"/>
          <w:lang w:val="zh-CN"/>
        </w:rPr>
        <w:t>国际制冷学会</w:t>
      </w:r>
      <w:r w:rsidRPr="009B423C">
        <w:rPr>
          <w:rFonts w:eastAsia="SimSun"/>
          <w:sz w:val="24"/>
          <w:szCs w:val="24"/>
        </w:rPr>
        <w:t>；</w:t>
      </w:r>
      <w:r w:rsidRPr="009B423C">
        <w:rPr>
          <w:rFonts w:eastAsia="SimSun"/>
          <w:sz w:val="24"/>
          <w:szCs w:val="24"/>
          <w:lang w:val="zh-CN"/>
        </w:rPr>
        <w:t>日本制冷剂与环境保护组织</w:t>
      </w:r>
      <w:r w:rsidRPr="009B423C">
        <w:rPr>
          <w:rFonts w:eastAsia="SimSun"/>
          <w:sz w:val="24"/>
          <w:szCs w:val="24"/>
        </w:rPr>
        <w:t>；</w:t>
      </w:r>
      <w:r w:rsidR="005739FE" w:rsidRPr="009B423C">
        <w:rPr>
          <w:rFonts w:eastAsia="SimSun"/>
          <w:sz w:val="24"/>
          <w:szCs w:val="24"/>
          <w:lang w:val="zh-CN"/>
        </w:rPr>
        <w:t>日本制冷与空调行业协会</w:t>
      </w:r>
      <w:r w:rsidR="005739FE" w:rsidRPr="009B423C">
        <w:rPr>
          <w:rFonts w:eastAsia="SimSun"/>
          <w:sz w:val="24"/>
          <w:szCs w:val="24"/>
        </w:rPr>
        <w:t>；</w:t>
      </w:r>
      <w:proofErr w:type="spellStart"/>
      <w:r w:rsidRPr="009B423C">
        <w:rPr>
          <w:rFonts w:eastAsia="SimSun"/>
          <w:sz w:val="24"/>
          <w:szCs w:val="24"/>
        </w:rPr>
        <w:t>Kulthorn</w:t>
      </w:r>
      <w:proofErr w:type="spellEnd"/>
      <w:r w:rsidRPr="009B423C">
        <w:rPr>
          <w:rFonts w:eastAsia="SimSun"/>
          <w:sz w:val="24"/>
          <w:szCs w:val="24"/>
          <w:lang w:val="zh-CN"/>
        </w:rPr>
        <w:t>集团</w:t>
      </w:r>
      <w:r w:rsidRPr="009B423C">
        <w:rPr>
          <w:rFonts w:eastAsia="SimSun"/>
          <w:sz w:val="24"/>
          <w:szCs w:val="24"/>
        </w:rPr>
        <w:t>；</w:t>
      </w:r>
      <w:r w:rsidRPr="009B423C">
        <w:rPr>
          <w:rFonts w:eastAsia="SimSun"/>
          <w:sz w:val="24"/>
          <w:szCs w:val="24"/>
        </w:rPr>
        <w:t>Labtech International</w:t>
      </w:r>
      <w:r w:rsidRPr="009B423C">
        <w:rPr>
          <w:rFonts w:eastAsia="SimSun"/>
          <w:sz w:val="24"/>
          <w:szCs w:val="24"/>
          <w:lang w:val="zh-CN"/>
        </w:rPr>
        <w:t>有限公司</w:t>
      </w:r>
      <w:r w:rsidRPr="009B423C">
        <w:rPr>
          <w:rFonts w:eastAsia="SimSun"/>
          <w:sz w:val="24"/>
          <w:szCs w:val="24"/>
        </w:rPr>
        <w:t>；</w:t>
      </w:r>
      <w:r w:rsidRPr="009B423C">
        <w:rPr>
          <w:rFonts w:eastAsia="SimSun"/>
          <w:sz w:val="24"/>
          <w:szCs w:val="24"/>
          <w:lang w:val="zh-CN"/>
        </w:rPr>
        <w:t>理海大学</w:t>
      </w:r>
      <w:r w:rsidRPr="009B423C">
        <w:rPr>
          <w:rFonts w:eastAsia="SimSun"/>
          <w:sz w:val="24"/>
          <w:szCs w:val="24"/>
        </w:rPr>
        <w:t>；</w:t>
      </w:r>
      <w:r w:rsidRPr="009B423C">
        <w:rPr>
          <w:rFonts w:eastAsia="SimSun"/>
          <w:sz w:val="24"/>
          <w:szCs w:val="24"/>
          <w:lang w:val="zh-CN"/>
        </w:rPr>
        <w:t>莱顿大学</w:t>
      </w:r>
      <w:r w:rsidRPr="009B423C">
        <w:rPr>
          <w:rFonts w:eastAsia="SimSun"/>
          <w:sz w:val="24"/>
          <w:szCs w:val="24"/>
        </w:rPr>
        <w:t>；</w:t>
      </w:r>
      <w:proofErr w:type="spellStart"/>
      <w:r w:rsidRPr="009B423C">
        <w:rPr>
          <w:rFonts w:eastAsia="SimSun"/>
          <w:sz w:val="24"/>
          <w:szCs w:val="24"/>
        </w:rPr>
        <w:t>Mebrom</w:t>
      </w:r>
      <w:proofErr w:type="spellEnd"/>
      <w:r w:rsidRPr="009B423C">
        <w:rPr>
          <w:rFonts w:eastAsia="SimSun"/>
          <w:sz w:val="24"/>
          <w:szCs w:val="24"/>
          <w:lang w:val="zh-CN"/>
        </w:rPr>
        <w:t>公司</w:t>
      </w:r>
      <w:r w:rsidRPr="009B423C">
        <w:rPr>
          <w:rFonts w:eastAsia="SimSun"/>
          <w:sz w:val="24"/>
          <w:szCs w:val="24"/>
        </w:rPr>
        <w:t>；</w:t>
      </w:r>
      <w:r w:rsidRPr="009B423C">
        <w:rPr>
          <w:rFonts w:eastAsia="SimSun"/>
          <w:sz w:val="24"/>
          <w:szCs w:val="24"/>
          <w:lang w:val="zh-CN"/>
        </w:rPr>
        <w:t>自然资源保护协会</w:t>
      </w:r>
      <w:r w:rsidRPr="009B423C">
        <w:rPr>
          <w:rFonts w:eastAsia="SimSun"/>
          <w:sz w:val="24"/>
          <w:szCs w:val="24"/>
        </w:rPr>
        <w:t>；</w:t>
      </w:r>
      <w:r w:rsidRPr="009B423C">
        <w:rPr>
          <w:rFonts w:eastAsia="SimSun"/>
          <w:sz w:val="24"/>
          <w:szCs w:val="24"/>
          <w:lang w:val="zh-CN"/>
        </w:rPr>
        <w:t>奥比亚氟与能源材料公司</w:t>
      </w:r>
      <w:r w:rsidRPr="009B423C">
        <w:rPr>
          <w:rFonts w:eastAsia="SimSun"/>
          <w:sz w:val="24"/>
          <w:szCs w:val="24"/>
        </w:rPr>
        <w:t>；</w:t>
      </w:r>
      <w:proofErr w:type="spellStart"/>
      <w:r w:rsidRPr="009B423C">
        <w:rPr>
          <w:rFonts w:eastAsia="SimSun"/>
          <w:sz w:val="24"/>
          <w:szCs w:val="24"/>
        </w:rPr>
        <w:t>Ökorecherche</w:t>
      </w:r>
      <w:proofErr w:type="spellEnd"/>
      <w:r w:rsidRPr="009B423C">
        <w:rPr>
          <w:rFonts w:eastAsia="SimSun"/>
          <w:sz w:val="24"/>
          <w:szCs w:val="24"/>
          <w:lang w:val="zh-CN"/>
        </w:rPr>
        <w:t>科学院</w:t>
      </w:r>
      <w:r w:rsidRPr="009B423C">
        <w:rPr>
          <w:rFonts w:eastAsia="SimSun"/>
          <w:sz w:val="24"/>
          <w:szCs w:val="24"/>
        </w:rPr>
        <w:t>；</w:t>
      </w:r>
      <w:r w:rsidRPr="009B423C">
        <w:rPr>
          <w:rFonts w:eastAsia="SimSun"/>
          <w:sz w:val="24"/>
          <w:szCs w:val="24"/>
          <w:lang w:val="zh-CN"/>
        </w:rPr>
        <w:t>海外环境合作中心</w:t>
      </w:r>
      <w:r w:rsidRPr="009B423C">
        <w:rPr>
          <w:rFonts w:eastAsia="SimSun"/>
          <w:sz w:val="24"/>
          <w:szCs w:val="24"/>
        </w:rPr>
        <w:t>；</w:t>
      </w:r>
      <w:proofErr w:type="spellStart"/>
      <w:r w:rsidRPr="009B423C">
        <w:rPr>
          <w:rFonts w:eastAsia="SimSun"/>
          <w:sz w:val="24"/>
          <w:szCs w:val="24"/>
        </w:rPr>
        <w:t>Recoolit</w:t>
      </w:r>
      <w:proofErr w:type="spellEnd"/>
      <w:r w:rsidRPr="009B423C">
        <w:rPr>
          <w:rFonts w:eastAsia="SimSun"/>
          <w:sz w:val="24"/>
          <w:szCs w:val="24"/>
        </w:rPr>
        <w:t>；</w:t>
      </w:r>
      <w:r w:rsidRPr="009B423C">
        <w:rPr>
          <w:rFonts w:eastAsia="SimSun"/>
          <w:sz w:val="24"/>
          <w:szCs w:val="24"/>
          <w:lang w:val="zh-CN"/>
        </w:rPr>
        <w:t>澳大利亚制冷剂回收公司</w:t>
      </w:r>
      <w:r w:rsidRPr="009B423C">
        <w:rPr>
          <w:rFonts w:eastAsia="SimSun"/>
          <w:sz w:val="24"/>
          <w:szCs w:val="24"/>
        </w:rPr>
        <w:t>；</w:t>
      </w:r>
      <w:r w:rsidRPr="009B423C">
        <w:rPr>
          <w:rFonts w:eastAsia="SimSun"/>
          <w:sz w:val="24"/>
          <w:szCs w:val="24"/>
          <w:lang w:val="zh-CN"/>
        </w:rPr>
        <w:t>澳大利亚制冷剂公司</w:t>
      </w:r>
      <w:r w:rsidRPr="009B423C">
        <w:rPr>
          <w:rFonts w:eastAsia="SimSun"/>
          <w:sz w:val="24"/>
          <w:szCs w:val="24"/>
        </w:rPr>
        <w:t>；</w:t>
      </w:r>
      <w:proofErr w:type="spellStart"/>
      <w:r w:rsidRPr="009B423C">
        <w:rPr>
          <w:rFonts w:eastAsia="SimSun"/>
          <w:sz w:val="24"/>
          <w:szCs w:val="24"/>
        </w:rPr>
        <w:t>SilverLining</w:t>
      </w:r>
      <w:proofErr w:type="spellEnd"/>
      <w:r w:rsidRPr="009B423C">
        <w:rPr>
          <w:rFonts w:eastAsia="SimSun"/>
          <w:sz w:val="24"/>
          <w:szCs w:val="24"/>
        </w:rPr>
        <w:t>；</w:t>
      </w:r>
      <w:r w:rsidRPr="009B423C">
        <w:rPr>
          <w:rFonts w:ascii="SimSun" w:eastAsia="SimSun" w:hAnsi="SimSun"/>
          <w:sz w:val="24"/>
          <w:szCs w:val="24"/>
        </w:rPr>
        <w:t>“</w:t>
      </w:r>
      <w:r w:rsidRPr="009B423C">
        <w:rPr>
          <w:rFonts w:ascii="SimSun" w:eastAsia="SimSun" w:hAnsi="SimSun"/>
          <w:sz w:val="24"/>
          <w:szCs w:val="24"/>
          <w:lang w:val="zh-CN"/>
        </w:rPr>
        <w:t>气候解决方案</w:t>
      </w:r>
      <w:r w:rsidRPr="009B423C">
        <w:rPr>
          <w:rFonts w:ascii="SimSun" w:eastAsia="SimSun" w:hAnsi="SimSun"/>
          <w:sz w:val="24"/>
          <w:szCs w:val="24"/>
        </w:rPr>
        <w:t>”</w:t>
      </w:r>
      <w:r w:rsidRPr="009B423C">
        <w:rPr>
          <w:rFonts w:eastAsia="SimSun"/>
          <w:sz w:val="24"/>
          <w:szCs w:val="24"/>
          <w:lang w:val="zh-CN"/>
        </w:rPr>
        <w:t>组织</w:t>
      </w:r>
      <w:r w:rsidRPr="009B423C">
        <w:rPr>
          <w:rFonts w:eastAsia="SimSun"/>
          <w:sz w:val="24"/>
          <w:szCs w:val="24"/>
        </w:rPr>
        <w:t>；</w:t>
      </w:r>
      <w:proofErr w:type="spellStart"/>
      <w:r w:rsidRPr="009B423C">
        <w:rPr>
          <w:rFonts w:eastAsia="SimSun"/>
          <w:sz w:val="24"/>
          <w:szCs w:val="24"/>
        </w:rPr>
        <w:t>SRADeV</w:t>
      </w:r>
      <w:proofErr w:type="spellEnd"/>
      <w:r w:rsidRPr="009B423C">
        <w:rPr>
          <w:rFonts w:eastAsia="SimSun"/>
          <w:sz w:val="24"/>
          <w:szCs w:val="24"/>
        </w:rPr>
        <w:t>；</w:t>
      </w:r>
      <w:r w:rsidRPr="009B423C">
        <w:rPr>
          <w:rFonts w:eastAsia="SimSun"/>
          <w:sz w:val="24"/>
          <w:szCs w:val="24"/>
        </w:rPr>
        <w:t>SRF</w:t>
      </w:r>
      <w:r w:rsidRPr="009B423C">
        <w:rPr>
          <w:rFonts w:eastAsia="SimSun"/>
          <w:sz w:val="24"/>
          <w:szCs w:val="24"/>
          <w:lang w:val="zh-CN"/>
        </w:rPr>
        <w:t>有限公司</w:t>
      </w:r>
      <w:r w:rsidRPr="009B423C">
        <w:rPr>
          <w:rFonts w:eastAsia="SimSun"/>
          <w:sz w:val="24"/>
          <w:szCs w:val="24"/>
        </w:rPr>
        <w:t>；</w:t>
      </w:r>
      <w:r w:rsidRPr="009B423C">
        <w:rPr>
          <w:rFonts w:eastAsia="SimSun"/>
          <w:sz w:val="24"/>
          <w:szCs w:val="24"/>
          <w:lang w:val="zh-CN"/>
        </w:rPr>
        <w:t>能源委员会</w:t>
      </w:r>
      <w:r w:rsidRPr="009B423C">
        <w:rPr>
          <w:rFonts w:eastAsia="SimSun"/>
          <w:sz w:val="24"/>
          <w:szCs w:val="24"/>
        </w:rPr>
        <w:t>；</w:t>
      </w:r>
      <w:r w:rsidR="005739FE" w:rsidRPr="00796538" w:rsidDel="005739FE">
        <w:rPr>
          <w:rFonts w:eastAsia="SimSun"/>
          <w:sz w:val="24"/>
          <w:szCs w:val="24"/>
        </w:rPr>
        <w:t xml:space="preserve"> </w:t>
      </w:r>
      <w:proofErr w:type="spellStart"/>
      <w:r w:rsidRPr="009B423C">
        <w:rPr>
          <w:rFonts w:eastAsia="SimSun"/>
          <w:sz w:val="24"/>
          <w:szCs w:val="24"/>
        </w:rPr>
        <w:t>Tradewater</w:t>
      </w:r>
      <w:proofErr w:type="spellEnd"/>
      <w:r w:rsidRPr="009B423C">
        <w:rPr>
          <w:rFonts w:eastAsia="SimSun"/>
          <w:sz w:val="24"/>
          <w:szCs w:val="24"/>
          <w:lang w:val="zh-CN"/>
        </w:rPr>
        <w:t>。一名独立专家也出席了会议。</w:t>
      </w:r>
    </w:p>
    <w:p w14:paraId="72F4BCEE" w14:textId="672EE562" w:rsidR="002B321D" w:rsidRPr="009B423C" w:rsidRDefault="002B321D">
      <w:pPr>
        <w:pStyle w:val="CH2"/>
        <w:numPr>
          <w:ilvl w:val="0"/>
          <w:numId w:val="29"/>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r w:rsidRPr="009B423C">
        <w:rPr>
          <w:rFonts w:eastAsia="SimHei"/>
          <w:bCs/>
          <w:sz w:val="28"/>
          <w:szCs w:val="28"/>
          <w:lang w:val="zh-CN" w:eastAsia="zh-CN"/>
        </w:rPr>
        <w:t>通过议程</w:t>
      </w:r>
    </w:p>
    <w:p w14:paraId="3611A0B5" w14:textId="77777777"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共同主席介绍了</w:t>
      </w:r>
      <w:r w:rsidRPr="009B423C">
        <w:rPr>
          <w:rFonts w:eastAsia="SimSun"/>
          <w:sz w:val="24"/>
          <w:szCs w:val="24"/>
          <w:lang w:val="zh-CN"/>
        </w:rPr>
        <w:t>UNEP/OzL.Pro.WG.1/48/1</w:t>
      </w:r>
      <w:r w:rsidRPr="009B423C">
        <w:rPr>
          <w:rFonts w:eastAsia="SimSun"/>
          <w:sz w:val="24"/>
          <w:szCs w:val="24"/>
          <w:lang w:val="zh-CN"/>
        </w:rPr>
        <w:t>号文件中载列的临时议程，并邀请代表们提出他们可能希望在本次会议上讨论的其他事项，其中属于技术和经济评估小组特定事项的归入分项目</w:t>
      </w:r>
      <w:r w:rsidRPr="009B423C">
        <w:rPr>
          <w:rFonts w:eastAsia="SimSun"/>
          <w:sz w:val="24"/>
          <w:szCs w:val="24"/>
          <w:lang w:val="zh-CN"/>
        </w:rPr>
        <w:t xml:space="preserve">4 </w:t>
      </w:r>
      <w:proofErr w:type="gramStart"/>
      <w:r w:rsidRPr="009B423C">
        <w:rPr>
          <w:rFonts w:eastAsia="SimSun"/>
          <w:sz w:val="24"/>
          <w:szCs w:val="24"/>
          <w:lang w:val="zh-CN"/>
        </w:rPr>
        <w:t>(e)</w:t>
      </w:r>
      <w:proofErr w:type="gramEnd"/>
      <w:r w:rsidRPr="009B423C">
        <w:rPr>
          <w:rFonts w:ascii="SimSun" w:eastAsia="SimSun" w:hAnsi="SimSun"/>
          <w:sz w:val="24"/>
          <w:szCs w:val="24"/>
          <w:lang w:val="zh-CN"/>
        </w:rPr>
        <w:t>“任何其他议题”</w:t>
      </w:r>
      <w:r w:rsidRPr="009B423C">
        <w:rPr>
          <w:rFonts w:eastAsia="SimSun"/>
          <w:sz w:val="24"/>
          <w:szCs w:val="24"/>
          <w:lang w:val="zh-CN"/>
        </w:rPr>
        <w:t>，其他则归入项目</w:t>
      </w:r>
      <w:r w:rsidRPr="009B423C">
        <w:rPr>
          <w:rFonts w:eastAsia="SimSun"/>
          <w:sz w:val="24"/>
          <w:szCs w:val="24"/>
          <w:lang w:val="zh-CN"/>
        </w:rPr>
        <w:t>9</w:t>
      </w:r>
      <w:r w:rsidRPr="009B423C">
        <w:rPr>
          <w:rFonts w:ascii="SimSun" w:eastAsia="SimSun" w:hAnsi="SimSun"/>
          <w:sz w:val="24"/>
          <w:szCs w:val="24"/>
          <w:lang w:val="zh-CN"/>
        </w:rPr>
        <w:t>“其他事项”。</w:t>
      </w:r>
      <w:bookmarkStart w:id="10" w:name="_Hlk234814273"/>
      <w:bookmarkStart w:id="11" w:name="_Hlk234814807"/>
      <w:bookmarkEnd w:id="10"/>
      <w:bookmarkEnd w:id="11"/>
    </w:p>
    <w:p w14:paraId="0DD26D96" w14:textId="7F0000EE"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一位代表提议在分项目</w:t>
      </w:r>
      <w:r w:rsidRPr="009B423C">
        <w:rPr>
          <w:rFonts w:eastAsia="SimSun"/>
          <w:sz w:val="24"/>
          <w:szCs w:val="24"/>
          <w:lang w:val="zh-CN"/>
        </w:rPr>
        <w:t xml:space="preserve">4 </w:t>
      </w:r>
      <w:proofErr w:type="gramStart"/>
      <w:r w:rsidRPr="009B423C">
        <w:rPr>
          <w:rFonts w:eastAsia="SimSun"/>
          <w:sz w:val="24"/>
          <w:szCs w:val="24"/>
          <w:lang w:val="zh-CN"/>
        </w:rPr>
        <w:t>(e)</w:t>
      </w:r>
      <w:proofErr w:type="gramEnd"/>
      <w:r w:rsidRPr="009B423C">
        <w:rPr>
          <w:rFonts w:eastAsia="SimSun"/>
          <w:sz w:val="24"/>
          <w:szCs w:val="24"/>
          <w:lang w:val="zh-CN"/>
        </w:rPr>
        <w:t>中增加一项讨论，系关于评估其所在缔约方提交给技术和经济评估小组的一种销毁技术。</w:t>
      </w:r>
    </w:p>
    <w:p w14:paraId="5CC2BF8C" w14:textId="624E4CFF"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bookmarkStart w:id="12" w:name="_Hlk234814968"/>
      <w:r w:rsidRPr="009B423C">
        <w:rPr>
          <w:rFonts w:eastAsia="SimSun"/>
          <w:sz w:val="24"/>
          <w:szCs w:val="24"/>
          <w:lang w:val="zh-CN"/>
        </w:rPr>
        <w:t>一些代表要求在项目</w:t>
      </w:r>
      <w:r w:rsidRPr="009B423C">
        <w:rPr>
          <w:rFonts w:eastAsia="SimSun"/>
          <w:sz w:val="24"/>
          <w:szCs w:val="24"/>
          <w:lang w:val="zh-CN"/>
        </w:rPr>
        <w:t>9</w:t>
      </w:r>
      <w:r w:rsidRPr="009B423C">
        <w:rPr>
          <w:rFonts w:eastAsia="SimSun"/>
          <w:sz w:val="24"/>
          <w:szCs w:val="24"/>
          <w:lang w:val="zh-CN"/>
        </w:rPr>
        <w:t>下列入一个项目，以讨论东欧国家组的组成，并指出将提交一份载有提案草案的会议室文件。另一位代表某组缔约方发言的代表认为本次会议不是讨论该问题的合适论坛，并表示他将在会议稍后讨论该议题时阐明这一点。</w:t>
      </w:r>
    </w:p>
    <w:bookmarkEnd w:id="12"/>
    <w:p w14:paraId="363B5692" w14:textId="3367710D"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另一位代表要求增加一个项目，以讨论一氧化二氮对臭氧层的影响，因为该物质的排放量目前已相当于所有受控臭氧消耗物质排放量的总和。尽管一氧化二氮已被列入《保护臭氧层维也纳公约》附件一，但它仍未受到《蒙特利尔议定书》的管制。他表示，他将提交一份会议室文件，其中包含一项提案草案，请科学评估小组以及技术和经济评估小组提供更多信息，以促进对排放情况和减排备选方案的了解。</w:t>
      </w:r>
    </w:p>
    <w:p w14:paraId="1D74EA6B" w14:textId="66C3A9E3"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另一位代表要求增加一个项目，系关于阿塞拜疆执行《蒙特利尔议定书》第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款的情况。阿塞拜疆编写了一份旨在促进各方对该提案的理解的非正式说明，载于</w:t>
      </w:r>
      <w:r w:rsidRPr="009B423C">
        <w:rPr>
          <w:rFonts w:eastAsia="SimSun"/>
          <w:sz w:val="24"/>
          <w:szCs w:val="24"/>
          <w:lang w:val="zh-CN"/>
        </w:rPr>
        <w:t>UNEP/OzL.Pro.WG.1/48/2/Add.2</w:t>
      </w:r>
      <w:r w:rsidRPr="009B423C">
        <w:rPr>
          <w:rFonts w:eastAsia="SimSun"/>
          <w:sz w:val="24"/>
          <w:szCs w:val="24"/>
          <w:lang w:val="zh-CN"/>
        </w:rPr>
        <w:t>号文件的附件。</w:t>
      </w:r>
      <w:bookmarkStart w:id="13" w:name="_Hlk234815895"/>
      <w:bookmarkStart w:id="14" w:name="_Hlk234816115"/>
      <w:bookmarkEnd w:id="13"/>
      <w:bookmarkEnd w:id="14"/>
    </w:p>
    <w:p w14:paraId="2951DA5F" w14:textId="77777777"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工作组在</w:t>
      </w:r>
      <w:r w:rsidRPr="009B423C">
        <w:rPr>
          <w:rFonts w:eastAsia="SimSun"/>
          <w:sz w:val="24"/>
          <w:szCs w:val="24"/>
          <w:lang w:val="zh-CN"/>
        </w:rPr>
        <w:t>UNEP/OzL.Pro.WG.1/48/1</w:t>
      </w:r>
      <w:r w:rsidRPr="009B423C">
        <w:rPr>
          <w:rFonts w:eastAsia="SimSun"/>
          <w:sz w:val="24"/>
          <w:szCs w:val="24"/>
          <w:lang w:val="zh-CN"/>
        </w:rPr>
        <w:t>号文件所载临时议程的基础上，通过了以下议程：</w:t>
      </w:r>
    </w:p>
    <w:p w14:paraId="44333DA3" w14:textId="26E94429"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rPr>
      </w:pPr>
      <w:proofErr w:type="spellStart"/>
      <w:r w:rsidRPr="009B423C">
        <w:rPr>
          <w:rFonts w:eastAsia="SimSun"/>
          <w:sz w:val="24"/>
          <w:szCs w:val="24"/>
          <w:lang w:val="zh-CN"/>
        </w:rPr>
        <w:t>会议开幕</w:t>
      </w:r>
      <w:proofErr w:type="spellEnd"/>
      <w:r w:rsidRPr="009B423C">
        <w:rPr>
          <w:rFonts w:eastAsia="SimSun"/>
          <w:sz w:val="24"/>
          <w:szCs w:val="24"/>
          <w:lang w:val="zh-CN"/>
        </w:rPr>
        <w:t>。</w:t>
      </w:r>
    </w:p>
    <w:p w14:paraId="7CD068DB" w14:textId="345A132D"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rPr>
      </w:pPr>
      <w:proofErr w:type="spellStart"/>
      <w:r w:rsidRPr="009B423C">
        <w:rPr>
          <w:rFonts w:eastAsia="SimSun"/>
          <w:sz w:val="24"/>
          <w:szCs w:val="24"/>
          <w:lang w:val="zh-CN"/>
        </w:rPr>
        <w:t>组织事项</w:t>
      </w:r>
      <w:proofErr w:type="spellEnd"/>
      <w:r w:rsidRPr="009B423C">
        <w:rPr>
          <w:rFonts w:eastAsia="SimSun"/>
          <w:sz w:val="24"/>
          <w:szCs w:val="24"/>
          <w:lang w:val="zh-CN"/>
        </w:rPr>
        <w:t>：</w:t>
      </w:r>
    </w:p>
    <w:p w14:paraId="6253A72C" w14:textId="77777777" w:rsidR="00DF71CA" w:rsidRPr="009B423C" w:rsidRDefault="00DF71CA" w:rsidP="0056253E">
      <w:pPr>
        <w:pStyle w:val="NormalNonumber"/>
        <w:numPr>
          <w:ilvl w:val="0"/>
          <w:numId w:val="16"/>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rPr>
      </w:pPr>
      <w:proofErr w:type="spellStart"/>
      <w:r w:rsidRPr="009B423C">
        <w:rPr>
          <w:rFonts w:eastAsia="SimSun"/>
          <w:sz w:val="24"/>
          <w:szCs w:val="24"/>
          <w:lang w:val="zh-CN"/>
        </w:rPr>
        <w:t>通过议程</w:t>
      </w:r>
      <w:proofErr w:type="spellEnd"/>
      <w:r w:rsidRPr="009B423C">
        <w:rPr>
          <w:rFonts w:eastAsia="SimSun"/>
          <w:sz w:val="24"/>
          <w:szCs w:val="24"/>
          <w:lang w:val="zh-CN"/>
        </w:rPr>
        <w:t>；</w:t>
      </w:r>
    </w:p>
    <w:p w14:paraId="3E41285D" w14:textId="77777777" w:rsidR="00DF71CA" w:rsidRPr="009B423C" w:rsidRDefault="00DF71CA" w:rsidP="0056253E">
      <w:pPr>
        <w:pStyle w:val="NormalNonumber"/>
        <w:numPr>
          <w:ilvl w:val="0"/>
          <w:numId w:val="16"/>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rPr>
      </w:pPr>
      <w:proofErr w:type="spellStart"/>
      <w:r w:rsidRPr="009B423C">
        <w:rPr>
          <w:rFonts w:eastAsia="SimSun"/>
          <w:sz w:val="24"/>
          <w:szCs w:val="24"/>
          <w:lang w:val="zh-CN"/>
        </w:rPr>
        <w:t>工作安排</w:t>
      </w:r>
      <w:proofErr w:type="spellEnd"/>
      <w:r w:rsidRPr="009B423C">
        <w:rPr>
          <w:rFonts w:eastAsia="SimSun"/>
          <w:sz w:val="24"/>
          <w:szCs w:val="24"/>
          <w:lang w:val="zh-CN"/>
        </w:rPr>
        <w:t>。</w:t>
      </w:r>
    </w:p>
    <w:p w14:paraId="64B64868" w14:textId="01505D20"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lang w:eastAsia="zh-CN"/>
        </w:rPr>
      </w:pPr>
      <w:r w:rsidRPr="009B423C">
        <w:rPr>
          <w:rFonts w:eastAsia="SimSun"/>
          <w:sz w:val="24"/>
          <w:szCs w:val="24"/>
          <w:lang w:val="zh-CN" w:eastAsia="zh-CN"/>
        </w:rPr>
        <w:t>技术和经济评估小组关于执行蒙特利尔议定书多边基金</w:t>
      </w:r>
      <w:r w:rsidRPr="009B423C">
        <w:rPr>
          <w:rFonts w:eastAsia="SimSun"/>
          <w:sz w:val="24"/>
          <w:szCs w:val="24"/>
          <w:lang w:val="zh-CN" w:eastAsia="zh-CN"/>
        </w:rPr>
        <w:t>2027–2029</w:t>
      </w:r>
      <w:r w:rsidRPr="009B423C">
        <w:rPr>
          <w:rFonts w:eastAsia="SimSun"/>
          <w:sz w:val="24"/>
          <w:szCs w:val="24"/>
          <w:lang w:val="zh-CN" w:eastAsia="zh-CN"/>
        </w:rPr>
        <w:t>年充资工作的报告（第</w:t>
      </w:r>
      <w:r w:rsidRPr="009B423C">
        <w:rPr>
          <w:rFonts w:eastAsia="SimSun"/>
          <w:sz w:val="24"/>
          <w:szCs w:val="24"/>
          <w:lang w:val="zh-CN" w:eastAsia="zh-CN"/>
        </w:rPr>
        <w:t>XXXVII/6</w:t>
      </w:r>
      <w:r w:rsidRPr="009B423C">
        <w:rPr>
          <w:rFonts w:eastAsia="SimSun"/>
          <w:sz w:val="24"/>
          <w:szCs w:val="24"/>
          <w:lang w:val="zh-CN" w:eastAsia="zh-CN"/>
        </w:rPr>
        <w:t>号决定）。</w:t>
      </w:r>
    </w:p>
    <w:p w14:paraId="4004A8B4" w14:textId="229B52FF"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lang w:eastAsia="zh-CN"/>
        </w:rPr>
      </w:pPr>
      <w:r w:rsidRPr="009B423C">
        <w:rPr>
          <w:rFonts w:eastAsia="SimSun"/>
          <w:sz w:val="24"/>
          <w:szCs w:val="24"/>
          <w:lang w:val="zh-CN" w:eastAsia="zh-CN"/>
        </w:rPr>
        <w:t>技术和经济评估小组介绍其</w:t>
      </w:r>
      <w:r w:rsidRPr="009B423C">
        <w:rPr>
          <w:rFonts w:eastAsia="SimSun"/>
          <w:sz w:val="24"/>
          <w:szCs w:val="24"/>
          <w:lang w:val="zh-CN" w:eastAsia="zh-CN"/>
        </w:rPr>
        <w:t>2026</w:t>
      </w:r>
      <w:r w:rsidRPr="009B423C">
        <w:rPr>
          <w:rFonts w:eastAsia="SimSun"/>
          <w:sz w:val="24"/>
          <w:szCs w:val="24"/>
          <w:lang w:val="zh-CN" w:eastAsia="zh-CN"/>
        </w:rPr>
        <w:t>年进度报告，并就下列事项开展讨论：</w:t>
      </w:r>
    </w:p>
    <w:p w14:paraId="0DC8E2F3" w14:textId="77777777" w:rsidR="00DF71CA" w:rsidRPr="009B423C" w:rsidRDefault="00DF71CA" w:rsidP="0056253E">
      <w:pPr>
        <w:pStyle w:val="NormalNonumber"/>
        <w:numPr>
          <w:ilvl w:val="0"/>
          <w:numId w:val="17"/>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lang w:eastAsia="zh-CN"/>
        </w:rPr>
      </w:pPr>
      <w:r w:rsidRPr="009B423C">
        <w:rPr>
          <w:rFonts w:eastAsia="SimSun"/>
          <w:sz w:val="24"/>
          <w:szCs w:val="24"/>
          <w:lang w:val="zh-CN" w:eastAsia="zh-CN"/>
        </w:rPr>
        <w:lastRenderedPageBreak/>
        <w:t>哈龙</w:t>
      </w:r>
      <w:r w:rsidRPr="009B423C">
        <w:rPr>
          <w:rFonts w:eastAsia="SimSun"/>
          <w:sz w:val="24"/>
          <w:szCs w:val="24"/>
          <w:lang w:val="zh-CN" w:eastAsia="zh-CN"/>
        </w:rPr>
        <w:t>1301</w:t>
      </w:r>
      <w:r w:rsidRPr="009B423C">
        <w:rPr>
          <w:rFonts w:eastAsia="SimSun"/>
          <w:sz w:val="24"/>
          <w:szCs w:val="24"/>
          <w:lang w:val="zh-CN" w:eastAsia="zh-CN"/>
        </w:rPr>
        <w:t>及其在航空业的持续使用；管理用于灭火的其他受控物质（第</w:t>
      </w:r>
      <w:r w:rsidRPr="009B423C">
        <w:rPr>
          <w:rFonts w:eastAsia="SimSun"/>
          <w:sz w:val="24"/>
          <w:szCs w:val="24"/>
          <w:lang w:val="zh-CN" w:eastAsia="zh-CN"/>
        </w:rPr>
        <w:t>XXXVII/4</w:t>
      </w:r>
      <w:r w:rsidRPr="009B423C">
        <w:rPr>
          <w:rFonts w:eastAsia="SimSun"/>
          <w:sz w:val="24"/>
          <w:szCs w:val="24"/>
          <w:lang w:val="zh-CN" w:eastAsia="zh-CN"/>
        </w:rPr>
        <w:t>号决定）；</w:t>
      </w:r>
    </w:p>
    <w:p w14:paraId="6EB74AC8" w14:textId="77777777" w:rsidR="00DF71CA" w:rsidRPr="009B423C" w:rsidRDefault="00DF71CA" w:rsidP="0056253E">
      <w:pPr>
        <w:pStyle w:val="NormalNonumber"/>
        <w:numPr>
          <w:ilvl w:val="0"/>
          <w:numId w:val="17"/>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lang w:eastAsia="zh-CN"/>
        </w:rPr>
      </w:pPr>
      <w:r w:rsidRPr="009B423C">
        <w:rPr>
          <w:rFonts w:eastAsia="SimSun"/>
          <w:sz w:val="24"/>
          <w:szCs w:val="24"/>
          <w:lang w:val="zh-CN" w:eastAsia="zh-CN"/>
        </w:rPr>
        <w:t>使用低全球升温潜能值推进剂的计量吸入器（第</w:t>
      </w:r>
      <w:r w:rsidRPr="009B423C">
        <w:rPr>
          <w:rFonts w:eastAsia="SimSun"/>
          <w:sz w:val="24"/>
          <w:szCs w:val="24"/>
          <w:lang w:val="zh-CN" w:eastAsia="zh-CN"/>
        </w:rPr>
        <w:t>XXXVI/6</w:t>
      </w:r>
      <w:r w:rsidRPr="009B423C">
        <w:rPr>
          <w:rFonts w:eastAsia="SimSun"/>
          <w:sz w:val="24"/>
          <w:szCs w:val="24"/>
          <w:lang w:val="zh-CN" w:eastAsia="zh-CN"/>
        </w:rPr>
        <w:t>号决定）；</w:t>
      </w:r>
    </w:p>
    <w:p w14:paraId="08BCD7F1" w14:textId="77777777" w:rsidR="00DF71CA" w:rsidRPr="009B423C" w:rsidRDefault="00DF71CA" w:rsidP="0056253E">
      <w:pPr>
        <w:pStyle w:val="NormalNonumber"/>
        <w:numPr>
          <w:ilvl w:val="0"/>
          <w:numId w:val="17"/>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lang w:eastAsia="zh-CN"/>
        </w:rPr>
      </w:pPr>
      <w:r w:rsidRPr="009B423C">
        <w:rPr>
          <w:rFonts w:eastAsia="SimSun"/>
          <w:sz w:val="24"/>
          <w:szCs w:val="24"/>
          <w:lang w:val="zh-CN" w:eastAsia="zh-CN"/>
        </w:rPr>
        <w:t>评估小组及其各技术选择委员会组织安排的备选方案（第</w:t>
      </w:r>
      <w:r w:rsidRPr="009B423C">
        <w:rPr>
          <w:rFonts w:eastAsia="SimSun"/>
          <w:sz w:val="24"/>
          <w:szCs w:val="24"/>
          <w:lang w:val="zh-CN" w:eastAsia="zh-CN"/>
        </w:rPr>
        <w:t>XXXV/20</w:t>
      </w:r>
      <w:r w:rsidRPr="009B423C">
        <w:rPr>
          <w:rFonts w:eastAsia="SimSun"/>
          <w:sz w:val="24"/>
          <w:szCs w:val="24"/>
          <w:lang w:val="zh-CN" w:eastAsia="zh-CN"/>
        </w:rPr>
        <w:t>号决定）；</w:t>
      </w:r>
    </w:p>
    <w:p w14:paraId="4FB4E0A3" w14:textId="77777777" w:rsidR="00DF71CA" w:rsidRPr="009B423C" w:rsidRDefault="00DF71CA" w:rsidP="0056253E">
      <w:pPr>
        <w:pStyle w:val="NormalNonumber"/>
        <w:numPr>
          <w:ilvl w:val="0"/>
          <w:numId w:val="17"/>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rPr>
      </w:pPr>
      <w:proofErr w:type="spellStart"/>
      <w:r w:rsidRPr="009B423C">
        <w:rPr>
          <w:rFonts w:eastAsia="SimSun"/>
          <w:sz w:val="24"/>
          <w:szCs w:val="24"/>
          <w:lang w:val="zh-CN"/>
        </w:rPr>
        <w:t>评估小组的成员变动</w:t>
      </w:r>
      <w:proofErr w:type="spellEnd"/>
      <w:r w:rsidRPr="009B423C">
        <w:rPr>
          <w:rFonts w:eastAsia="SimSun"/>
          <w:sz w:val="24"/>
          <w:szCs w:val="24"/>
          <w:lang w:val="zh-CN"/>
        </w:rPr>
        <w:t>；</w:t>
      </w:r>
    </w:p>
    <w:p w14:paraId="691AADDF" w14:textId="77777777" w:rsidR="00DF71CA" w:rsidRPr="009B423C" w:rsidRDefault="00DF71CA" w:rsidP="0056253E">
      <w:pPr>
        <w:pStyle w:val="NormalNonumber"/>
        <w:numPr>
          <w:ilvl w:val="0"/>
          <w:numId w:val="17"/>
        </w:numPr>
        <w:tabs>
          <w:tab w:val="clear" w:pos="1247"/>
          <w:tab w:val="clear" w:pos="1871"/>
          <w:tab w:val="clear" w:pos="2495"/>
          <w:tab w:val="clear" w:pos="3119"/>
          <w:tab w:val="clear" w:pos="3742"/>
          <w:tab w:val="clear" w:pos="4366"/>
          <w:tab w:val="clear" w:pos="4990"/>
        </w:tabs>
        <w:ind w:left="3119" w:hanging="709"/>
        <w:jc w:val="both"/>
        <w:rPr>
          <w:rFonts w:eastAsia="SimSun"/>
          <w:sz w:val="24"/>
          <w:szCs w:val="24"/>
        </w:rPr>
      </w:pPr>
      <w:proofErr w:type="spellStart"/>
      <w:r w:rsidRPr="009B423C">
        <w:rPr>
          <w:rFonts w:eastAsia="SimSun"/>
          <w:sz w:val="24"/>
          <w:szCs w:val="24"/>
          <w:lang w:val="zh-CN"/>
        </w:rPr>
        <w:t>任何其他议题</w:t>
      </w:r>
      <w:proofErr w:type="spellEnd"/>
      <w:r w:rsidRPr="009B423C">
        <w:rPr>
          <w:rFonts w:eastAsia="SimSun"/>
          <w:sz w:val="24"/>
          <w:szCs w:val="24"/>
          <w:lang w:val="zh-CN"/>
        </w:rPr>
        <w:t>。</w:t>
      </w:r>
    </w:p>
    <w:p w14:paraId="3F8D29FD" w14:textId="77777777"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lang w:eastAsia="zh-CN"/>
        </w:rPr>
      </w:pPr>
      <w:r w:rsidRPr="009B423C">
        <w:rPr>
          <w:rFonts w:eastAsia="SimSun"/>
          <w:sz w:val="24"/>
          <w:szCs w:val="24"/>
          <w:lang w:val="zh-CN" w:eastAsia="zh-CN"/>
        </w:rPr>
        <w:t>加强对《蒙特利尔议定书》所列受控物质的区域大气监测（第</w:t>
      </w:r>
      <w:r w:rsidRPr="009B423C">
        <w:rPr>
          <w:rFonts w:eastAsia="SimSun"/>
          <w:sz w:val="24"/>
          <w:szCs w:val="24"/>
          <w:lang w:val="zh-CN" w:eastAsia="zh-CN"/>
        </w:rPr>
        <w:t>XXXVII/1</w:t>
      </w:r>
      <w:r w:rsidRPr="009B423C">
        <w:rPr>
          <w:rFonts w:eastAsia="SimSun"/>
          <w:sz w:val="24"/>
          <w:szCs w:val="24"/>
          <w:lang w:val="zh-CN" w:eastAsia="zh-CN"/>
        </w:rPr>
        <w:t>号决定）。</w:t>
      </w:r>
    </w:p>
    <w:p w14:paraId="2590B0EB" w14:textId="77777777"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lang w:eastAsia="zh-CN"/>
        </w:rPr>
      </w:pPr>
      <w:r w:rsidRPr="009B423C">
        <w:rPr>
          <w:rFonts w:eastAsia="SimSun"/>
          <w:sz w:val="24"/>
          <w:szCs w:val="24"/>
          <w:lang w:val="zh-CN" w:eastAsia="zh-CN"/>
        </w:rPr>
        <w:t>确保《蒙特利尔议定书》业务的可行性（第</w:t>
      </w:r>
      <w:r w:rsidRPr="009B423C">
        <w:rPr>
          <w:rFonts w:eastAsia="SimSun"/>
          <w:sz w:val="24"/>
          <w:szCs w:val="24"/>
          <w:lang w:val="zh-CN" w:eastAsia="zh-CN"/>
        </w:rPr>
        <w:t>XXXVII/7</w:t>
      </w:r>
      <w:r w:rsidRPr="009B423C">
        <w:rPr>
          <w:rFonts w:eastAsia="SimSun"/>
          <w:sz w:val="24"/>
          <w:szCs w:val="24"/>
          <w:lang w:val="zh-CN" w:eastAsia="zh-CN"/>
        </w:rPr>
        <w:t>号决定）。</w:t>
      </w:r>
    </w:p>
    <w:p w14:paraId="3ADFF153" w14:textId="77777777"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lang w:eastAsia="zh-CN"/>
        </w:rPr>
      </w:pPr>
      <w:r w:rsidRPr="009B423C">
        <w:rPr>
          <w:rFonts w:eastAsia="SimSun"/>
          <w:sz w:val="24"/>
          <w:szCs w:val="24"/>
          <w:lang w:val="zh-CN" w:eastAsia="zh-CN"/>
        </w:rPr>
        <w:t>进一步加强蒙特利尔议定书各机构（</w:t>
      </w:r>
      <w:r w:rsidRPr="009B423C">
        <w:rPr>
          <w:rFonts w:eastAsia="SimSun"/>
          <w:sz w:val="24"/>
          <w:szCs w:val="24"/>
          <w:lang w:val="zh-CN" w:eastAsia="zh-CN"/>
        </w:rPr>
        <w:t>UNEP/OzL.Pro.37/9</w:t>
      </w:r>
      <w:r w:rsidRPr="009B423C">
        <w:rPr>
          <w:rFonts w:eastAsia="SimSun"/>
          <w:sz w:val="24"/>
          <w:szCs w:val="24"/>
          <w:lang w:val="zh-CN" w:eastAsia="zh-CN"/>
        </w:rPr>
        <w:t>，第</w:t>
      </w:r>
      <w:r w:rsidRPr="009B423C">
        <w:rPr>
          <w:rFonts w:eastAsia="SimSun"/>
          <w:sz w:val="24"/>
          <w:szCs w:val="24"/>
          <w:lang w:val="zh-CN" w:eastAsia="zh-CN"/>
        </w:rPr>
        <w:t>166</w:t>
      </w:r>
      <w:r w:rsidRPr="009B423C">
        <w:rPr>
          <w:rFonts w:eastAsia="SimSun"/>
          <w:sz w:val="24"/>
          <w:szCs w:val="24"/>
          <w:lang w:val="zh-CN" w:eastAsia="zh-CN"/>
        </w:rPr>
        <w:t>段）。</w:t>
      </w:r>
    </w:p>
    <w:p w14:paraId="3C39E1B5" w14:textId="0F46566B"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lang w:eastAsia="zh-CN"/>
        </w:rPr>
      </w:pPr>
      <w:r w:rsidRPr="009B423C">
        <w:rPr>
          <w:rFonts w:eastAsia="SimSun"/>
          <w:sz w:val="24"/>
          <w:szCs w:val="24"/>
          <w:lang w:val="zh-CN" w:eastAsia="zh-CN"/>
        </w:rPr>
        <w:t>将在基加利举行的缔约方第三十八次会议的筹备情况。</w:t>
      </w:r>
    </w:p>
    <w:p w14:paraId="1394AD74" w14:textId="77777777"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rPr>
      </w:pPr>
      <w:proofErr w:type="spellStart"/>
      <w:r w:rsidRPr="009B423C">
        <w:rPr>
          <w:rFonts w:eastAsia="SimSun"/>
          <w:sz w:val="24"/>
          <w:szCs w:val="24"/>
          <w:lang w:val="zh-CN"/>
        </w:rPr>
        <w:t>其他事项</w:t>
      </w:r>
      <w:proofErr w:type="spellEnd"/>
      <w:r w:rsidRPr="009B423C">
        <w:rPr>
          <w:rFonts w:eastAsia="SimSun"/>
          <w:sz w:val="24"/>
          <w:szCs w:val="24"/>
          <w:lang w:val="zh-CN"/>
        </w:rPr>
        <w:t>。</w:t>
      </w:r>
    </w:p>
    <w:p w14:paraId="49CF06AB" w14:textId="77777777"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rPr>
      </w:pPr>
      <w:proofErr w:type="spellStart"/>
      <w:r w:rsidRPr="009B423C">
        <w:rPr>
          <w:rFonts w:eastAsia="SimSun"/>
          <w:sz w:val="24"/>
          <w:szCs w:val="24"/>
          <w:lang w:val="zh-CN"/>
        </w:rPr>
        <w:t>通过会议报告</w:t>
      </w:r>
      <w:proofErr w:type="spellEnd"/>
      <w:r w:rsidRPr="009B423C">
        <w:rPr>
          <w:rFonts w:eastAsia="SimSun"/>
          <w:sz w:val="24"/>
          <w:szCs w:val="24"/>
          <w:lang w:val="zh-CN"/>
        </w:rPr>
        <w:t>。</w:t>
      </w:r>
    </w:p>
    <w:p w14:paraId="263FAB8F" w14:textId="77777777" w:rsidR="00DF71CA" w:rsidRPr="009B423C" w:rsidRDefault="00DF71CA">
      <w:pPr>
        <w:pStyle w:val="NormalNonumber"/>
        <w:numPr>
          <w:ilvl w:val="1"/>
          <w:numId w:val="38"/>
        </w:numPr>
        <w:tabs>
          <w:tab w:val="clear" w:pos="1247"/>
          <w:tab w:val="clear" w:pos="1871"/>
          <w:tab w:val="clear" w:pos="2495"/>
          <w:tab w:val="clear" w:pos="3119"/>
          <w:tab w:val="clear" w:pos="3742"/>
          <w:tab w:val="clear" w:pos="4366"/>
          <w:tab w:val="clear" w:pos="4990"/>
        </w:tabs>
        <w:ind w:left="2410" w:hanging="567"/>
        <w:jc w:val="both"/>
        <w:rPr>
          <w:rFonts w:eastAsia="SimSun"/>
          <w:sz w:val="24"/>
          <w:szCs w:val="24"/>
        </w:rPr>
      </w:pPr>
      <w:proofErr w:type="spellStart"/>
      <w:r w:rsidRPr="009B423C">
        <w:rPr>
          <w:rFonts w:eastAsia="SimSun"/>
          <w:sz w:val="24"/>
          <w:szCs w:val="24"/>
          <w:lang w:val="zh-CN"/>
        </w:rPr>
        <w:t>会议闭幕</w:t>
      </w:r>
      <w:proofErr w:type="spellEnd"/>
      <w:r w:rsidRPr="009B423C">
        <w:rPr>
          <w:rFonts w:eastAsia="SimSun"/>
          <w:sz w:val="24"/>
          <w:szCs w:val="24"/>
          <w:lang w:val="zh-CN"/>
        </w:rPr>
        <w:t>。</w:t>
      </w:r>
    </w:p>
    <w:p w14:paraId="73A553D4" w14:textId="77777777"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在议程分项目</w:t>
      </w:r>
      <w:r w:rsidRPr="009B423C">
        <w:rPr>
          <w:rFonts w:eastAsia="SimSun"/>
          <w:sz w:val="24"/>
          <w:szCs w:val="24"/>
          <w:lang w:val="zh-CN"/>
        </w:rPr>
        <w:t xml:space="preserve">4 </w:t>
      </w:r>
      <w:proofErr w:type="gramStart"/>
      <w:r w:rsidRPr="009B423C">
        <w:rPr>
          <w:rFonts w:eastAsia="SimSun"/>
          <w:sz w:val="24"/>
          <w:szCs w:val="24"/>
          <w:lang w:val="zh-CN"/>
        </w:rPr>
        <w:t>(e)</w:t>
      </w:r>
      <w:proofErr w:type="gramEnd"/>
      <w:r w:rsidRPr="009B423C">
        <w:rPr>
          <w:rFonts w:ascii="SimSun" w:eastAsia="SimSun" w:hAnsi="SimSun"/>
          <w:sz w:val="24"/>
          <w:szCs w:val="24"/>
          <w:lang w:val="zh-CN"/>
        </w:rPr>
        <w:t>“任何其他议题”</w:t>
      </w:r>
      <w:r w:rsidRPr="009B423C">
        <w:rPr>
          <w:rFonts w:eastAsia="SimSun"/>
          <w:sz w:val="24"/>
          <w:szCs w:val="24"/>
          <w:lang w:val="zh-CN"/>
        </w:rPr>
        <w:t>下，工作组商定审议对一种销毁技术的评估。</w:t>
      </w:r>
    </w:p>
    <w:p w14:paraId="4C660F14" w14:textId="075C8830" w:rsidR="008E3B73" w:rsidRPr="009B423C" w:rsidRDefault="008E3B73">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在议程项目</w:t>
      </w:r>
      <w:r w:rsidRPr="009B423C">
        <w:rPr>
          <w:rFonts w:eastAsia="SimSun"/>
          <w:sz w:val="24"/>
          <w:szCs w:val="24"/>
          <w:lang w:val="zh-CN"/>
        </w:rPr>
        <w:t>9</w:t>
      </w:r>
      <w:r w:rsidRPr="009B423C">
        <w:rPr>
          <w:rFonts w:ascii="SimSun" w:eastAsia="SimSun" w:hAnsi="SimSun"/>
          <w:sz w:val="24"/>
          <w:szCs w:val="24"/>
          <w:lang w:val="zh-CN"/>
        </w:rPr>
        <w:t>“其他事项”</w:t>
      </w:r>
      <w:r w:rsidRPr="009B423C">
        <w:rPr>
          <w:rFonts w:eastAsia="SimSun"/>
          <w:sz w:val="24"/>
          <w:szCs w:val="24"/>
          <w:lang w:val="zh-CN"/>
        </w:rPr>
        <w:t>下，工作组商定审议三个分项目：中亚国家加入东欧国家组；一氧化二氮；阿塞拜疆执行《蒙特利尔议定书》第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款的情况。</w:t>
      </w:r>
    </w:p>
    <w:p w14:paraId="403D70C3" w14:textId="015394B0" w:rsidR="001F1F39" w:rsidRPr="009B423C" w:rsidRDefault="000704E6">
      <w:pPr>
        <w:pStyle w:val="CH2"/>
        <w:numPr>
          <w:ilvl w:val="0"/>
          <w:numId w:val="29"/>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r w:rsidRPr="009B423C">
        <w:rPr>
          <w:rFonts w:eastAsia="SimHei"/>
          <w:bCs/>
          <w:sz w:val="28"/>
          <w:szCs w:val="28"/>
          <w:lang w:val="zh-CN" w:eastAsia="zh-CN"/>
        </w:rPr>
        <w:t>工作安排</w:t>
      </w:r>
    </w:p>
    <w:p w14:paraId="6B5B9904" w14:textId="77777777" w:rsidR="00E83FC4" w:rsidRPr="009B423C" w:rsidRDefault="00E83FC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工作组同意共同主席提议的工作安排，即在必要时设立联络小组和非正式小组，并尽可能避免联络小组或非正式小组会议的举行时间相互冲突或与全体会议冲突。上午的全体会议时间为上午</w:t>
      </w:r>
      <w:r w:rsidRPr="009B423C">
        <w:rPr>
          <w:rFonts w:eastAsia="SimSun"/>
          <w:sz w:val="24"/>
          <w:szCs w:val="24"/>
          <w:lang w:val="zh-CN"/>
        </w:rPr>
        <w:t>10</w:t>
      </w:r>
      <w:r w:rsidRPr="009B423C">
        <w:rPr>
          <w:rFonts w:eastAsia="SimSun"/>
          <w:sz w:val="24"/>
          <w:szCs w:val="24"/>
          <w:lang w:val="zh-CN"/>
        </w:rPr>
        <w:t>时至下午</w:t>
      </w:r>
      <w:r w:rsidRPr="009B423C">
        <w:rPr>
          <w:rFonts w:eastAsia="SimSun"/>
          <w:sz w:val="24"/>
          <w:szCs w:val="24"/>
          <w:lang w:val="zh-CN"/>
        </w:rPr>
        <w:t>1</w:t>
      </w:r>
      <w:r w:rsidRPr="009B423C">
        <w:rPr>
          <w:rFonts w:eastAsia="SimSun"/>
          <w:sz w:val="24"/>
          <w:szCs w:val="24"/>
          <w:lang w:val="zh-CN"/>
        </w:rPr>
        <w:t>时，下午的会议时间为下午</w:t>
      </w:r>
      <w:r w:rsidRPr="009B423C">
        <w:rPr>
          <w:rFonts w:eastAsia="SimSun"/>
          <w:sz w:val="24"/>
          <w:szCs w:val="24"/>
          <w:lang w:val="zh-CN"/>
        </w:rPr>
        <w:t>3</w:t>
      </w:r>
      <w:r w:rsidRPr="009B423C">
        <w:rPr>
          <w:rFonts w:eastAsia="SimSun"/>
          <w:sz w:val="24"/>
          <w:szCs w:val="24"/>
          <w:lang w:val="zh-CN"/>
        </w:rPr>
        <w:t>时至</w:t>
      </w:r>
      <w:r w:rsidRPr="009B423C">
        <w:rPr>
          <w:rFonts w:eastAsia="SimSun"/>
          <w:sz w:val="24"/>
          <w:szCs w:val="24"/>
          <w:lang w:val="zh-CN"/>
        </w:rPr>
        <w:t>6</w:t>
      </w:r>
      <w:r w:rsidRPr="009B423C">
        <w:rPr>
          <w:rFonts w:eastAsia="SimSun"/>
          <w:sz w:val="24"/>
          <w:szCs w:val="24"/>
          <w:lang w:val="zh-CN"/>
        </w:rPr>
        <w:t>时。</w:t>
      </w:r>
    </w:p>
    <w:p w14:paraId="101BB8DE" w14:textId="61119FDC"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right="-46" w:hanging="851"/>
        <w:rPr>
          <w:rFonts w:eastAsia="SimHei"/>
          <w:sz w:val="32"/>
          <w:szCs w:val="32"/>
          <w:lang w:eastAsia="zh-CN"/>
        </w:rPr>
      </w:pPr>
      <w:r w:rsidRPr="009B423C">
        <w:rPr>
          <w:rFonts w:eastAsia="SimHei"/>
          <w:bCs/>
          <w:sz w:val="32"/>
          <w:szCs w:val="32"/>
          <w:lang w:val="zh-CN" w:eastAsia="zh-CN"/>
        </w:rPr>
        <w:t>技术和经济评估小组关于执行蒙特利尔议定书多边基金</w:t>
      </w:r>
      <w:r w:rsidRPr="009B423C">
        <w:rPr>
          <w:rFonts w:eastAsia="SimHei"/>
          <w:bCs/>
          <w:sz w:val="32"/>
          <w:szCs w:val="32"/>
          <w:lang w:val="zh-CN" w:eastAsia="zh-CN"/>
        </w:rPr>
        <w:t>2027–2029</w:t>
      </w:r>
      <w:r w:rsidRPr="009B423C">
        <w:rPr>
          <w:rFonts w:eastAsia="SimHei"/>
          <w:bCs/>
          <w:sz w:val="32"/>
          <w:szCs w:val="32"/>
          <w:lang w:val="zh-CN" w:eastAsia="zh-CN"/>
        </w:rPr>
        <w:t>年充资工作的报告（第</w:t>
      </w:r>
      <w:r w:rsidRPr="009B423C">
        <w:rPr>
          <w:rFonts w:eastAsia="SimHei"/>
          <w:bCs/>
          <w:sz w:val="32"/>
          <w:szCs w:val="32"/>
          <w:lang w:val="zh-CN" w:eastAsia="zh-CN"/>
        </w:rPr>
        <w:t>XXXVII/6</w:t>
      </w:r>
      <w:r w:rsidRPr="009B423C">
        <w:rPr>
          <w:rFonts w:eastAsia="SimHei"/>
          <w:bCs/>
          <w:sz w:val="32"/>
          <w:szCs w:val="32"/>
          <w:lang w:val="zh-CN" w:eastAsia="zh-CN"/>
        </w:rPr>
        <w:t>号决定）</w:t>
      </w:r>
    </w:p>
    <w:p w14:paraId="55080937" w14:textId="6B1122EA"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共同主席在介绍该项目时回顾说，根据第</w:t>
      </w:r>
      <w:r w:rsidRPr="009B423C">
        <w:rPr>
          <w:rFonts w:eastAsia="SimSun"/>
          <w:sz w:val="24"/>
          <w:szCs w:val="24"/>
          <w:lang w:val="zh-CN"/>
        </w:rPr>
        <w:t>XXXVII/6</w:t>
      </w:r>
      <w:r w:rsidRPr="009B423C">
        <w:rPr>
          <w:rFonts w:eastAsia="SimSun"/>
          <w:sz w:val="24"/>
          <w:szCs w:val="24"/>
          <w:lang w:val="zh-CN"/>
        </w:rPr>
        <w:t>号决定，技术和经济评估小组设立了一个工作队，负责编制一份关于</w:t>
      </w:r>
      <w:r w:rsidRPr="009B423C">
        <w:rPr>
          <w:rFonts w:eastAsia="SimSun"/>
          <w:sz w:val="24"/>
          <w:szCs w:val="24"/>
          <w:lang w:val="zh-CN"/>
        </w:rPr>
        <w:t>2027–2029</w:t>
      </w:r>
      <w:r w:rsidRPr="009B423C">
        <w:rPr>
          <w:rFonts w:eastAsia="SimSun"/>
          <w:sz w:val="24"/>
          <w:szCs w:val="24"/>
          <w:lang w:val="zh-CN"/>
        </w:rPr>
        <w:t>年期间执行蒙特利尔议定书多边基金充资所需资金的报告。充资报告自</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5</w:t>
      </w:r>
      <w:r w:rsidRPr="009B423C">
        <w:rPr>
          <w:rFonts w:eastAsia="SimSun"/>
          <w:sz w:val="24"/>
          <w:szCs w:val="24"/>
          <w:lang w:val="zh-CN"/>
        </w:rPr>
        <w:t>月中旬起已在会议门户网站上公布。工作队报告的摘要载于秘书处关于供蒙特利尔议定书缔约方不限成员名额工作组第四十八次会议讨论的议题和提请其注意的资料的说明的增编（</w:t>
      </w:r>
      <w:r w:rsidRPr="009B423C">
        <w:rPr>
          <w:rFonts w:eastAsia="SimSun"/>
          <w:sz w:val="24"/>
          <w:szCs w:val="24"/>
          <w:lang w:val="zh-CN"/>
        </w:rPr>
        <w:t>UNEP/OzL.Pro.WG.1/48/2/Add.1</w:t>
      </w:r>
      <w:r w:rsidRPr="009B423C">
        <w:rPr>
          <w:rFonts w:eastAsia="SimSun"/>
          <w:sz w:val="24"/>
          <w:szCs w:val="24"/>
          <w:lang w:val="zh-CN"/>
        </w:rPr>
        <w:t>，第</w:t>
      </w:r>
      <w:r w:rsidRPr="009B423C">
        <w:rPr>
          <w:rFonts w:eastAsia="SimSun"/>
          <w:sz w:val="24"/>
          <w:szCs w:val="24"/>
          <w:lang w:val="zh-CN"/>
        </w:rPr>
        <w:t>4–21</w:t>
      </w:r>
      <w:r w:rsidRPr="009B423C">
        <w:rPr>
          <w:rFonts w:eastAsia="SimSun"/>
          <w:sz w:val="24"/>
          <w:szCs w:val="24"/>
          <w:lang w:val="zh-CN"/>
        </w:rPr>
        <w:lastRenderedPageBreak/>
        <w:t>段），而完整的执行摘要载于其附件一。她向评估小组及其工作队的辛勤工作和奉献精神表示感谢，并邀请工作队介绍其报告。</w:t>
      </w:r>
    </w:p>
    <w:p w14:paraId="2967C095" w14:textId="43199626" w:rsidR="00BF074A" w:rsidRPr="009B423C" w:rsidRDefault="00CA03A0">
      <w:pPr>
        <w:pStyle w:val="CH2"/>
        <w:numPr>
          <w:ilvl w:val="1"/>
          <w:numId w:val="30"/>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proofErr w:type="spellStart"/>
      <w:r w:rsidRPr="009B423C">
        <w:rPr>
          <w:rFonts w:eastAsia="SimHei"/>
          <w:bCs/>
          <w:sz w:val="28"/>
          <w:szCs w:val="28"/>
          <w:lang w:val="zh-CN"/>
        </w:rPr>
        <w:t>专题介绍</w:t>
      </w:r>
      <w:proofErr w:type="spellEnd"/>
    </w:p>
    <w:p w14:paraId="305655B4" w14:textId="3931E14C" w:rsidR="00DF71CA" w:rsidRPr="009B423C" w:rsidRDefault="00DF71CA">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技术和经济评估小组</w:t>
      </w:r>
      <w:r w:rsidR="005739FE">
        <w:rPr>
          <w:rFonts w:eastAsia="SimSun" w:hint="eastAsia"/>
          <w:sz w:val="24"/>
          <w:szCs w:val="24"/>
          <w:lang w:val="zh-CN"/>
        </w:rPr>
        <w:t>工作队</w:t>
      </w:r>
      <w:r w:rsidRPr="009B423C">
        <w:rPr>
          <w:rFonts w:eastAsia="SimSun"/>
          <w:sz w:val="24"/>
          <w:szCs w:val="24"/>
          <w:lang w:val="zh-CN"/>
        </w:rPr>
        <w:t>共同主席</w:t>
      </w:r>
      <w:r w:rsidRPr="009B423C">
        <w:rPr>
          <w:rFonts w:eastAsia="SimSun"/>
          <w:sz w:val="24"/>
          <w:szCs w:val="24"/>
          <w:lang w:val="zh-CN"/>
        </w:rPr>
        <w:t>Bella Maranion</w:t>
      </w:r>
      <w:r w:rsidRPr="009B423C">
        <w:rPr>
          <w:rFonts w:eastAsia="SimSun"/>
          <w:sz w:val="24"/>
          <w:szCs w:val="24"/>
          <w:lang w:val="zh-CN"/>
        </w:rPr>
        <w:t>和</w:t>
      </w:r>
      <w:r w:rsidRPr="009B423C">
        <w:rPr>
          <w:rFonts w:eastAsia="SimSun"/>
          <w:sz w:val="24"/>
          <w:szCs w:val="24"/>
          <w:lang w:val="zh-CN"/>
        </w:rPr>
        <w:t>Suely Carvalho</w:t>
      </w:r>
      <w:r w:rsidRPr="009B423C">
        <w:rPr>
          <w:rFonts w:eastAsia="SimSun"/>
          <w:sz w:val="24"/>
          <w:szCs w:val="24"/>
          <w:lang w:val="zh-CN"/>
        </w:rPr>
        <w:t>、工作队成员</w:t>
      </w:r>
      <w:r w:rsidRPr="009B423C">
        <w:rPr>
          <w:rFonts w:eastAsia="SimSun"/>
          <w:sz w:val="24"/>
          <w:szCs w:val="24"/>
          <w:lang w:val="zh-CN"/>
        </w:rPr>
        <w:t>Bassam Elassaad</w:t>
      </w:r>
      <w:r w:rsidRPr="009B423C">
        <w:rPr>
          <w:rFonts w:eastAsia="SimSun"/>
          <w:sz w:val="24"/>
          <w:szCs w:val="24"/>
          <w:lang w:val="zh-CN"/>
        </w:rPr>
        <w:t>和</w:t>
      </w:r>
      <w:r w:rsidRPr="009B423C">
        <w:rPr>
          <w:rFonts w:eastAsia="SimSun"/>
          <w:sz w:val="24"/>
          <w:szCs w:val="24"/>
          <w:lang w:val="zh-CN"/>
        </w:rPr>
        <w:t>Omar Abdelaziz</w:t>
      </w:r>
      <w:r w:rsidRPr="009B423C">
        <w:rPr>
          <w:rFonts w:eastAsia="SimSun"/>
          <w:sz w:val="24"/>
          <w:szCs w:val="24"/>
          <w:lang w:val="zh-CN"/>
        </w:rPr>
        <w:t>就该报告作了专题介绍。专题介绍摘要载于本报告附件三，未经正式编辑。</w:t>
      </w:r>
    </w:p>
    <w:p w14:paraId="62972477" w14:textId="6A2D4C42" w:rsidR="00BF074A" w:rsidRPr="009B423C" w:rsidRDefault="00CA03A0">
      <w:pPr>
        <w:pStyle w:val="CH2"/>
        <w:numPr>
          <w:ilvl w:val="1"/>
          <w:numId w:val="30"/>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proofErr w:type="spellStart"/>
      <w:r w:rsidRPr="009B423C">
        <w:rPr>
          <w:rFonts w:eastAsia="SimHei"/>
          <w:bCs/>
          <w:sz w:val="28"/>
          <w:szCs w:val="28"/>
          <w:lang w:val="zh-CN"/>
        </w:rPr>
        <w:t>问答环节</w:t>
      </w:r>
      <w:proofErr w:type="spellEnd"/>
    </w:p>
    <w:p w14:paraId="470F3E15" w14:textId="6BAAA220"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在随后的问答环节中，</w:t>
      </w:r>
      <w:r w:rsidRPr="009B423C">
        <w:rPr>
          <w:rFonts w:eastAsia="SimSun"/>
          <w:sz w:val="24"/>
          <w:szCs w:val="24"/>
          <w:lang w:val="zh-CN"/>
        </w:rPr>
        <w:t>Carvalho</w:t>
      </w:r>
      <w:r w:rsidRPr="009B423C">
        <w:rPr>
          <w:rFonts w:eastAsia="SimSun"/>
          <w:sz w:val="24"/>
          <w:szCs w:val="24"/>
          <w:lang w:val="zh-CN"/>
        </w:rPr>
        <w:t>女士和</w:t>
      </w:r>
      <w:r w:rsidRPr="009B423C">
        <w:rPr>
          <w:rFonts w:eastAsia="SimSun"/>
          <w:sz w:val="24"/>
          <w:szCs w:val="24"/>
          <w:lang w:val="zh-CN"/>
        </w:rPr>
        <w:t>Abdelaziz</w:t>
      </w:r>
      <w:r w:rsidRPr="009B423C">
        <w:rPr>
          <w:rFonts w:eastAsia="SimSun"/>
          <w:sz w:val="24"/>
          <w:szCs w:val="24"/>
          <w:lang w:val="zh-CN"/>
        </w:rPr>
        <w:t>先生指出，工作队的充资计算工作是根据工作队职权范围进行的，该职权范围规定采用遵约模型。计算内容还包括执行委员会过去决定中所涉问题的相关费用，例如关于低消费量国家、能效以及受控物质大气监测试点项目供资窗口的问题。然而，一些与遵约无关的问题，如数字化、制冷剂生命周期管理和能效，工作队</w:t>
      </w:r>
      <w:r w:rsidR="00FC3E6B" w:rsidRPr="009B423C">
        <w:rPr>
          <w:rFonts w:eastAsia="SimSun" w:hint="eastAsia"/>
          <w:sz w:val="24"/>
          <w:szCs w:val="24"/>
          <w:lang w:val="zh-CN"/>
        </w:rPr>
        <w:t>仍然</w:t>
      </w:r>
      <w:r w:rsidRPr="009B423C">
        <w:rPr>
          <w:rFonts w:eastAsia="SimSun"/>
          <w:sz w:val="24"/>
          <w:szCs w:val="24"/>
          <w:lang w:val="zh-CN"/>
        </w:rPr>
        <w:t>认为非常重要，并在报告中进行了单独阐述。鉴于核定数额存在差异，项目管理费未纳入此次计算中。如果工作组有此意愿，没有任何因素妨碍在补充报告中审议上述任何问题，</w:t>
      </w:r>
      <w:r w:rsidRPr="009B423C">
        <w:rPr>
          <w:rFonts w:eastAsia="SimSun"/>
          <w:sz w:val="24"/>
          <w:szCs w:val="24"/>
          <w:lang w:val="zh-CN"/>
        </w:rPr>
        <w:t>Maranion</w:t>
      </w:r>
      <w:r w:rsidRPr="009B423C">
        <w:rPr>
          <w:rFonts w:eastAsia="SimSun"/>
          <w:sz w:val="24"/>
          <w:szCs w:val="24"/>
          <w:lang w:val="zh-CN"/>
        </w:rPr>
        <w:t>女士表示工作队欢迎缔约方就如何开展这项工作提供指导。</w:t>
      </w:r>
    </w:p>
    <w:p w14:paraId="2ECD8206" w14:textId="6D769B58"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在遵约模型下，</w:t>
      </w:r>
      <w:r w:rsidR="00FC3E6B" w:rsidRPr="009B423C">
        <w:rPr>
          <w:rFonts w:eastAsia="SimSun" w:hint="eastAsia"/>
          <w:sz w:val="24"/>
          <w:szCs w:val="24"/>
          <w:lang w:val="zh-CN"/>
        </w:rPr>
        <w:t>要求</w:t>
      </w:r>
      <w:r w:rsidRPr="009B423C">
        <w:rPr>
          <w:rFonts w:eastAsia="SimSun"/>
          <w:sz w:val="24"/>
          <w:szCs w:val="24"/>
          <w:lang w:val="zh-CN"/>
        </w:rPr>
        <w:t>工作队遵循执行委员会关于适用于低消费量国家的费用框架的相关决定。尽管预计将在</w:t>
      </w:r>
      <w:r w:rsidRPr="009B423C">
        <w:rPr>
          <w:rFonts w:eastAsia="SimSun"/>
          <w:sz w:val="24"/>
          <w:szCs w:val="24"/>
          <w:lang w:val="zh-CN"/>
        </w:rPr>
        <w:t>2028</w:t>
      </w:r>
      <w:r w:rsidRPr="009B423C">
        <w:rPr>
          <w:rFonts w:eastAsia="SimSun"/>
          <w:sz w:val="24"/>
          <w:szCs w:val="24"/>
          <w:lang w:val="zh-CN"/>
        </w:rPr>
        <w:t>年对基加利氢氟碳化物执行计划第二阶段的费用准则进行审查，但工作队并未试图预测可能作出的变更及其可能产生的影响。</w:t>
      </w:r>
      <w:r w:rsidRPr="009B423C">
        <w:rPr>
          <w:rFonts w:eastAsia="SimSun"/>
          <w:sz w:val="24"/>
          <w:szCs w:val="24"/>
          <w:lang w:val="zh-CN"/>
        </w:rPr>
        <w:t>Carvalho</w:t>
      </w:r>
      <w:r w:rsidRPr="009B423C">
        <w:rPr>
          <w:rFonts w:eastAsia="SimSun"/>
          <w:sz w:val="24"/>
          <w:szCs w:val="24"/>
          <w:lang w:val="zh-CN"/>
        </w:rPr>
        <w:t>女士表示，工作队在报告中试图表明，对于低消费量国家而言供资额度不足，因为固定费用和培训费占了可用资金的大部分。因此，用于其他活动（如示范项目</w:t>
      </w:r>
      <w:r w:rsidR="005739FE">
        <w:rPr>
          <w:rFonts w:eastAsia="SimSun" w:hint="eastAsia"/>
          <w:sz w:val="24"/>
          <w:szCs w:val="24"/>
          <w:lang w:val="zh-CN"/>
        </w:rPr>
        <w:t>和</w:t>
      </w:r>
      <w:r w:rsidRPr="009B423C">
        <w:rPr>
          <w:rFonts w:eastAsia="SimSun"/>
          <w:sz w:val="24"/>
          <w:szCs w:val="24"/>
          <w:lang w:val="zh-CN"/>
        </w:rPr>
        <w:t>进一步的能力建设活动）的资金不足。一位代表表示，其所在缔约方打算就低消费量国家面临的费用增加问题以及工作队报告第</w:t>
      </w:r>
      <w:r w:rsidRPr="009B423C">
        <w:rPr>
          <w:rFonts w:eastAsia="SimSun"/>
          <w:sz w:val="24"/>
          <w:szCs w:val="24"/>
          <w:lang w:val="zh-CN"/>
        </w:rPr>
        <w:t>6</w:t>
      </w:r>
      <w:r w:rsidRPr="009B423C">
        <w:rPr>
          <w:rFonts w:eastAsia="SimSun"/>
          <w:sz w:val="24"/>
          <w:szCs w:val="24"/>
          <w:lang w:val="zh-CN"/>
        </w:rPr>
        <w:t>章中所分析的问题提交一份会议室文件。</w:t>
      </w:r>
      <w:r w:rsidRPr="009B423C">
        <w:rPr>
          <w:rFonts w:eastAsia="SimSun"/>
          <w:sz w:val="24"/>
          <w:szCs w:val="24"/>
          <w:lang w:val="zh-CN"/>
        </w:rPr>
        <w:t>Carvalho</w:t>
      </w:r>
      <w:r w:rsidRPr="009B423C">
        <w:rPr>
          <w:rFonts w:eastAsia="SimSun"/>
          <w:sz w:val="24"/>
          <w:szCs w:val="24"/>
          <w:lang w:val="zh-CN"/>
        </w:rPr>
        <w:t>女士提议与希望进一步了解遵约模型中如何考虑脆弱性问题的代表进行双边讨论。</w:t>
      </w:r>
    </w:p>
    <w:p w14:paraId="1D01E438" w14:textId="5662AFCF"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在遵循遵约模型时，工作队理解其应当使用包含了含氢氯氟烃消费量部分的氢氟碳化物基线、而非实际消费量来计算减排目标。</w:t>
      </w:r>
      <w:r w:rsidRPr="009B423C">
        <w:rPr>
          <w:rFonts w:eastAsia="SimSun"/>
          <w:sz w:val="24"/>
          <w:szCs w:val="24"/>
          <w:lang w:val="zh-CN"/>
        </w:rPr>
        <w:t>Carvalho</w:t>
      </w:r>
      <w:r w:rsidRPr="009B423C">
        <w:rPr>
          <w:rFonts w:eastAsia="SimSun"/>
          <w:sz w:val="24"/>
          <w:szCs w:val="24"/>
          <w:lang w:val="zh-CN"/>
        </w:rPr>
        <w:t>女士和</w:t>
      </w:r>
      <w:r w:rsidRPr="009B423C">
        <w:rPr>
          <w:rFonts w:eastAsia="SimSun"/>
          <w:sz w:val="24"/>
          <w:szCs w:val="24"/>
          <w:lang w:val="zh-CN"/>
        </w:rPr>
        <w:t>Maranion</w:t>
      </w:r>
      <w:r w:rsidRPr="009B423C">
        <w:rPr>
          <w:rFonts w:eastAsia="SimSun"/>
          <w:sz w:val="24"/>
          <w:szCs w:val="24"/>
          <w:lang w:val="zh-CN"/>
        </w:rPr>
        <w:t>女士均表示，工作队希望获得指导，以便在补充报告中采取不同办法。</w:t>
      </w:r>
    </w:p>
    <w:p w14:paraId="6C9CE91F" w14:textId="69528A10"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针对关于第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1</w:t>
      </w:r>
      <w:r w:rsidRPr="009B423C">
        <w:rPr>
          <w:rFonts w:eastAsia="SimSun"/>
          <w:sz w:val="24"/>
          <w:szCs w:val="24"/>
          <w:lang w:val="zh-CN"/>
        </w:rPr>
        <w:t>类缔约方将没有足够资金来执行其基加利执行计划第一阶段的担忧，</w:t>
      </w:r>
      <w:r w:rsidRPr="009B423C">
        <w:rPr>
          <w:rFonts w:eastAsia="SimSun"/>
          <w:sz w:val="24"/>
          <w:szCs w:val="24"/>
          <w:lang w:val="zh-CN"/>
        </w:rPr>
        <w:t>Carvalho</w:t>
      </w:r>
      <w:r w:rsidRPr="009B423C">
        <w:rPr>
          <w:rFonts w:eastAsia="SimSun"/>
          <w:sz w:val="24"/>
          <w:szCs w:val="24"/>
          <w:lang w:val="zh-CN"/>
        </w:rPr>
        <w:t>女士回顾说，工作队已经估算了三个三年期内所需的资金。如果缔约方提出要求，并就如何进行调整给予指导，则可以对分配给每个三年期的总资金比例进行调整。</w:t>
      </w:r>
    </w:p>
    <w:p w14:paraId="5AA82D9E" w14:textId="7A325DC0"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工作队使用了</w:t>
      </w:r>
      <w:r w:rsidRPr="009B423C">
        <w:rPr>
          <w:rFonts w:eastAsia="SimSun"/>
          <w:sz w:val="24"/>
          <w:szCs w:val="24"/>
          <w:lang w:val="zh-CN"/>
        </w:rPr>
        <w:t>15%</w:t>
      </w:r>
      <w:r w:rsidRPr="009B423C">
        <w:rPr>
          <w:rFonts w:eastAsia="SimSun"/>
          <w:sz w:val="24"/>
          <w:szCs w:val="24"/>
          <w:lang w:val="zh-CN"/>
        </w:rPr>
        <w:t>这一数字作为不符合条件的外资企业的扣减百分比，因为这是以往充资报告中使用的数字。工作队曾咨询多边基金秘书处以期找到更合适的百分比，但由于缺乏</w:t>
      </w:r>
      <w:r w:rsidR="005739FE">
        <w:rPr>
          <w:rFonts w:eastAsia="SimSun" w:hint="eastAsia"/>
          <w:sz w:val="24"/>
          <w:szCs w:val="24"/>
          <w:lang w:val="zh-CN"/>
        </w:rPr>
        <w:t>充足</w:t>
      </w:r>
      <w:r w:rsidRPr="009B423C">
        <w:rPr>
          <w:rFonts w:eastAsia="SimSun"/>
          <w:sz w:val="24"/>
          <w:szCs w:val="24"/>
          <w:lang w:val="zh-CN"/>
        </w:rPr>
        <w:t>的数据，这一进程受到阻碍。多边基金秘书处认为</w:t>
      </w:r>
      <w:r w:rsidRPr="009B423C">
        <w:rPr>
          <w:rFonts w:eastAsia="SimSun"/>
          <w:sz w:val="24"/>
          <w:szCs w:val="24"/>
          <w:lang w:val="zh-CN"/>
        </w:rPr>
        <w:t>15%</w:t>
      </w:r>
      <w:r w:rsidRPr="009B423C">
        <w:rPr>
          <w:rFonts w:eastAsia="SimSun"/>
          <w:sz w:val="24"/>
          <w:szCs w:val="24"/>
          <w:lang w:val="zh-CN"/>
        </w:rPr>
        <w:t>是一个合理的假设数字。</w:t>
      </w:r>
    </w:p>
    <w:p w14:paraId="00EADAB2" w14:textId="3A766481"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有人询问尚未批准《基加利修正》的缔约方数量，</w:t>
      </w:r>
      <w:r w:rsidRPr="009B423C">
        <w:rPr>
          <w:rFonts w:eastAsia="SimSun"/>
          <w:sz w:val="24"/>
          <w:szCs w:val="24"/>
          <w:lang w:val="zh-CN"/>
        </w:rPr>
        <w:t>Carvalho</w:t>
      </w:r>
      <w:r w:rsidRPr="009B423C">
        <w:rPr>
          <w:rFonts w:eastAsia="SimSun"/>
          <w:sz w:val="24"/>
          <w:szCs w:val="24"/>
          <w:lang w:val="zh-CN"/>
        </w:rPr>
        <w:t>女士对此表示，截至</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4</w:t>
      </w:r>
      <w:r w:rsidRPr="009B423C">
        <w:rPr>
          <w:rFonts w:eastAsia="SimSun"/>
          <w:sz w:val="24"/>
          <w:szCs w:val="24"/>
          <w:lang w:val="zh-CN"/>
        </w:rPr>
        <w:t>月</w:t>
      </w:r>
      <w:r w:rsidRPr="009B423C">
        <w:rPr>
          <w:rFonts w:eastAsia="SimSun"/>
          <w:sz w:val="24"/>
          <w:szCs w:val="24"/>
          <w:lang w:val="zh-CN"/>
        </w:rPr>
        <w:t>8</w:t>
      </w:r>
      <w:r w:rsidRPr="009B423C">
        <w:rPr>
          <w:rFonts w:eastAsia="SimSun"/>
          <w:sz w:val="24"/>
          <w:szCs w:val="24"/>
          <w:lang w:val="zh-CN"/>
        </w:rPr>
        <w:t>日，共有</w:t>
      </w:r>
      <w:r w:rsidRPr="009B423C">
        <w:rPr>
          <w:rFonts w:eastAsia="SimSun"/>
          <w:sz w:val="24"/>
          <w:szCs w:val="24"/>
          <w:lang w:val="zh-CN"/>
        </w:rPr>
        <w:t>19</w:t>
      </w:r>
      <w:r w:rsidRPr="009B423C">
        <w:rPr>
          <w:rFonts w:eastAsia="SimSun"/>
          <w:sz w:val="24"/>
          <w:szCs w:val="24"/>
          <w:lang w:val="zh-CN"/>
        </w:rPr>
        <w:t>个第</w:t>
      </w:r>
      <w:r w:rsidRPr="009B423C">
        <w:rPr>
          <w:rFonts w:eastAsia="SimSun"/>
          <w:sz w:val="24"/>
          <w:szCs w:val="24"/>
          <w:lang w:val="zh-CN"/>
        </w:rPr>
        <w:t>5</w:t>
      </w:r>
      <w:r w:rsidRPr="009B423C">
        <w:rPr>
          <w:rFonts w:eastAsia="SimSun"/>
          <w:sz w:val="24"/>
          <w:szCs w:val="24"/>
          <w:lang w:val="zh-CN"/>
        </w:rPr>
        <w:t>条缔约方尚未批准该文书。</w:t>
      </w:r>
      <w:r w:rsidRPr="009B423C">
        <w:rPr>
          <w:rFonts w:eastAsia="SimSun"/>
          <w:sz w:val="24"/>
          <w:szCs w:val="24"/>
          <w:lang w:val="zh-CN"/>
        </w:rPr>
        <w:lastRenderedPageBreak/>
        <w:t>她指出，将核实最新数字。有代表要求提供有关这些缔约方批准前景的更多信息，</w:t>
      </w:r>
      <w:r w:rsidRPr="009B423C">
        <w:rPr>
          <w:rFonts w:eastAsia="SimSun"/>
          <w:sz w:val="24"/>
          <w:szCs w:val="24"/>
          <w:lang w:val="zh-CN"/>
        </w:rPr>
        <w:t>Maranion</w:t>
      </w:r>
      <w:r w:rsidRPr="009B423C">
        <w:rPr>
          <w:rFonts w:eastAsia="SimSun"/>
          <w:sz w:val="24"/>
          <w:szCs w:val="24"/>
          <w:lang w:val="zh-CN"/>
        </w:rPr>
        <w:t>女士在回应时表示，工作队预测所有缔约方都将在下一个三年期结束前批准该修正从而使它们有资格获得供资，这一估计可能过于乐观。可能要重新考虑该预测。</w:t>
      </w:r>
    </w:p>
    <w:p w14:paraId="4CD49F67" w14:textId="79438668"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关于区域合作是否优于对某些组别（包括低消费量国家）的单独支持，</w:t>
      </w:r>
      <w:r w:rsidRPr="009B423C">
        <w:rPr>
          <w:rFonts w:eastAsia="SimSun"/>
          <w:sz w:val="24"/>
          <w:szCs w:val="24"/>
          <w:lang w:val="zh-CN"/>
        </w:rPr>
        <w:t>Elassaad</w:t>
      </w:r>
      <w:r w:rsidRPr="009B423C">
        <w:rPr>
          <w:rFonts w:eastAsia="SimSun"/>
          <w:sz w:val="24"/>
          <w:szCs w:val="24"/>
          <w:lang w:val="zh-CN"/>
        </w:rPr>
        <w:t>先生解释说，执行委员会正在就区域中心、区域测试中心</w:t>
      </w:r>
      <w:r w:rsidR="00093259">
        <w:rPr>
          <w:rFonts w:eastAsia="SimSun" w:hint="eastAsia"/>
          <w:sz w:val="24"/>
          <w:szCs w:val="24"/>
          <w:lang w:val="zh-CN"/>
        </w:rPr>
        <w:t>和</w:t>
      </w:r>
      <w:r w:rsidRPr="009B423C">
        <w:rPr>
          <w:rFonts w:eastAsia="SimSun"/>
          <w:sz w:val="24"/>
          <w:szCs w:val="24"/>
          <w:lang w:val="zh-CN"/>
        </w:rPr>
        <w:t>英才中心进行讨论。如果对该主题有任何补充的内容，将列入补充报告中。</w:t>
      </w:r>
    </w:p>
    <w:p w14:paraId="13F409DD"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Abdelaziz</w:t>
      </w:r>
      <w:r w:rsidRPr="009B423C">
        <w:rPr>
          <w:rFonts w:eastAsia="SimSun"/>
          <w:sz w:val="24"/>
          <w:szCs w:val="24"/>
          <w:lang w:val="zh-CN"/>
        </w:rPr>
        <w:t>先生证实，当缔约方选择某些氢氟碳化物替代品时，关于这些替代品的安全性和可燃性问题的培训已包含在含氢氯氟烃逐步淘汰管理计划和基加利执行计划中，这些计划下的活动已在遵约模型中得到考虑。</w:t>
      </w:r>
    </w:p>
    <w:p w14:paraId="142B2141" w14:textId="11F86701"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关于在一种设想方案中对制造部门使用历史成本效益阈值、而在另一种设想方案中则根据含氢氯氟烃费用准则来使用成本效益阈值，工作队承认这两种办法可能没有显著差异，并在其报告的附件</w:t>
      </w:r>
      <w:r w:rsidRPr="009B423C">
        <w:rPr>
          <w:rFonts w:eastAsia="SimSun"/>
          <w:sz w:val="24"/>
          <w:szCs w:val="24"/>
          <w:lang w:val="zh-CN"/>
        </w:rPr>
        <w:t>2L</w:t>
      </w:r>
      <w:r w:rsidRPr="009B423C">
        <w:rPr>
          <w:rFonts w:eastAsia="SimSun"/>
          <w:sz w:val="24"/>
          <w:szCs w:val="24"/>
          <w:lang w:val="zh-CN"/>
        </w:rPr>
        <w:t>中对此进行了详细阐述。</w:t>
      </w:r>
    </w:p>
    <w:p w14:paraId="55A77668"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队曾考虑使用含氢氯氟烃成本效益数据作为氢氟碳化物转换的代用数据，但放弃了这一想法，因为现有数据（虽然有限）表明，根据所使用的技术，氢氟碳化物的费用更高。随着执行委员会继续资助更多的基加利执行计划，将能掌握更多数据。</w:t>
      </w:r>
    </w:p>
    <w:p w14:paraId="14764BAD" w14:textId="74F55C42"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关于针对最大消费量缔约方采用不同的成本效益办法的建议，</w:t>
      </w:r>
      <w:r w:rsidRPr="009B423C">
        <w:rPr>
          <w:rFonts w:eastAsia="SimSun"/>
          <w:sz w:val="24"/>
          <w:szCs w:val="24"/>
          <w:lang w:val="zh-CN"/>
        </w:rPr>
        <w:t>Carvalho</w:t>
      </w:r>
      <w:r w:rsidRPr="009B423C">
        <w:rPr>
          <w:rFonts w:eastAsia="SimSun"/>
          <w:sz w:val="24"/>
          <w:szCs w:val="24"/>
          <w:lang w:val="zh-CN"/>
        </w:rPr>
        <w:t>女士表示工作队没有足够的资源来查阅大量数据库，因此仅查阅了公开文件。工作队利用有限的信息，试图确立一个可以适用于所有缔约方的数值。如果要求工作队根据近年来收到的实际资金采取不同的办法，则需要在工作队的职权范围中加以明确说明。</w:t>
      </w:r>
    </w:p>
    <w:p w14:paraId="1941E1CC" w14:textId="15301D69"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Elassaad</w:t>
      </w:r>
      <w:r w:rsidRPr="009B423C">
        <w:rPr>
          <w:rFonts w:eastAsia="SimSun"/>
          <w:sz w:val="24"/>
          <w:szCs w:val="24"/>
          <w:lang w:val="zh-CN"/>
        </w:rPr>
        <w:t>先生在回答关于将第一阶段使用的成本效益值应用于第二阶段的问题时表示，工作队没有考虑任何其他办法。</w:t>
      </w:r>
    </w:p>
    <w:p w14:paraId="0F80208F"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针对关于供资设想方案如何与现实世界的资金拨付时间表和缔约方的现金流需求保持一致的问题，</w:t>
      </w:r>
      <w:r w:rsidRPr="009B423C">
        <w:rPr>
          <w:rFonts w:eastAsia="SimSun"/>
          <w:sz w:val="24"/>
          <w:szCs w:val="24"/>
          <w:lang w:val="zh-CN"/>
        </w:rPr>
        <w:t>Carvalho</w:t>
      </w:r>
      <w:r w:rsidRPr="009B423C">
        <w:rPr>
          <w:rFonts w:eastAsia="SimSun"/>
          <w:sz w:val="24"/>
          <w:szCs w:val="24"/>
          <w:lang w:val="zh-CN"/>
        </w:rPr>
        <w:t>女士和</w:t>
      </w:r>
      <w:r w:rsidRPr="009B423C">
        <w:rPr>
          <w:rFonts w:eastAsia="SimSun"/>
          <w:sz w:val="24"/>
          <w:szCs w:val="24"/>
          <w:lang w:val="zh-CN"/>
        </w:rPr>
        <w:t>Maranion</w:t>
      </w:r>
      <w:r w:rsidRPr="009B423C">
        <w:rPr>
          <w:rFonts w:eastAsia="SimSun"/>
          <w:sz w:val="24"/>
          <w:szCs w:val="24"/>
          <w:lang w:val="zh-CN"/>
        </w:rPr>
        <w:t>女士均表示，工作队已试图将以往充资报告中采用的方法与项目周期、现金流要求以及执行委员会的运作更紧密地联系起来，以使其对缔约方而言更加熟悉，从而更容易理解。</w:t>
      </w:r>
    </w:p>
    <w:p w14:paraId="416DD26F"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Maranion</w:t>
      </w:r>
      <w:r w:rsidRPr="009B423C">
        <w:rPr>
          <w:rFonts w:eastAsia="SimSun"/>
          <w:sz w:val="24"/>
          <w:szCs w:val="24"/>
          <w:lang w:val="zh-CN"/>
        </w:rPr>
        <w:t>女士证实，工作队的成员出席了执行委员会第九十八次会议，并非常希望根据新的进展更新工作队的分析。</w:t>
      </w:r>
    </w:p>
    <w:p w14:paraId="2D2EC6EA" w14:textId="2E884722"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针对关于工作队在报告中对缔约方进行分组的办法与</w:t>
      </w:r>
      <w:r w:rsidRPr="009B423C">
        <w:rPr>
          <w:rFonts w:eastAsia="SimSun"/>
          <w:sz w:val="24"/>
          <w:szCs w:val="24"/>
          <w:lang w:val="zh-CN"/>
        </w:rPr>
        <w:t>2024–2026</w:t>
      </w:r>
      <w:r w:rsidRPr="009B423C">
        <w:rPr>
          <w:rFonts w:eastAsia="SimSun"/>
          <w:sz w:val="24"/>
          <w:szCs w:val="24"/>
          <w:lang w:val="zh-CN"/>
        </w:rPr>
        <w:t>三年期报告中的办法的比较问题，</w:t>
      </w:r>
      <w:r w:rsidRPr="009B423C">
        <w:rPr>
          <w:rFonts w:eastAsia="SimSun"/>
          <w:sz w:val="24"/>
          <w:szCs w:val="24"/>
          <w:lang w:val="zh-CN"/>
        </w:rPr>
        <w:t>Maranion</w:t>
      </w:r>
      <w:r w:rsidRPr="009B423C">
        <w:rPr>
          <w:rFonts w:eastAsia="SimSun"/>
          <w:sz w:val="24"/>
          <w:szCs w:val="24"/>
          <w:lang w:val="zh-CN"/>
        </w:rPr>
        <w:t>女士表示，工作队认为这两种办法相似，</w:t>
      </w:r>
      <w:r w:rsidR="00AC4D0A">
        <w:rPr>
          <w:rFonts w:eastAsia="SimSun" w:hint="eastAsia"/>
          <w:sz w:val="24"/>
          <w:szCs w:val="24"/>
          <w:lang w:val="zh-CN"/>
        </w:rPr>
        <w:t>都是</w:t>
      </w:r>
      <w:r w:rsidRPr="009B423C">
        <w:rPr>
          <w:rFonts w:eastAsia="SimSun"/>
          <w:sz w:val="24"/>
          <w:szCs w:val="24"/>
          <w:lang w:val="zh-CN"/>
        </w:rPr>
        <w:t>根据缔约方的消费特征对其进行分组。</w:t>
      </w:r>
    </w:p>
    <w:p w14:paraId="7691C9A2" w14:textId="201AF38B"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Elassaad</w:t>
      </w:r>
      <w:r w:rsidRPr="009B423C">
        <w:rPr>
          <w:rFonts w:eastAsia="SimSun"/>
          <w:sz w:val="24"/>
          <w:szCs w:val="24"/>
          <w:lang w:val="zh-CN"/>
        </w:rPr>
        <w:t>先生表示，工作队并未将认证、许可、安全标准以及获得适当工具和设备视为培训费的一部分。关于培训的信息是从提交给多边基金秘书处的基加利执行计划中提取的。如果项目包含的不仅仅是培训，工作队则试图提取仅与培训相关的信息。在补充报告中，可以通过进一步细分信息并列入其他活动来改进工作队的办法。</w:t>
      </w:r>
    </w:p>
    <w:p w14:paraId="51F148C2"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针对以往充资报告中对</w:t>
      </w:r>
      <w:r w:rsidRPr="009B423C">
        <w:rPr>
          <w:rFonts w:eastAsia="SimSun"/>
          <w:sz w:val="24"/>
          <w:szCs w:val="24"/>
          <w:lang w:val="zh-CN"/>
        </w:rPr>
        <w:t>2027–2029</w:t>
      </w:r>
      <w:r w:rsidRPr="009B423C">
        <w:rPr>
          <w:rFonts w:eastAsia="SimSun"/>
          <w:sz w:val="24"/>
          <w:szCs w:val="24"/>
          <w:lang w:val="zh-CN"/>
        </w:rPr>
        <w:t>三年期需求的估算与新充资报告中的估算之间存在差异的问题，</w:t>
      </w:r>
      <w:r w:rsidRPr="009B423C">
        <w:rPr>
          <w:rFonts w:eastAsia="SimSun"/>
          <w:sz w:val="24"/>
          <w:szCs w:val="24"/>
          <w:lang w:val="zh-CN"/>
        </w:rPr>
        <w:t>Carvalho</w:t>
      </w:r>
      <w:r w:rsidRPr="009B423C">
        <w:rPr>
          <w:rFonts w:eastAsia="SimSun"/>
          <w:sz w:val="24"/>
          <w:szCs w:val="24"/>
          <w:lang w:val="zh-CN"/>
        </w:rPr>
        <w:t>女士解释说，过去使用的方法不同，对</w:t>
      </w:r>
      <w:r w:rsidRPr="009B423C">
        <w:rPr>
          <w:rFonts w:eastAsia="SimSun"/>
          <w:sz w:val="24"/>
          <w:szCs w:val="24"/>
          <w:lang w:val="zh-CN"/>
        </w:rPr>
        <w:t>2027–2029</w:t>
      </w:r>
      <w:r w:rsidRPr="009B423C">
        <w:rPr>
          <w:rFonts w:eastAsia="SimSun"/>
          <w:sz w:val="24"/>
          <w:szCs w:val="24"/>
          <w:lang w:val="zh-CN"/>
        </w:rPr>
        <w:t>三年期仅给出了一个指示性数字。鉴于目前在三个三年期内已有一个明确的遵约期，</w:t>
      </w:r>
      <w:r w:rsidRPr="009B423C">
        <w:rPr>
          <w:rFonts w:eastAsia="SimSun"/>
          <w:sz w:val="24"/>
          <w:szCs w:val="24"/>
          <w:lang w:val="zh-CN"/>
        </w:rPr>
        <w:t>2027–2029</w:t>
      </w:r>
      <w:r w:rsidRPr="009B423C">
        <w:rPr>
          <w:rFonts w:eastAsia="SimSun"/>
          <w:sz w:val="24"/>
          <w:szCs w:val="24"/>
          <w:lang w:val="zh-CN"/>
        </w:rPr>
        <w:t>三年期的实际充资数字将取决于缔约方希望如何在这三个周期内划分预计的合计资金需求。</w:t>
      </w:r>
    </w:p>
    <w:p w14:paraId="30810C86" w14:textId="03E14EE9" w:rsidR="00850D87" w:rsidRPr="009B423C" w:rsidRDefault="000914A0">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hint="eastAsia"/>
          <w:sz w:val="24"/>
          <w:szCs w:val="24"/>
          <w:lang w:val="zh-CN"/>
        </w:rPr>
        <w:t>单个</w:t>
      </w:r>
      <w:r w:rsidR="00850D87" w:rsidRPr="009B423C">
        <w:rPr>
          <w:rFonts w:eastAsia="SimSun"/>
          <w:sz w:val="24"/>
          <w:szCs w:val="24"/>
          <w:lang w:val="zh-CN"/>
        </w:rPr>
        <w:t>代表提出的其他问题涉及：为什么报告中甚至没有更多的设想方案；含氢氯氟烃费用估算的准确性；为什么工作队估算了两个没有多边基金核准项目的国家的额外的三氟甲烷副产品减排费用；以及工作队是否评价了新充资报告所用的方法，包括通过对先前充资所预计的需求与多边基金的实际支出进行比较。</w:t>
      </w:r>
    </w:p>
    <w:p w14:paraId="475F6846" w14:textId="3D886457" w:rsidR="00BF074A" w:rsidRPr="009B423C" w:rsidRDefault="00CA03A0">
      <w:pPr>
        <w:pStyle w:val="CH2"/>
        <w:numPr>
          <w:ilvl w:val="1"/>
          <w:numId w:val="30"/>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proofErr w:type="spellStart"/>
      <w:r w:rsidRPr="009B423C">
        <w:rPr>
          <w:rFonts w:eastAsia="SimHei"/>
          <w:bCs/>
          <w:sz w:val="28"/>
          <w:szCs w:val="28"/>
          <w:lang w:val="zh-CN"/>
        </w:rPr>
        <w:t>讨论情况</w:t>
      </w:r>
      <w:proofErr w:type="spellEnd"/>
    </w:p>
    <w:p w14:paraId="15D21263" w14:textId="6AFA88B2"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讨论中，许多代表对评估小组及其充资问题工作队为编制关于即将开展的充资工作的报告所付出的努力予以肯定和赞赏。大多数代表申明充资旨在确保完全遵守《蒙特利尔议定书》及其《基加利修正》，几位代表则肯定了多边基金对《议定书》迄今所获成功发挥的核心作用。</w:t>
      </w:r>
    </w:p>
    <w:p w14:paraId="37182008" w14:textId="759CE8BA"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许多代表重申他们支持多边基金作为《蒙特利尔议定书》基础</w:t>
      </w:r>
      <w:r w:rsidR="00B45996" w:rsidRPr="009B423C">
        <w:rPr>
          <w:rFonts w:eastAsia="SimSun" w:hint="eastAsia"/>
          <w:sz w:val="24"/>
          <w:szCs w:val="24"/>
          <w:lang w:val="zh-CN"/>
        </w:rPr>
        <w:t>架构</w:t>
      </w:r>
      <w:r w:rsidRPr="009B423C">
        <w:rPr>
          <w:rFonts w:eastAsia="SimSun"/>
          <w:sz w:val="24"/>
          <w:szCs w:val="24"/>
          <w:lang w:val="zh-CN"/>
        </w:rPr>
        <w:t>不可分割的一部分，为第</w:t>
      </w:r>
      <w:r w:rsidRPr="009B423C">
        <w:rPr>
          <w:rFonts w:eastAsia="SimSun"/>
          <w:sz w:val="24"/>
          <w:szCs w:val="24"/>
          <w:lang w:val="zh-CN"/>
        </w:rPr>
        <w:t>5</w:t>
      </w:r>
      <w:r w:rsidRPr="009B423C">
        <w:rPr>
          <w:rFonts w:eastAsia="SimSun"/>
          <w:sz w:val="24"/>
          <w:szCs w:val="24"/>
          <w:lang w:val="zh-CN"/>
        </w:rPr>
        <w:t>条缔约方实现其遵约目标、包括在《基加利修正》下的目标提供支持。然而，一位代表某组缔约方发言的代表回顾指出，多边基金下的资金旨在用于与遵约有关的活动；另一名代表则重申了这一说法，并补充说其所在国家还支持通过多边基金提供资金，帮助第</w:t>
      </w:r>
      <w:r w:rsidRPr="009B423C">
        <w:rPr>
          <w:rFonts w:eastAsia="SimSun"/>
          <w:sz w:val="24"/>
          <w:szCs w:val="24"/>
          <w:lang w:val="zh-CN"/>
        </w:rPr>
        <w:t>5</w:t>
      </w:r>
      <w:r w:rsidRPr="009B423C">
        <w:rPr>
          <w:rFonts w:eastAsia="SimSun"/>
          <w:sz w:val="24"/>
          <w:szCs w:val="24"/>
          <w:lang w:val="zh-CN"/>
        </w:rPr>
        <w:t>条缔约方解决与遵约有关但在严格意义上并非遵约所必需的问题，前提是各缔约方和执行委员会同意解决此类问题。</w:t>
      </w:r>
    </w:p>
    <w:p w14:paraId="339191FF"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许多代表（包括一位代表某组缔约方发言的代表）对充资问题工作队在估算</w:t>
      </w:r>
      <w:r w:rsidRPr="009B423C">
        <w:rPr>
          <w:rFonts w:eastAsia="SimSun"/>
          <w:sz w:val="24"/>
          <w:szCs w:val="24"/>
          <w:lang w:val="zh-CN"/>
        </w:rPr>
        <w:t>2027–2029</w:t>
      </w:r>
      <w:r w:rsidRPr="009B423C">
        <w:rPr>
          <w:rFonts w:eastAsia="SimSun"/>
          <w:sz w:val="24"/>
          <w:szCs w:val="24"/>
          <w:lang w:val="zh-CN"/>
        </w:rPr>
        <w:t>三年期所需资金时所采用的方法提出了关切。尽管他们均赞同充资额度应反映第</w:t>
      </w:r>
      <w:r w:rsidRPr="009B423C">
        <w:rPr>
          <w:rFonts w:eastAsia="SimSun"/>
          <w:sz w:val="24"/>
          <w:szCs w:val="24"/>
          <w:lang w:val="zh-CN"/>
        </w:rPr>
        <w:t>5</w:t>
      </w:r>
      <w:r w:rsidRPr="009B423C">
        <w:rPr>
          <w:rFonts w:eastAsia="SimSun"/>
          <w:sz w:val="24"/>
          <w:szCs w:val="24"/>
          <w:lang w:val="zh-CN"/>
        </w:rPr>
        <w:t>条缔约方的实际需求，但他们对估算准确性的看法存在分歧。</w:t>
      </w:r>
    </w:p>
    <w:p w14:paraId="729ABB3A" w14:textId="0BEC9C01"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一些代表表示，估计数的范围大幅超过了任何现实数额。他们在指出务实办法对维护多边基金可信度的重要性的同时，强调需要进行额外的分析，特别是要列入基于第</w:t>
      </w:r>
      <w:r w:rsidRPr="009B423C">
        <w:rPr>
          <w:rFonts w:eastAsia="SimSun"/>
          <w:sz w:val="24"/>
          <w:szCs w:val="24"/>
          <w:lang w:val="zh-CN"/>
        </w:rPr>
        <w:t>5</w:t>
      </w:r>
      <w:r w:rsidRPr="009B423C">
        <w:rPr>
          <w:rFonts w:eastAsia="SimSun"/>
          <w:sz w:val="24"/>
          <w:szCs w:val="24"/>
          <w:lang w:val="zh-CN"/>
        </w:rPr>
        <w:t>条缔约方受控物质的实际消费水平、而非往往高得多的最大允许消费水平的设想方案。几位代表（包括一位代表某组缔约方发言的代表）建议工作队利用基加利执行计划中的数据来提高其氢氟碳化物消费量估算的准确性，另有几位代表建议在所有关键制造部门应用多边基金在向</w:t>
      </w:r>
      <w:r w:rsidR="00AC4D0A">
        <w:rPr>
          <w:rFonts w:eastAsia="SimSun" w:hint="eastAsia"/>
          <w:sz w:val="24"/>
          <w:szCs w:val="24"/>
          <w:lang w:val="zh-CN"/>
        </w:rPr>
        <w:t>较</w:t>
      </w:r>
      <w:r w:rsidRPr="009B423C">
        <w:rPr>
          <w:rFonts w:eastAsia="SimSun"/>
          <w:sz w:val="24"/>
          <w:szCs w:val="24"/>
          <w:lang w:val="zh-CN"/>
        </w:rPr>
        <w:t>低全球升温潜能值替代品过渡方面的经验和知识。一位代表指出，鉴于起草和核准基加利执行计划所需时间之长，假设逐步削减氢氟碳化物能够比《基加利修正》所要求的时间更早实现是不切实际的。一些代表还指出了考虑成本效益值的重要性。</w:t>
      </w:r>
    </w:p>
    <w:p w14:paraId="350D86DF" w14:textId="1F992E98"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几位代表（包括一位代表某组缔约方发言的代表）强调，他们希望避免重演</w:t>
      </w:r>
      <w:r w:rsidRPr="009B423C">
        <w:rPr>
          <w:rFonts w:eastAsia="SimSun"/>
          <w:sz w:val="24"/>
          <w:szCs w:val="24"/>
          <w:lang w:val="zh-CN"/>
        </w:rPr>
        <w:t>2024–2026</w:t>
      </w:r>
      <w:r w:rsidRPr="009B423C">
        <w:rPr>
          <w:rFonts w:eastAsia="SimSun"/>
          <w:sz w:val="24"/>
          <w:szCs w:val="24"/>
          <w:lang w:val="zh-CN"/>
        </w:rPr>
        <w:t>三年期充资的情况，该期充资额度最终远远超出了实际要求的数额。一位代表指出，在国家预算紧张的时期，进行现实的估算尤为重要；另一位代表则认为，以往的充资估算更为准确，并主张恢复那种更高的准确性。一位代表强调，采取务实办法并不是试图限制多边基金</w:t>
      </w:r>
      <w:r w:rsidRPr="009B423C">
        <w:rPr>
          <w:rFonts w:eastAsia="SimSun"/>
          <w:sz w:val="24"/>
          <w:szCs w:val="24"/>
          <w:lang w:val="zh-CN"/>
        </w:rPr>
        <w:lastRenderedPageBreak/>
        <w:t>的雄心，而是为了确保对所有缔约方的支持能够做到可信、可持续、透明且切实有效。</w:t>
      </w:r>
    </w:p>
    <w:p w14:paraId="77D6D8E6" w14:textId="607FCBEB"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许多代表表示担心，充资估算未能考虑到这些国家在试图履行承诺时将面临的所有挑战。其中一些代表回顾说，</w:t>
      </w:r>
      <w:r w:rsidRPr="009B423C">
        <w:rPr>
          <w:rFonts w:eastAsia="SimSun"/>
          <w:sz w:val="24"/>
          <w:szCs w:val="24"/>
          <w:lang w:val="zh-CN"/>
        </w:rPr>
        <w:t>2027–2029</w:t>
      </w:r>
      <w:r w:rsidRPr="009B423C">
        <w:rPr>
          <w:rFonts w:eastAsia="SimSun"/>
          <w:sz w:val="24"/>
          <w:szCs w:val="24"/>
          <w:lang w:val="zh-CN"/>
        </w:rPr>
        <w:t>年充资期是完成逐步淘汰含氢氯氟烃的活动与《基加利修正》执行工作同步运行的时期。一位代表还提请注意，地缘政治不稳定、供应链中断以及制造和运输成本上升的全球背景给同步执行工作带来了挑战。许多代表强调其所在国家需要充足、可持续和可预测的供资。几位代表指出，数字技术、制冷剂生命周期管理、加强体制和能力建设均为资金估算中需予以考虑的重要要素，加强维修保养部门（包括技术人员培训和认证）亦是如此。一位代表回顾说，充资估计数是作为一个全球总额计算的，并建议缔约方避免过于关注细枝末节。</w:t>
      </w:r>
    </w:p>
    <w:p w14:paraId="084BD83C" w14:textId="2AF036C8"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几位代表（包括一位代表某组缔约方发言的代表）强调了其希望在工作队将编制的补充报告中予以解决的要素。他们的建议包括：增加基于氢氟碳化物和含氢氯氟烃实际消费量的设想方案；对过去五年每个第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1</w:t>
      </w:r>
      <w:r w:rsidRPr="009B423C">
        <w:rPr>
          <w:rFonts w:eastAsia="SimSun"/>
          <w:sz w:val="24"/>
          <w:szCs w:val="24"/>
          <w:lang w:val="zh-CN"/>
        </w:rPr>
        <w:t>类缔约方收到的平均供资额度与报告中的供资估计数进行比较；提供资金以应对低消费量和极低消费量国家的过重负担；以及为数字化和制冷剂生命周期管理提供特定资金。</w:t>
      </w:r>
    </w:p>
    <w:p w14:paraId="60B31FD4" w14:textId="562D6DB3"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欢迎报告中承认低消费量和极低消费量国家由于系统建设活动的固定费用而承担了过重负担，但几位代表同时指出，当前的供资模式未能考虑到这一额外负担。一位代表补充说，这些国家还因供应商不愿少量供应使用替代制冷剂的设备而进一步处于不利地位，并表示其代表团打算在缔约方第三十八次会议上就此事提交一份会议室文件，请执行委员会将充资问题工作队报告第</w:t>
      </w:r>
      <w:r w:rsidRPr="009B423C">
        <w:rPr>
          <w:rFonts w:eastAsia="SimSun"/>
          <w:sz w:val="24"/>
          <w:szCs w:val="24"/>
          <w:lang w:val="zh-CN"/>
        </w:rPr>
        <w:t>6</w:t>
      </w:r>
      <w:r w:rsidRPr="009B423C">
        <w:rPr>
          <w:rFonts w:eastAsia="SimSun"/>
          <w:sz w:val="24"/>
          <w:szCs w:val="24"/>
          <w:lang w:val="zh-CN"/>
        </w:rPr>
        <w:t>章的结论纳入</w:t>
      </w:r>
      <w:r w:rsidRPr="009B423C">
        <w:rPr>
          <w:rFonts w:eastAsia="SimSun"/>
          <w:sz w:val="24"/>
          <w:szCs w:val="24"/>
          <w:lang w:val="zh-CN"/>
        </w:rPr>
        <w:t>2028</w:t>
      </w:r>
      <w:r w:rsidRPr="009B423C">
        <w:rPr>
          <w:rFonts w:eastAsia="SimSun"/>
          <w:sz w:val="24"/>
          <w:szCs w:val="24"/>
          <w:lang w:val="zh-CN"/>
        </w:rPr>
        <w:t>年的费用准则审查。其代表团还编制了一份文件，供执行委员会于</w:t>
      </w:r>
      <w:r w:rsidRPr="009B423C">
        <w:rPr>
          <w:rFonts w:eastAsia="SimSun"/>
          <w:sz w:val="24"/>
          <w:szCs w:val="24"/>
          <w:lang w:val="zh-CN"/>
        </w:rPr>
        <w:t>2027</w:t>
      </w:r>
      <w:r w:rsidRPr="009B423C">
        <w:rPr>
          <w:rFonts w:eastAsia="SimSun"/>
          <w:sz w:val="24"/>
          <w:szCs w:val="24"/>
          <w:lang w:val="zh-CN"/>
        </w:rPr>
        <w:t>年</w:t>
      </w:r>
      <w:r w:rsidRPr="009B423C">
        <w:rPr>
          <w:rFonts w:eastAsia="SimSun"/>
          <w:sz w:val="24"/>
          <w:szCs w:val="24"/>
          <w:lang w:val="zh-CN"/>
        </w:rPr>
        <w:t>6</w:t>
      </w:r>
      <w:r w:rsidRPr="009B423C">
        <w:rPr>
          <w:rFonts w:eastAsia="SimSun"/>
          <w:sz w:val="24"/>
          <w:szCs w:val="24"/>
          <w:lang w:val="zh-CN"/>
        </w:rPr>
        <w:t>月举行的第一百次会议审议，以支持进一步讨论该事项。</w:t>
      </w:r>
    </w:p>
    <w:p w14:paraId="52D90465"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一位代表某组缔约方发言的代表（得到另一位代表的呼应）回顾指出，根据《蒙特利尔议定书》第</w:t>
      </w:r>
      <w:r w:rsidRPr="009B423C">
        <w:rPr>
          <w:rFonts w:eastAsia="SimSun"/>
          <w:sz w:val="24"/>
          <w:szCs w:val="24"/>
          <w:lang w:val="zh-CN"/>
        </w:rPr>
        <w:t>10</w:t>
      </w:r>
      <w:r w:rsidRPr="009B423C">
        <w:rPr>
          <w:rFonts w:eastAsia="SimSun"/>
          <w:sz w:val="24"/>
          <w:szCs w:val="24"/>
          <w:lang w:val="zh-CN"/>
        </w:rPr>
        <w:t>条第</w:t>
      </w:r>
      <w:r w:rsidRPr="009B423C">
        <w:rPr>
          <w:rFonts w:eastAsia="SimSun"/>
          <w:sz w:val="24"/>
          <w:szCs w:val="24"/>
          <w:lang w:val="zh-CN"/>
        </w:rPr>
        <w:t>6</w:t>
      </w:r>
      <w:r w:rsidRPr="009B423C">
        <w:rPr>
          <w:rFonts w:eastAsia="SimSun"/>
          <w:sz w:val="24"/>
          <w:szCs w:val="24"/>
          <w:lang w:val="zh-CN"/>
        </w:rPr>
        <w:t>款，多边基金的资金应来自非按第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1</w:t>
      </w:r>
      <w:r w:rsidRPr="009B423C">
        <w:rPr>
          <w:rFonts w:eastAsia="SimSun"/>
          <w:sz w:val="24"/>
          <w:szCs w:val="24"/>
          <w:lang w:val="zh-CN"/>
        </w:rPr>
        <w:t>款行事的缔约方（非第</w:t>
      </w:r>
      <w:r w:rsidRPr="009B423C">
        <w:rPr>
          <w:rFonts w:eastAsia="SimSun"/>
          <w:sz w:val="24"/>
          <w:szCs w:val="24"/>
          <w:lang w:val="zh-CN"/>
        </w:rPr>
        <w:t>5</w:t>
      </w:r>
      <w:r w:rsidRPr="009B423C">
        <w:rPr>
          <w:rFonts w:eastAsia="SimSun"/>
          <w:sz w:val="24"/>
          <w:szCs w:val="24"/>
          <w:lang w:val="zh-CN"/>
        </w:rPr>
        <w:t>条缔约方）的捐款，并应鼓励其他缔约方进行捐款。另一位代表敦促有条件的缔约方向基金捐款。</w:t>
      </w:r>
    </w:p>
    <w:p w14:paraId="6A8A849C" w14:textId="529D3CFB"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表示愿意在一个联络小组中进一步讨论该事项。代表们提出供进一步讨论的要素包括：估算所依据的假设；拟议的资源分配；更多的设想方案；在消费量远低于允许水平情况下的庞大估计费用；拟推迟对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类缔约方的供资；没有为数字技术、制冷剂生命周期管理和项目管理股提供</w:t>
      </w:r>
      <w:r w:rsidR="00FF6A85" w:rsidRPr="009B423C">
        <w:rPr>
          <w:rFonts w:eastAsia="SimSun" w:hint="eastAsia"/>
          <w:sz w:val="24"/>
          <w:szCs w:val="24"/>
          <w:lang w:val="zh-CN"/>
        </w:rPr>
        <w:t>专门</w:t>
      </w:r>
      <w:r w:rsidRPr="009B423C">
        <w:rPr>
          <w:rFonts w:eastAsia="SimSun"/>
          <w:sz w:val="24"/>
          <w:szCs w:val="24"/>
          <w:lang w:val="zh-CN"/>
        </w:rPr>
        <w:t>资金；对保守假设的依赖；以及使用统一</w:t>
      </w:r>
      <w:r w:rsidRPr="009B423C">
        <w:rPr>
          <w:rFonts w:eastAsia="SimSun"/>
          <w:sz w:val="24"/>
          <w:szCs w:val="24"/>
          <w:lang w:val="zh-CN"/>
        </w:rPr>
        <w:t>15%</w:t>
      </w:r>
      <w:r w:rsidRPr="009B423C">
        <w:rPr>
          <w:rFonts w:eastAsia="SimSun"/>
          <w:sz w:val="24"/>
          <w:szCs w:val="24"/>
          <w:lang w:val="zh-CN"/>
        </w:rPr>
        <w:t>扣减假设的做法。</w:t>
      </w:r>
    </w:p>
    <w:p w14:paraId="5F0E406B" w14:textId="4202DAB4"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工作组商定设立一个联络小组，由</w:t>
      </w:r>
      <w:r w:rsidRPr="009B423C">
        <w:rPr>
          <w:rFonts w:eastAsia="SimSun"/>
          <w:sz w:val="24"/>
          <w:szCs w:val="24"/>
          <w:lang w:val="zh-CN"/>
        </w:rPr>
        <w:t>Miruza Mohamed</w:t>
      </w:r>
      <w:r w:rsidRPr="009B423C">
        <w:rPr>
          <w:rFonts w:eastAsia="SimSun"/>
          <w:sz w:val="24"/>
          <w:szCs w:val="24"/>
          <w:lang w:val="zh-CN"/>
        </w:rPr>
        <w:t>（马尔代夫）和</w:t>
      </w:r>
      <w:r w:rsidRPr="009B423C">
        <w:rPr>
          <w:rFonts w:eastAsia="SimSun"/>
          <w:sz w:val="24"/>
          <w:szCs w:val="24"/>
          <w:lang w:val="zh-CN"/>
        </w:rPr>
        <w:t>Ralph Brieskorn</w:t>
      </w:r>
      <w:r w:rsidRPr="009B423C">
        <w:rPr>
          <w:rFonts w:eastAsia="SimSun"/>
          <w:sz w:val="24"/>
          <w:szCs w:val="24"/>
          <w:lang w:val="zh-CN"/>
        </w:rPr>
        <w:t>（荷兰王国）共同主持，负责制定补充指导意见，以供评估小组编制关于</w:t>
      </w:r>
      <w:r w:rsidRPr="009B423C">
        <w:rPr>
          <w:rFonts w:eastAsia="SimSun"/>
          <w:sz w:val="24"/>
          <w:szCs w:val="24"/>
          <w:lang w:val="zh-CN"/>
        </w:rPr>
        <w:t>2027–2029</w:t>
      </w:r>
      <w:r w:rsidRPr="009B423C">
        <w:rPr>
          <w:rFonts w:eastAsia="SimSun"/>
          <w:sz w:val="24"/>
          <w:szCs w:val="24"/>
          <w:lang w:val="zh-CN"/>
        </w:rPr>
        <w:t>年期间多边基金充资所需资金的补充报告。</w:t>
      </w:r>
    </w:p>
    <w:p w14:paraId="376C73C8" w14:textId="55693914"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随后，古巴代表介绍了一项载于会议室文件的决定草案。他说，充资问题工作队的报告证实，低消费量国家和极低消费量国家在履行《基加</w:t>
      </w:r>
      <w:r w:rsidRPr="009B423C">
        <w:rPr>
          <w:rFonts w:eastAsia="SimSun"/>
          <w:sz w:val="24"/>
          <w:szCs w:val="24"/>
          <w:lang w:val="zh-CN"/>
        </w:rPr>
        <w:lastRenderedPageBreak/>
        <w:t>利修正》规定的义务方面面临挑战，而且其履约成本与其消费量或所获得的资金不成比例。除了请多边基金执行委员会将报告第</w:t>
      </w:r>
      <w:r w:rsidRPr="009B423C">
        <w:rPr>
          <w:rFonts w:eastAsia="SimSun"/>
          <w:sz w:val="24"/>
          <w:szCs w:val="24"/>
          <w:lang w:val="zh-CN"/>
        </w:rPr>
        <w:t>6</w:t>
      </w:r>
      <w:r w:rsidRPr="009B423C">
        <w:rPr>
          <w:rFonts w:eastAsia="SimSun"/>
          <w:sz w:val="24"/>
          <w:szCs w:val="24"/>
          <w:lang w:val="zh-CN"/>
        </w:rPr>
        <w:t>章的结论纳入其</w:t>
      </w:r>
      <w:r w:rsidRPr="009B423C">
        <w:rPr>
          <w:rFonts w:eastAsia="SimSun"/>
          <w:sz w:val="24"/>
          <w:szCs w:val="24"/>
          <w:lang w:val="zh-CN"/>
        </w:rPr>
        <w:t>2028</w:t>
      </w:r>
      <w:r w:rsidRPr="009B423C">
        <w:rPr>
          <w:rFonts w:eastAsia="SimSun"/>
          <w:sz w:val="24"/>
          <w:szCs w:val="24"/>
          <w:lang w:val="zh-CN"/>
        </w:rPr>
        <w:t>年费用准则审查之外，该决定草案还请求编写一份文件，供执行委员会</w:t>
      </w:r>
      <w:r w:rsidRPr="009B423C">
        <w:rPr>
          <w:rFonts w:eastAsia="SimSun"/>
          <w:sz w:val="24"/>
          <w:szCs w:val="24"/>
          <w:lang w:val="zh-CN"/>
        </w:rPr>
        <w:t>2027</w:t>
      </w:r>
      <w:r w:rsidRPr="009B423C">
        <w:rPr>
          <w:rFonts w:eastAsia="SimSun"/>
          <w:sz w:val="24"/>
          <w:szCs w:val="24"/>
          <w:lang w:val="zh-CN"/>
        </w:rPr>
        <w:t>年第一次会议（即其第一百次会议）审查，该文件应总结低消费量和极低消费量国家在履行其氢氟碳化物逐步削减义务方面面临的挑战；确定可以开展哪些准备活动来支持这些国家制定氢氟碳化物逐步削减管理计划第二阶段；提出潜在的供资方法，包括可能提高的支持力度，以满足低消费量和极低消费量国家在为基加利氢氟碳化物执行计划第二阶段作准备时面临的独特且紧迫的需求。</w:t>
      </w:r>
    </w:p>
    <w:p w14:paraId="56A29AEB" w14:textId="523BBF80"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D67719">
        <w:rPr>
          <w:rFonts w:eastAsia="SimSun"/>
          <w:spacing w:val="2"/>
          <w:sz w:val="24"/>
          <w:szCs w:val="24"/>
          <w:lang w:val="zh-CN"/>
        </w:rPr>
        <w:t>所有发言的代表都支持该决定草案的意图，即帮助面临困难的低消费量和极低消费量国家履行《基加利修正》规定的义务。一位代表根据个人经验证实了以下主张，即费用与消费量不成比例或与供资不一致，且需要向第</w:t>
      </w:r>
      <w:r w:rsidRPr="00D67719">
        <w:rPr>
          <w:rFonts w:eastAsia="SimSun"/>
          <w:spacing w:val="2"/>
          <w:sz w:val="24"/>
          <w:szCs w:val="24"/>
          <w:lang w:val="zh-CN"/>
        </w:rPr>
        <w:t>5</w:t>
      </w:r>
      <w:r w:rsidRPr="00D67719">
        <w:rPr>
          <w:rFonts w:eastAsia="SimSun"/>
          <w:spacing w:val="2"/>
          <w:sz w:val="24"/>
          <w:szCs w:val="24"/>
          <w:lang w:val="zh-CN"/>
        </w:rPr>
        <w:t>条缔约方（特别是低消费量和极低消费量国家）增加供资和开展</w:t>
      </w:r>
      <w:r w:rsidRPr="00D67719">
        <w:rPr>
          <w:rFonts w:eastAsia="SimSun"/>
          <w:spacing w:val="4"/>
          <w:sz w:val="24"/>
          <w:szCs w:val="24"/>
          <w:lang w:val="zh-CN"/>
        </w:rPr>
        <w:t>持续的能力建设。一些代表支持古巴提交的决定草案，而其他代表则提出了程序方面的关切，指出工作队的报告旨在使缔约方能够根据缔约方第三</w:t>
      </w:r>
      <w:r w:rsidRPr="00D67719">
        <w:rPr>
          <w:rFonts w:eastAsia="SimSun"/>
          <w:spacing w:val="2"/>
          <w:sz w:val="24"/>
          <w:szCs w:val="24"/>
          <w:lang w:val="zh-CN"/>
        </w:rPr>
        <w:t>十七次</w:t>
      </w:r>
      <w:r w:rsidRPr="009B423C">
        <w:rPr>
          <w:rFonts w:eastAsia="SimSun"/>
          <w:sz w:val="24"/>
          <w:szCs w:val="24"/>
          <w:lang w:val="zh-CN"/>
        </w:rPr>
        <w:t>会议核准的职权范围，就多边基金</w:t>
      </w:r>
      <w:r w:rsidRPr="009B423C">
        <w:rPr>
          <w:rFonts w:eastAsia="SimSun"/>
          <w:sz w:val="24"/>
          <w:szCs w:val="24"/>
          <w:lang w:val="zh-CN"/>
        </w:rPr>
        <w:t>2027–2029</w:t>
      </w:r>
      <w:r w:rsidRPr="009B423C">
        <w:rPr>
          <w:rFonts w:eastAsia="SimSun"/>
          <w:sz w:val="24"/>
          <w:szCs w:val="24"/>
          <w:lang w:val="zh-CN"/>
        </w:rPr>
        <w:t>三年期充资水平通过一项决定。因此，不限成员名额工作组需要请工作队在其补充报告中研究更多的具体问题，以便缔约方第三十八次会议能够通过一项充资决定；向执行委员会提出的请求不属于该任务范围。一位代表回顾说，执行委员会已经为低消费量和极低消费量国家制定了特殊的供资模式，而不是对其适用标准的成本效益方法。</w:t>
      </w:r>
    </w:p>
    <w:p w14:paraId="371E0C5A"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是否需要向执行委员会提出请求以及请求的类型，无论如何都将取决于联络小组的讨论结果。因此，他建议古巴代表和其他相关缔约方寻求参与现有进程，为充资问题工作队提供指导意见，以确保其关切得到解决。其他代表指出，只有在就充资问题作出决定后，才会着手编制拟提交执行委员会的报告和开展</w:t>
      </w:r>
      <w:r w:rsidRPr="009B423C">
        <w:rPr>
          <w:rFonts w:eastAsia="SimSun"/>
          <w:sz w:val="24"/>
          <w:szCs w:val="24"/>
          <w:lang w:val="zh-CN"/>
        </w:rPr>
        <w:t>2028</w:t>
      </w:r>
      <w:r w:rsidRPr="009B423C">
        <w:rPr>
          <w:rFonts w:eastAsia="SimSun"/>
          <w:sz w:val="24"/>
          <w:szCs w:val="24"/>
          <w:lang w:val="zh-CN"/>
        </w:rPr>
        <w:t>年供资准则审查工作。</w:t>
      </w:r>
    </w:p>
    <w:p w14:paraId="16CCB084"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寻求推进决定草案的代表提出希望有机会对案文进行一些修改，并建议在为讨论充资问题工作队指导意见而设立的联络小组中审议该决定草案。另一位代表强调，决定草案所要求的提交执行委员会的报告将确保执行委员会在</w:t>
      </w:r>
      <w:r w:rsidRPr="009B423C">
        <w:rPr>
          <w:rFonts w:eastAsia="SimSun"/>
          <w:sz w:val="24"/>
          <w:szCs w:val="24"/>
          <w:lang w:val="zh-CN"/>
        </w:rPr>
        <w:t>2028</w:t>
      </w:r>
      <w:r w:rsidRPr="009B423C">
        <w:rPr>
          <w:rFonts w:eastAsia="SimSun"/>
          <w:sz w:val="24"/>
          <w:szCs w:val="24"/>
          <w:lang w:val="zh-CN"/>
        </w:rPr>
        <w:t>年审查供资准则时掌握全面数据并充分了解情况，且绝不会预先判断审查结果。</w:t>
      </w:r>
    </w:p>
    <w:p w14:paraId="459C66EF"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尽管未就将该决定草案提交缔约方第三十八次会议一事达成一致，但工作组同意古巴代表在会议间隙与相关缔约方进行非正式磋商，以澄清下一步工作安排并在会议晚些时候向工作组报告。共同主席敦促相关缔约方在充资问题联络小组内开展工作，将决定草案中的各项原则和想法纳入工作队补充报告编制工作指导意见。</w:t>
      </w:r>
    </w:p>
    <w:p w14:paraId="71BD66AC" w14:textId="3D1DA6DD"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随后，共同主席表示，由于古巴代表未在会议室报告非正式磋商的结果，因此推定古巴进行的非正式讨论未能得到支持，无法将</w:t>
      </w:r>
      <w:r w:rsidR="00AC4D0A">
        <w:rPr>
          <w:rFonts w:eastAsia="SimSun" w:hint="eastAsia"/>
          <w:sz w:val="24"/>
          <w:szCs w:val="24"/>
          <w:lang w:val="zh-CN"/>
        </w:rPr>
        <w:t>古巴的</w:t>
      </w:r>
      <w:r w:rsidRPr="009B423C">
        <w:rPr>
          <w:rFonts w:eastAsia="SimSun"/>
          <w:sz w:val="24"/>
          <w:szCs w:val="24"/>
          <w:lang w:val="zh-CN"/>
        </w:rPr>
        <w:t>决定草案递交缔约方第三十八次会议进一步审议。</w:t>
      </w:r>
    </w:p>
    <w:p w14:paraId="0A18CB19" w14:textId="4109E76E"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联络小组共同主席随后汇报了联络小组的工作，称联络小组已成功就充资工作补充报告中的额外分析建议达成一致。工作组商定将这些建议</w:t>
      </w:r>
      <w:r w:rsidRPr="009B423C">
        <w:rPr>
          <w:rFonts w:eastAsia="SimSun"/>
          <w:sz w:val="24"/>
          <w:szCs w:val="24"/>
          <w:lang w:val="zh-CN"/>
        </w:rPr>
        <w:lastRenderedPageBreak/>
        <w:t>的案文列入本报告附件，供评估小组的充资问题工作队在编制供缔约方第三十八次会议审议的补充报告时使用。</w:t>
      </w:r>
    </w:p>
    <w:p w14:paraId="7434463C" w14:textId="35973903"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w:t>
      </w:r>
      <w:r w:rsidRPr="009B423C">
        <w:rPr>
          <w:rFonts w:eastAsia="SimSun"/>
          <w:sz w:val="24"/>
          <w:szCs w:val="24"/>
          <w:lang w:val="zh-CN"/>
        </w:rPr>
        <w:t>2027–2029</w:t>
      </w:r>
      <w:r w:rsidRPr="009B423C">
        <w:rPr>
          <w:rFonts w:eastAsia="SimSun"/>
          <w:sz w:val="24"/>
          <w:szCs w:val="24"/>
          <w:lang w:val="zh-CN"/>
        </w:rPr>
        <w:t>年期间多边基金充资工作补充报告中的额外分析建议载于本报告附件二</w:t>
      </w:r>
      <w:r w:rsidR="00286E4D">
        <w:rPr>
          <w:rFonts w:eastAsia="SimSun" w:hint="eastAsia"/>
          <w:sz w:val="24"/>
          <w:szCs w:val="24"/>
          <w:lang w:val="zh-CN"/>
        </w:rPr>
        <w:t>A</w:t>
      </w:r>
      <w:r w:rsidRPr="009B423C">
        <w:rPr>
          <w:rFonts w:eastAsia="SimSun"/>
          <w:sz w:val="24"/>
          <w:szCs w:val="24"/>
          <w:lang w:val="zh-CN"/>
        </w:rPr>
        <w:t>节，未经正式编辑。</w:t>
      </w:r>
    </w:p>
    <w:p w14:paraId="128FCFD4" w14:textId="0044A3D6" w:rsidR="001F1F39" w:rsidRPr="009B423C" w:rsidRDefault="001F1F39">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right="946" w:hanging="851"/>
        <w:rPr>
          <w:rFonts w:eastAsia="SimHei"/>
          <w:sz w:val="32"/>
          <w:szCs w:val="32"/>
          <w:lang w:eastAsia="zh-CN"/>
        </w:rPr>
      </w:pPr>
      <w:r w:rsidRPr="009B423C">
        <w:rPr>
          <w:rFonts w:eastAsia="SimHei"/>
          <w:bCs/>
          <w:sz w:val="32"/>
          <w:szCs w:val="32"/>
          <w:lang w:val="zh-CN" w:eastAsia="zh-CN"/>
        </w:rPr>
        <w:t>技术和经济评估小组介绍其</w:t>
      </w:r>
      <w:r w:rsidRPr="009B423C">
        <w:rPr>
          <w:rFonts w:eastAsia="SimHei"/>
          <w:bCs/>
          <w:sz w:val="32"/>
          <w:szCs w:val="32"/>
          <w:lang w:val="zh-CN" w:eastAsia="zh-CN"/>
        </w:rPr>
        <w:t>2026</w:t>
      </w:r>
      <w:r w:rsidRPr="009B423C">
        <w:rPr>
          <w:rFonts w:eastAsia="SimHei"/>
          <w:bCs/>
          <w:sz w:val="32"/>
          <w:szCs w:val="32"/>
          <w:lang w:val="zh-CN" w:eastAsia="zh-CN"/>
        </w:rPr>
        <w:t>年进度报告，并就下列事项开展讨论</w:t>
      </w:r>
    </w:p>
    <w:p w14:paraId="40DAE359" w14:textId="60E95D5D" w:rsidR="009B3AC4" w:rsidRPr="004921B0"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4921B0">
        <w:rPr>
          <w:rFonts w:eastAsia="SimSun"/>
          <w:sz w:val="24"/>
          <w:szCs w:val="24"/>
          <w:lang w:val="zh-CN"/>
        </w:rPr>
        <w:t>共同主席在介绍该项目时，提请注意技术和经济评估小组</w:t>
      </w:r>
      <w:r w:rsidRPr="004921B0">
        <w:rPr>
          <w:rFonts w:eastAsia="SimSun"/>
          <w:sz w:val="24"/>
          <w:szCs w:val="24"/>
          <w:lang w:val="zh-CN"/>
        </w:rPr>
        <w:t>2026</w:t>
      </w:r>
      <w:r w:rsidRPr="004921B0">
        <w:rPr>
          <w:rFonts w:eastAsia="SimSun"/>
          <w:sz w:val="24"/>
          <w:szCs w:val="24"/>
          <w:lang w:val="zh-CN"/>
        </w:rPr>
        <w:t>年进度报告第</w:t>
      </w:r>
      <w:r w:rsidRPr="004921B0">
        <w:rPr>
          <w:rFonts w:eastAsia="SimSun"/>
          <w:sz w:val="24"/>
          <w:szCs w:val="24"/>
          <w:lang w:val="zh-CN"/>
        </w:rPr>
        <w:t>1</w:t>
      </w:r>
      <w:r w:rsidRPr="004921B0">
        <w:rPr>
          <w:rFonts w:eastAsia="SimSun"/>
          <w:sz w:val="24"/>
          <w:szCs w:val="24"/>
          <w:lang w:val="zh-CN"/>
        </w:rPr>
        <w:t>卷，以及秘书处关于供蒙特利尔议定书缔约方不限成员名额工作组第四十八次会议讨论的议题和提请其注意的资料的说明（</w:t>
      </w:r>
      <w:r w:rsidRPr="004921B0">
        <w:rPr>
          <w:rFonts w:eastAsia="SimSun"/>
          <w:sz w:val="24"/>
          <w:szCs w:val="24"/>
          <w:lang w:val="zh-CN"/>
        </w:rPr>
        <w:t>UNEP/</w:t>
      </w:r>
      <w:r w:rsidR="004A01B5" w:rsidRPr="004921B0">
        <w:rPr>
          <w:rFonts w:eastAsia="SimSun" w:hint="eastAsia"/>
          <w:sz w:val="24"/>
          <w:szCs w:val="24"/>
          <w:lang w:val="zh-CN"/>
        </w:rPr>
        <w:t xml:space="preserve"> </w:t>
      </w:r>
      <w:r w:rsidRPr="004921B0">
        <w:rPr>
          <w:rFonts w:eastAsia="SimSun"/>
          <w:sz w:val="24"/>
          <w:szCs w:val="24"/>
          <w:lang w:val="zh-CN"/>
        </w:rPr>
        <w:t>OzL.Pro.WG.1/48/2</w:t>
      </w:r>
      <w:r w:rsidRPr="004921B0">
        <w:rPr>
          <w:rFonts w:eastAsia="SimSun"/>
          <w:sz w:val="24"/>
          <w:szCs w:val="24"/>
          <w:lang w:val="zh-CN"/>
        </w:rPr>
        <w:t>，第</w:t>
      </w:r>
      <w:r w:rsidRPr="004921B0">
        <w:rPr>
          <w:rFonts w:eastAsia="SimSun"/>
          <w:sz w:val="24"/>
          <w:szCs w:val="24"/>
          <w:lang w:val="zh-CN"/>
        </w:rPr>
        <w:t>10–25</w:t>
      </w:r>
      <w:r w:rsidRPr="004921B0">
        <w:rPr>
          <w:rFonts w:eastAsia="SimSun"/>
          <w:sz w:val="24"/>
          <w:szCs w:val="24"/>
          <w:lang w:val="zh-CN"/>
        </w:rPr>
        <w:t>段）及其增编（</w:t>
      </w:r>
      <w:r w:rsidRPr="004921B0">
        <w:rPr>
          <w:rFonts w:eastAsia="SimSun"/>
          <w:sz w:val="24"/>
          <w:szCs w:val="24"/>
          <w:lang w:val="zh-CN"/>
        </w:rPr>
        <w:t>UNEP/OzL.Pro.WG.1/48/2/</w:t>
      </w:r>
      <w:r w:rsidR="004A01B5" w:rsidRPr="004921B0">
        <w:rPr>
          <w:rFonts w:eastAsia="SimSun" w:hint="eastAsia"/>
          <w:sz w:val="24"/>
          <w:szCs w:val="24"/>
          <w:lang w:val="zh-CN"/>
        </w:rPr>
        <w:t xml:space="preserve"> </w:t>
      </w:r>
      <w:r w:rsidRPr="004921B0">
        <w:rPr>
          <w:rFonts w:eastAsia="SimSun"/>
          <w:sz w:val="24"/>
          <w:szCs w:val="24"/>
          <w:lang w:val="zh-CN"/>
        </w:rPr>
        <w:t>Add.1</w:t>
      </w:r>
      <w:r w:rsidRPr="004921B0">
        <w:rPr>
          <w:rFonts w:eastAsia="SimSun"/>
          <w:sz w:val="24"/>
          <w:szCs w:val="24"/>
          <w:lang w:val="zh-CN"/>
        </w:rPr>
        <w:t>，第</w:t>
      </w:r>
      <w:r w:rsidRPr="004921B0">
        <w:rPr>
          <w:rFonts w:eastAsia="SimSun"/>
          <w:sz w:val="24"/>
          <w:szCs w:val="24"/>
          <w:lang w:val="zh-CN"/>
        </w:rPr>
        <w:t>22–82</w:t>
      </w:r>
      <w:r w:rsidRPr="004921B0">
        <w:rPr>
          <w:rFonts w:eastAsia="SimSun"/>
          <w:sz w:val="24"/>
          <w:szCs w:val="24"/>
          <w:lang w:val="zh-CN"/>
        </w:rPr>
        <w:t>段和附件二至四）所载的问题摘要。</w:t>
      </w:r>
    </w:p>
    <w:p w14:paraId="0A72A790" w14:textId="65F1DD8B" w:rsidR="003654A6" w:rsidRPr="009B423C" w:rsidRDefault="00BF074A">
      <w:pPr>
        <w:pStyle w:val="CH3"/>
        <w:numPr>
          <w:ilvl w:val="0"/>
          <w:numId w:val="31"/>
        </w:numPr>
        <w:tabs>
          <w:tab w:val="clear" w:pos="851"/>
          <w:tab w:val="clear" w:pos="1247"/>
          <w:tab w:val="clear" w:pos="1871"/>
          <w:tab w:val="clear" w:pos="2495"/>
          <w:tab w:val="clear" w:pos="3119"/>
          <w:tab w:val="clear" w:pos="3742"/>
          <w:tab w:val="clear" w:pos="4366"/>
          <w:tab w:val="clear" w:pos="4990"/>
        </w:tabs>
        <w:ind w:left="1276" w:hanging="567"/>
        <w:rPr>
          <w:rFonts w:eastAsia="SimHei"/>
          <w:sz w:val="24"/>
          <w:szCs w:val="24"/>
        </w:rPr>
      </w:pPr>
      <w:proofErr w:type="spellStart"/>
      <w:r w:rsidRPr="009B423C">
        <w:rPr>
          <w:rFonts w:eastAsia="SimHei"/>
          <w:bCs/>
          <w:sz w:val="24"/>
          <w:szCs w:val="24"/>
          <w:lang w:val="zh-CN"/>
        </w:rPr>
        <w:t>专题介绍</w:t>
      </w:r>
      <w:proofErr w:type="spellEnd"/>
    </w:p>
    <w:p w14:paraId="45193553" w14:textId="0D1019EE" w:rsidR="00850D87" w:rsidRPr="00101BFA"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101BFA">
        <w:rPr>
          <w:rFonts w:eastAsia="SimSun"/>
          <w:spacing w:val="-4"/>
          <w:sz w:val="24"/>
          <w:szCs w:val="24"/>
          <w:lang w:val="zh-CN"/>
        </w:rPr>
        <w:t>在评估小组共同主席</w:t>
      </w:r>
      <w:r w:rsidRPr="00101BFA">
        <w:rPr>
          <w:rFonts w:eastAsia="SimSun"/>
          <w:spacing w:val="-4"/>
          <w:sz w:val="24"/>
          <w:szCs w:val="24"/>
          <w:lang w:val="zh-CN"/>
        </w:rPr>
        <w:t>Marta Pizano</w:t>
      </w:r>
      <w:r w:rsidRPr="00101BFA">
        <w:rPr>
          <w:rFonts w:eastAsia="SimSun"/>
          <w:spacing w:val="-4"/>
          <w:sz w:val="24"/>
          <w:szCs w:val="24"/>
          <w:lang w:val="zh-CN"/>
        </w:rPr>
        <w:t>介绍之后，评估小组及其各技术选择委员会的成员概述了评估小组</w:t>
      </w:r>
      <w:r w:rsidRPr="00101BFA">
        <w:rPr>
          <w:rFonts w:eastAsia="SimSun"/>
          <w:spacing w:val="-4"/>
          <w:sz w:val="24"/>
          <w:szCs w:val="24"/>
          <w:lang w:val="zh-CN"/>
        </w:rPr>
        <w:t>2026</w:t>
      </w:r>
      <w:r w:rsidRPr="00101BFA">
        <w:rPr>
          <w:rFonts w:eastAsia="SimSun"/>
          <w:spacing w:val="-4"/>
          <w:sz w:val="24"/>
          <w:szCs w:val="24"/>
          <w:lang w:val="zh-CN"/>
        </w:rPr>
        <w:t>年进度报告的调查结果，包括其对缔约方会议相关决定的回应，具体如下：</w:t>
      </w:r>
      <w:r w:rsidRPr="00101BFA">
        <w:rPr>
          <w:rFonts w:eastAsia="SimSun"/>
          <w:spacing w:val="-4"/>
          <w:sz w:val="24"/>
          <w:szCs w:val="24"/>
          <w:lang w:val="zh-CN"/>
        </w:rPr>
        <w:t>Dan Verdonik——</w:t>
      </w:r>
      <w:r w:rsidRPr="00101BFA">
        <w:rPr>
          <w:rFonts w:eastAsia="SimSun"/>
          <w:spacing w:val="-4"/>
          <w:sz w:val="24"/>
          <w:szCs w:val="24"/>
          <w:lang w:val="zh-CN"/>
        </w:rPr>
        <w:t>灭火技术选择委员会；</w:t>
      </w:r>
      <w:r w:rsidRPr="00101BFA">
        <w:rPr>
          <w:rFonts w:eastAsia="SimSun"/>
          <w:sz w:val="24"/>
          <w:szCs w:val="24"/>
          <w:lang w:val="zh-CN"/>
        </w:rPr>
        <w:t>Helen Walter-Terrinoni——</w:t>
      </w:r>
      <w:r w:rsidRPr="00101BFA">
        <w:rPr>
          <w:rFonts w:eastAsia="SimSun"/>
          <w:sz w:val="24"/>
          <w:szCs w:val="24"/>
          <w:lang w:val="zh-CN"/>
        </w:rPr>
        <w:t>软硬质泡沫技术选择委员会；</w:t>
      </w:r>
      <w:r w:rsidRPr="00101BFA">
        <w:rPr>
          <w:rFonts w:eastAsia="SimSun"/>
          <w:sz w:val="24"/>
          <w:szCs w:val="24"/>
          <w:lang w:val="zh-CN"/>
        </w:rPr>
        <w:t>Ian Porter——</w:t>
      </w:r>
      <w:r w:rsidRPr="00101BFA">
        <w:rPr>
          <w:rFonts w:eastAsia="SimSun"/>
          <w:sz w:val="24"/>
          <w:szCs w:val="24"/>
          <w:lang w:val="zh-CN"/>
        </w:rPr>
        <w:t>甲基溴技术选择委员会；</w:t>
      </w:r>
      <w:r w:rsidRPr="00101BFA">
        <w:rPr>
          <w:rFonts w:eastAsia="SimSun"/>
          <w:sz w:val="24"/>
          <w:szCs w:val="24"/>
          <w:lang w:val="zh-CN"/>
        </w:rPr>
        <w:t>Helen Tope——</w:t>
      </w:r>
      <w:r w:rsidRPr="00101BFA">
        <w:rPr>
          <w:rFonts w:eastAsia="SimSun"/>
          <w:sz w:val="24"/>
          <w:szCs w:val="24"/>
          <w:lang w:val="zh-CN"/>
        </w:rPr>
        <w:t>医疗和化学品技术选择委员会；</w:t>
      </w:r>
      <w:r w:rsidRPr="00101BFA">
        <w:rPr>
          <w:rFonts w:eastAsia="SimSun"/>
          <w:sz w:val="24"/>
          <w:szCs w:val="24"/>
          <w:lang w:val="zh-CN"/>
        </w:rPr>
        <w:t>Rajan Rajendran——</w:t>
      </w:r>
      <w:r w:rsidRPr="00101BFA">
        <w:rPr>
          <w:rFonts w:eastAsia="SimSun"/>
          <w:sz w:val="24"/>
          <w:szCs w:val="24"/>
          <w:lang w:val="zh-CN"/>
        </w:rPr>
        <w:t>制冷、空调和热泵技术选择委员会。评估小组共同主席</w:t>
      </w:r>
      <w:r w:rsidRPr="00101BFA">
        <w:rPr>
          <w:rFonts w:eastAsia="SimSun"/>
          <w:sz w:val="24"/>
          <w:szCs w:val="24"/>
          <w:lang w:val="zh-CN"/>
        </w:rPr>
        <w:t>Ashley Woodcock</w:t>
      </w:r>
      <w:r w:rsidRPr="00101BFA">
        <w:rPr>
          <w:rFonts w:eastAsia="SimSun"/>
          <w:sz w:val="24"/>
          <w:szCs w:val="24"/>
          <w:lang w:val="zh-CN"/>
        </w:rPr>
        <w:t>随后概述了关于全氟和多氟烷基物质的调查结果，</w:t>
      </w:r>
      <w:r w:rsidRPr="00101BFA">
        <w:rPr>
          <w:rFonts w:eastAsia="SimSun"/>
          <w:sz w:val="24"/>
          <w:szCs w:val="24"/>
          <w:lang w:val="zh-CN"/>
        </w:rPr>
        <w:t>Pizano</w:t>
      </w:r>
      <w:r w:rsidRPr="00101BFA">
        <w:rPr>
          <w:rFonts w:eastAsia="SimSun"/>
          <w:sz w:val="24"/>
          <w:szCs w:val="24"/>
          <w:lang w:val="zh-CN"/>
        </w:rPr>
        <w:t>女士概述了评估小组面临的程序和组织方面的挑战，并介绍了评估小组对其各技术选择委员会未来组织安排的首选备选方案。专题介绍摘要载于本报告附件四，未经正式编辑。</w:t>
      </w:r>
    </w:p>
    <w:p w14:paraId="7FA6FEFB" w14:textId="69E5F483" w:rsidR="003654A6" w:rsidRPr="009B423C" w:rsidRDefault="003654A6">
      <w:pPr>
        <w:pStyle w:val="CH3"/>
        <w:numPr>
          <w:ilvl w:val="0"/>
          <w:numId w:val="31"/>
        </w:numPr>
        <w:tabs>
          <w:tab w:val="clear" w:pos="851"/>
          <w:tab w:val="clear" w:pos="1247"/>
          <w:tab w:val="clear" w:pos="1871"/>
          <w:tab w:val="clear" w:pos="2495"/>
          <w:tab w:val="clear" w:pos="3119"/>
          <w:tab w:val="clear" w:pos="3742"/>
          <w:tab w:val="clear" w:pos="4366"/>
          <w:tab w:val="clear" w:pos="4990"/>
        </w:tabs>
        <w:ind w:left="1276" w:hanging="567"/>
        <w:rPr>
          <w:rFonts w:eastAsia="SimHei"/>
          <w:sz w:val="24"/>
          <w:szCs w:val="24"/>
        </w:rPr>
      </w:pPr>
      <w:proofErr w:type="spellStart"/>
      <w:r w:rsidRPr="009B423C">
        <w:rPr>
          <w:rFonts w:eastAsia="SimHei"/>
          <w:bCs/>
          <w:sz w:val="24"/>
          <w:szCs w:val="24"/>
          <w:lang w:val="zh-CN"/>
        </w:rPr>
        <w:t>问答环节</w:t>
      </w:r>
      <w:proofErr w:type="spellEnd"/>
    </w:p>
    <w:p w14:paraId="3F9435D2"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在随后的问答环节中，许多代表就专题介绍提出了具体问题。</w:t>
      </w:r>
    </w:p>
    <w:p w14:paraId="33E17D1A"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所有发言的代表均感谢技术和经济评估小组及其各技术选择委员会的工作。</w:t>
      </w:r>
    </w:p>
    <w:p w14:paraId="6C8910AE" w14:textId="59289D51"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Walter-Terrinoni</w:t>
      </w:r>
      <w:r w:rsidRPr="009B423C">
        <w:rPr>
          <w:rFonts w:eastAsia="SimSun"/>
          <w:sz w:val="24"/>
          <w:szCs w:val="24"/>
          <w:lang w:val="zh-CN"/>
        </w:rPr>
        <w:t>女士在回答对软硬质泡沫技术选择委员会的提问时表示，在可用的替代发泡剂的范围方面已取得良好进展，但值得注意的是各缔约方情况并不完全相同。近期替代品所用的化学品类型没有变化，但观察到所用的混合物发生变化，包括添加水和二氧化碳以便降低成本。</w:t>
      </w:r>
    </w:p>
    <w:p w14:paraId="6151D2ED" w14:textId="697E1D66" w:rsidR="00850D87" w:rsidRPr="009B423C" w:rsidRDefault="00850D87">
      <w:pPr>
        <w:pStyle w:val="Normalnumber"/>
        <w:numPr>
          <w:ilvl w:val="0"/>
          <w:numId w:val="18"/>
        </w:numPr>
        <w:tabs>
          <w:tab w:val="clear" w:pos="1247"/>
          <w:tab w:val="clear" w:pos="1814"/>
          <w:tab w:val="clear" w:pos="2381"/>
          <w:tab w:val="clear" w:pos="2948"/>
          <w:tab w:val="clear" w:pos="3515"/>
        </w:tabs>
        <w:spacing w:line="240" w:lineRule="auto"/>
        <w:ind w:left="1276" w:firstLine="0"/>
        <w:rPr>
          <w:rFonts w:eastAsia="SimSun"/>
          <w:sz w:val="24"/>
          <w:szCs w:val="24"/>
        </w:rPr>
      </w:pPr>
      <w:r w:rsidRPr="009B423C">
        <w:rPr>
          <w:rFonts w:eastAsia="SimSun"/>
          <w:sz w:val="24"/>
          <w:szCs w:val="24"/>
          <w:lang w:val="zh-CN"/>
        </w:rPr>
        <w:t>低全球升温潜能值替代发泡剂的产量和供应量有所增加，但她指出一些国家目前可能只有单一的此类替代品供应商，未来的报告将提供这方面的更多细节。</w:t>
      </w:r>
    </w:p>
    <w:p w14:paraId="1B15C7B5" w14:textId="341D08B4"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委员会正在继续监测一氟二氯乙烷的建模数据与观测数据之间的差异。</w:t>
      </w:r>
      <w:r w:rsidR="00390760" w:rsidRPr="009B423C">
        <w:rPr>
          <w:rFonts w:eastAsia="SimSun" w:hint="eastAsia"/>
          <w:sz w:val="24"/>
          <w:szCs w:val="24"/>
          <w:lang w:val="zh-CN"/>
        </w:rPr>
        <w:t>关于</w:t>
      </w:r>
      <w:r w:rsidRPr="009B423C">
        <w:rPr>
          <w:rFonts w:eastAsia="SimSun"/>
          <w:sz w:val="24"/>
          <w:szCs w:val="24"/>
          <w:lang w:val="zh-CN"/>
        </w:rPr>
        <w:t>差异原因的假</w:t>
      </w:r>
      <w:r w:rsidR="00390760" w:rsidRPr="009B423C">
        <w:rPr>
          <w:rFonts w:eastAsia="SimSun" w:hint="eastAsia"/>
          <w:sz w:val="24"/>
          <w:szCs w:val="24"/>
          <w:lang w:val="zh-CN"/>
        </w:rPr>
        <w:t>说</w:t>
      </w:r>
      <w:r w:rsidRPr="009B423C">
        <w:rPr>
          <w:rFonts w:eastAsia="SimSun"/>
          <w:sz w:val="24"/>
          <w:szCs w:val="24"/>
          <w:lang w:val="zh-CN"/>
        </w:rPr>
        <w:t>包括该化学品用途的改变（可能用作设备清洗剂或溶剂）、其在排放率更高的泡沫类型中使用，或者原因不明的生产或排放水平增加。</w:t>
      </w:r>
    </w:p>
    <w:p w14:paraId="2D9B3D07" w14:textId="54EEB9BF"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关于一氟二氯乙烷的替代品，她指出，鉴于该化学品的供应预计将于</w:t>
      </w:r>
      <w:r w:rsidRPr="009B423C">
        <w:rPr>
          <w:rFonts w:eastAsia="SimSun"/>
          <w:sz w:val="24"/>
          <w:szCs w:val="24"/>
          <w:lang w:val="zh-CN"/>
        </w:rPr>
        <w:t>2026</w:t>
      </w:r>
      <w:r w:rsidRPr="009B423C">
        <w:rPr>
          <w:rFonts w:eastAsia="SimSun"/>
          <w:sz w:val="24"/>
          <w:szCs w:val="24"/>
          <w:lang w:val="zh-CN"/>
        </w:rPr>
        <w:t>年停止（来自现有库存除外），目前已记录到一些使用</w:t>
      </w:r>
      <w:r w:rsidRPr="009B423C">
        <w:rPr>
          <w:rFonts w:eastAsia="SimSun"/>
          <w:sz w:val="24"/>
          <w:szCs w:val="24"/>
          <w:lang w:val="zh-CN"/>
        </w:rPr>
        <w:t>HFC-254fa</w:t>
      </w:r>
      <w:r w:rsidRPr="009B423C">
        <w:rPr>
          <w:rFonts w:eastAsia="SimSun"/>
          <w:sz w:val="24"/>
          <w:szCs w:val="24"/>
          <w:lang w:val="zh-CN"/>
        </w:rPr>
        <w:t>的情况，但总体上已出现了转向不使用含氢氯氟烃的趋势。</w:t>
      </w:r>
    </w:p>
    <w:p w14:paraId="3780F9F4"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将发泡剂用于保温绝热，虽然含氢氯氟烃替代品的热工性能确实不如含氢氯氟烃，但在某些情况下，这可以通过使用更厚的发泡层来予以弥补。热工性能的不足，也应当被视为在与其他优势（包括成本效益）之间进行权衡取舍的因素。</w:t>
      </w:r>
    </w:p>
    <w:p w14:paraId="63F8AE16" w14:textId="7777777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一位代表某组缔约方发言的代表指出，举例而言，这些缔约方通过推行生态设计和标签等针对间接排放的政策，来应对直接排放减少可能带来的任何影响。</w:t>
      </w:r>
    </w:p>
    <w:p w14:paraId="4371B02C" w14:textId="1AD87595"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他澄清说，欧洲联盟自</w:t>
      </w:r>
      <w:r w:rsidRPr="009B423C">
        <w:rPr>
          <w:rFonts w:eastAsia="SimSun"/>
          <w:sz w:val="24"/>
          <w:szCs w:val="24"/>
          <w:lang w:val="zh-CN"/>
        </w:rPr>
        <w:t>2033</w:t>
      </w:r>
      <w:r w:rsidRPr="009B423C">
        <w:rPr>
          <w:rFonts w:eastAsia="SimSun"/>
          <w:sz w:val="24"/>
          <w:szCs w:val="24"/>
          <w:lang w:val="zh-CN"/>
        </w:rPr>
        <w:t>年起对含氟气体发泡剂实施的禁令（除因安全原因确有需要者外）并非如进度报告第</w:t>
      </w:r>
      <w:r w:rsidRPr="009B423C">
        <w:rPr>
          <w:rFonts w:eastAsia="SimSun"/>
          <w:sz w:val="24"/>
          <w:szCs w:val="24"/>
          <w:lang w:val="zh-CN"/>
        </w:rPr>
        <w:t>1</w:t>
      </w:r>
      <w:r w:rsidRPr="009B423C">
        <w:rPr>
          <w:rFonts w:eastAsia="SimSun"/>
          <w:sz w:val="24"/>
          <w:szCs w:val="24"/>
          <w:lang w:val="zh-CN"/>
        </w:rPr>
        <w:t>卷第</w:t>
      </w:r>
      <w:r w:rsidRPr="009B423C">
        <w:rPr>
          <w:rFonts w:eastAsia="SimSun"/>
          <w:sz w:val="24"/>
          <w:szCs w:val="24"/>
          <w:lang w:val="zh-CN"/>
        </w:rPr>
        <w:t>2.2.3</w:t>
      </w:r>
      <w:r w:rsidRPr="009B423C">
        <w:rPr>
          <w:rFonts w:eastAsia="SimSun"/>
          <w:sz w:val="24"/>
          <w:szCs w:val="24"/>
          <w:lang w:val="zh-CN"/>
        </w:rPr>
        <w:t>节所述仅是一项潜在禁令，而事实上已经载入法律。</w:t>
      </w:r>
    </w:p>
    <w:p w14:paraId="08A87CA5" w14:textId="7BA06497" w:rsidR="00850D87" w:rsidRPr="009B423C" w:rsidRDefault="00850D8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他还要求评估小组澄清现有的监管措施如何反映在泡沫部门未来的技术路径和市场转型中。</w:t>
      </w:r>
    </w:p>
    <w:p w14:paraId="60AA21DE" w14:textId="47F25BBF"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在回答关于含有氢氟碳化物的预混多元醇的问题时，</w:t>
      </w:r>
      <w:r w:rsidRPr="009B423C">
        <w:rPr>
          <w:rFonts w:eastAsia="SimSun"/>
          <w:sz w:val="24"/>
          <w:szCs w:val="24"/>
          <w:lang w:val="zh-CN"/>
        </w:rPr>
        <w:t>Walter-Terrinoni</w:t>
      </w:r>
      <w:r w:rsidRPr="009B423C">
        <w:rPr>
          <w:rFonts w:eastAsia="SimSun"/>
          <w:sz w:val="24"/>
          <w:szCs w:val="24"/>
          <w:lang w:val="zh-CN"/>
        </w:rPr>
        <w:t>女士表示，委员会将这些物质视为一个不同的类别，但因为《蒙特利尔议定书》第</w:t>
      </w:r>
      <w:r w:rsidRPr="009B423C">
        <w:rPr>
          <w:rFonts w:eastAsia="SimSun"/>
          <w:sz w:val="24"/>
          <w:szCs w:val="24"/>
          <w:lang w:val="zh-CN"/>
        </w:rPr>
        <w:t>7</w:t>
      </w:r>
      <w:r w:rsidRPr="009B423C">
        <w:rPr>
          <w:rFonts w:eastAsia="SimSun"/>
          <w:sz w:val="24"/>
          <w:szCs w:val="24"/>
          <w:lang w:val="zh-CN"/>
        </w:rPr>
        <w:t>条未要求报告这些物质，导致可获得的进出口数据有限。因此，这些物质的贸易量可能被低报了。她补充说，委员会还考虑了关于这些物质的其他信息，例如费用。</w:t>
      </w:r>
    </w:p>
    <w:p w14:paraId="79E23855" w14:textId="22D205D4"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Adam Chattaway</w:t>
      </w:r>
      <w:r w:rsidRPr="009B423C">
        <w:rPr>
          <w:rFonts w:eastAsia="SimSun"/>
          <w:sz w:val="24"/>
          <w:szCs w:val="24"/>
          <w:lang w:val="zh-CN"/>
        </w:rPr>
        <w:t>在回答对灭火技术选择委员会提出的问题时证实，航空器灭火系统的单一型号证书可保持有效，实际最长可达</w:t>
      </w:r>
      <w:r w:rsidRPr="009B423C">
        <w:rPr>
          <w:rFonts w:eastAsia="SimSun"/>
          <w:sz w:val="24"/>
          <w:szCs w:val="24"/>
          <w:lang w:val="zh-CN"/>
        </w:rPr>
        <w:t>50</w:t>
      </w:r>
      <w:r w:rsidRPr="009B423C">
        <w:rPr>
          <w:rFonts w:eastAsia="SimSun"/>
          <w:sz w:val="24"/>
          <w:szCs w:val="24"/>
          <w:lang w:val="zh-CN"/>
        </w:rPr>
        <w:t>年；尽管航空器制造商通常会在原始设计基础上作出变形，但它们仍属于同一证书涵盖范围。根据其关于哈龙替代品的</w:t>
      </w:r>
      <w:r w:rsidRPr="009B423C">
        <w:rPr>
          <w:rFonts w:eastAsia="SimSun"/>
          <w:sz w:val="24"/>
          <w:szCs w:val="24"/>
          <w:lang w:val="zh-CN"/>
        </w:rPr>
        <w:t>A42-11</w:t>
      </w:r>
      <w:r w:rsidRPr="009B423C">
        <w:rPr>
          <w:rFonts w:eastAsia="SimSun"/>
          <w:sz w:val="24"/>
          <w:szCs w:val="24"/>
          <w:lang w:val="zh-CN"/>
        </w:rPr>
        <w:t>号决议，国际民用航空组织（国际民航组织）要求</w:t>
      </w:r>
      <w:r w:rsidRPr="009B423C">
        <w:rPr>
          <w:rFonts w:eastAsia="SimSun"/>
          <w:sz w:val="24"/>
          <w:szCs w:val="24"/>
          <w:lang w:val="zh-CN"/>
        </w:rPr>
        <w:t>2024</w:t>
      </w:r>
      <w:r w:rsidRPr="009B423C">
        <w:rPr>
          <w:rFonts w:eastAsia="SimSun"/>
          <w:sz w:val="24"/>
          <w:szCs w:val="24"/>
          <w:lang w:val="zh-CN"/>
        </w:rPr>
        <w:t>年之后提交的全新航空器设计中的货舱应使用哈龙</w:t>
      </w:r>
      <w:r w:rsidRPr="009B423C">
        <w:rPr>
          <w:rFonts w:eastAsia="SimSun"/>
          <w:sz w:val="24"/>
          <w:szCs w:val="24"/>
          <w:lang w:val="zh-CN"/>
        </w:rPr>
        <w:t>1301</w:t>
      </w:r>
      <w:r w:rsidRPr="009B423C">
        <w:rPr>
          <w:rFonts w:eastAsia="SimSun"/>
          <w:sz w:val="24"/>
          <w:szCs w:val="24"/>
          <w:lang w:val="zh-CN"/>
        </w:rPr>
        <w:t>替代品，但据委员会所知，自</w:t>
      </w:r>
      <w:r w:rsidRPr="009B423C">
        <w:rPr>
          <w:rFonts w:eastAsia="SimSun"/>
          <w:sz w:val="24"/>
          <w:szCs w:val="24"/>
          <w:lang w:val="zh-CN"/>
        </w:rPr>
        <w:t>2024</w:t>
      </w:r>
      <w:r w:rsidRPr="009B423C">
        <w:rPr>
          <w:rFonts w:eastAsia="SimSun"/>
          <w:sz w:val="24"/>
          <w:szCs w:val="24"/>
          <w:lang w:val="zh-CN"/>
        </w:rPr>
        <w:t>年以来尚未颁发任何新型号证书。</w:t>
      </w:r>
    </w:p>
    <w:p w14:paraId="76980A4A"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Chattaway</w:t>
      </w:r>
      <w:r w:rsidRPr="009B423C">
        <w:rPr>
          <w:rFonts w:eastAsia="SimSun"/>
          <w:sz w:val="24"/>
          <w:szCs w:val="24"/>
          <w:lang w:val="zh-CN"/>
        </w:rPr>
        <w:t>先生在回答几位代表的询问时澄清说，委员会在专题介绍中纳入了显示航空业维护、修理和大修设施位置以及哈龙</w:t>
      </w:r>
      <w:r w:rsidRPr="009B423C">
        <w:rPr>
          <w:rFonts w:eastAsia="SimSun"/>
          <w:sz w:val="24"/>
          <w:szCs w:val="24"/>
          <w:lang w:val="zh-CN"/>
        </w:rPr>
        <w:t>1301</w:t>
      </w:r>
      <w:r w:rsidRPr="009B423C">
        <w:rPr>
          <w:rFonts w:eastAsia="SimSun"/>
          <w:sz w:val="24"/>
          <w:szCs w:val="24"/>
          <w:lang w:val="zh-CN"/>
        </w:rPr>
        <w:t>排放热点位置的欧洲地图，以此为例说明在拥有充足的实时排放数据时可进行何种分析。得益于布里斯托大学提供的排放数据，委员会绘制了欧洲热点地图，并正在与科学评估小组和其他机构合作，以获取其他区域的相关数据。通过对哈龙排放进行更准确的区域监测，还可以将这些排放与特定行业或部门活动联系起来。然而，他指出，这些数据难以获得，因此无法及时提供给委员会用于其下一份进度报告。</w:t>
      </w:r>
    </w:p>
    <w:p w14:paraId="41CFAB00" w14:textId="72BDEBE0"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在回答关于数据中心可用</w:t>
      </w:r>
      <w:r w:rsidR="005A675B" w:rsidRPr="009B423C">
        <w:rPr>
          <w:rFonts w:eastAsia="SimSun" w:hint="eastAsia"/>
          <w:sz w:val="24"/>
          <w:szCs w:val="24"/>
          <w:lang w:val="zh-CN"/>
        </w:rPr>
        <w:t>的</w:t>
      </w:r>
      <w:r w:rsidRPr="009B423C">
        <w:rPr>
          <w:rFonts w:eastAsia="SimSun"/>
          <w:sz w:val="24"/>
          <w:szCs w:val="24"/>
          <w:lang w:val="zh-CN"/>
        </w:rPr>
        <w:t>灭火备选方案的问题时，他表示，委员会只能提供概述，因为详细信息是灭火公司的专利资料。氢氟碳化物（最常见的是</w:t>
      </w:r>
      <w:r w:rsidRPr="009B423C">
        <w:rPr>
          <w:rFonts w:eastAsia="SimSun"/>
          <w:sz w:val="24"/>
          <w:szCs w:val="24"/>
          <w:lang w:val="zh-CN"/>
        </w:rPr>
        <w:t>HFC-227ea</w:t>
      </w:r>
      <w:r w:rsidRPr="009B423C">
        <w:rPr>
          <w:rFonts w:eastAsia="SimSun"/>
          <w:sz w:val="24"/>
          <w:szCs w:val="24"/>
          <w:lang w:val="zh-CN"/>
        </w:rPr>
        <w:t>和</w:t>
      </w:r>
      <w:r w:rsidRPr="009B423C">
        <w:rPr>
          <w:rFonts w:eastAsia="SimSun"/>
          <w:sz w:val="24"/>
          <w:szCs w:val="24"/>
          <w:lang w:val="zh-CN"/>
        </w:rPr>
        <w:t>HFC-124</w:t>
      </w:r>
      <w:r w:rsidRPr="009B423C">
        <w:rPr>
          <w:rFonts w:eastAsia="SimSun"/>
          <w:sz w:val="24"/>
          <w:szCs w:val="24"/>
          <w:lang w:val="zh-CN"/>
        </w:rPr>
        <w:t>）以及全氟己酮（一种氟化酮）仍在使用，而且很可能也使用了惰性气体系统，特别是在欧洲。</w:t>
      </w:r>
    </w:p>
    <w:p w14:paraId="56DFEB0D" w14:textId="3EC32D3A"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在回答关于哈龙销毁方法的问题时，他表示，委员会尚未获悉</w:t>
      </w:r>
      <w:r w:rsidRPr="009B423C">
        <w:rPr>
          <w:rFonts w:eastAsia="SimSun"/>
          <w:sz w:val="24"/>
          <w:szCs w:val="24"/>
          <w:lang w:val="zh-CN"/>
        </w:rPr>
        <w:t>2026</w:t>
      </w:r>
      <w:r w:rsidRPr="009B423C">
        <w:rPr>
          <w:rFonts w:eastAsia="SimSun"/>
          <w:sz w:val="24"/>
          <w:szCs w:val="24"/>
          <w:lang w:val="zh-CN"/>
        </w:rPr>
        <w:t>年美国碳登记处在此方面有任何新项目。他还指出，哈龙可按最低</w:t>
      </w:r>
      <w:r w:rsidRPr="009B423C">
        <w:rPr>
          <w:rFonts w:eastAsia="SimSun"/>
          <w:sz w:val="24"/>
          <w:szCs w:val="24"/>
          <w:lang w:val="zh-CN"/>
        </w:rPr>
        <w:t>90%</w:t>
      </w:r>
      <w:r w:rsidRPr="009B423C">
        <w:rPr>
          <w:rFonts w:eastAsia="SimSun"/>
          <w:sz w:val="24"/>
          <w:szCs w:val="24"/>
          <w:lang w:val="zh-CN"/>
        </w:rPr>
        <w:t>的</w:t>
      </w:r>
      <w:r w:rsidRPr="009B423C">
        <w:rPr>
          <w:rFonts w:eastAsia="SimSun"/>
          <w:sz w:val="24"/>
          <w:szCs w:val="24"/>
          <w:lang w:val="zh-CN"/>
        </w:rPr>
        <w:lastRenderedPageBreak/>
        <w:t>纯度规格进行再处理，具体取决于所含污染物的性质。如果这些污染物的沸点与哈龙的沸点存在显著差异，则可通过分馏法轻松将其分离出来。</w:t>
      </w:r>
    </w:p>
    <w:p w14:paraId="67493992"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在回答关于进度报告表</w:t>
      </w:r>
      <w:r w:rsidRPr="009B423C">
        <w:rPr>
          <w:rFonts w:eastAsia="SimSun"/>
          <w:sz w:val="24"/>
          <w:szCs w:val="24"/>
          <w:lang w:val="zh-CN"/>
        </w:rPr>
        <w:t>3.5</w:t>
      </w:r>
      <w:r w:rsidRPr="009B423C">
        <w:rPr>
          <w:rFonts w:eastAsia="SimSun"/>
          <w:sz w:val="24"/>
          <w:szCs w:val="24"/>
          <w:lang w:val="zh-CN"/>
        </w:rPr>
        <w:t>列出的哈龙</w:t>
      </w:r>
      <w:r w:rsidRPr="009B423C">
        <w:rPr>
          <w:rFonts w:eastAsia="SimSun"/>
          <w:sz w:val="24"/>
          <w:szCs w:val="24"/>
          <w:lang w:val="zh-CN"/>
        </w:rPr>
        <w:t>1301</w:t>
      </w:r>
      <w:r w:rsidRPr="009B423C">
        <w:rPr>
          <w:rFonts w:eastAsia="SimSun"/>
          <w:sz w:val="24"/>
          <w:szCs w:val="24"/>
          <w:lang w:val="zh-CN"/>
        </w:rPr>
        <w:t>耗尽时间设想方案的问题时，</w:t>
      </w:r>
      <w:r w:rsidRPr="009B423C">
        <w:rPr>
          <w:rFonts w:eastAsia="SimSun"/>
          <w:sz w:val="24"/>
          <w:szCs w:val="24"/>
          <w:lang w:val="zh-CN"/>
        </w:rPr>
        <w:t>Verdonik</w:t>
      </w:r>
      <w:r w:rsidRPr="009B423C">
        <w:rPr>
          <w:rFonts w:eastAsia="SimSun"/>
          <w:sz w:val="24"/>
          <w:szCs w:val="24"/>
          <w:lang w:val="zh-CN"/>
        </w:rPr>
        <w:t>先生澄清说，这些设想方案依据的是国际民航组织提供的信息，包括</w:t>
      </w:r>
      <w:r w:rsidRPr="009B423C">
        <w:rPr>
          <w:rFonts w:eastAsia="SimSun"/>
          <w:sz w:val="24"/>
          <w:szCs w:val="24"/>
          <w:lang w:val="zh-CN"/>
        </w:rPr>
        <w:t>2025</w:t>
      </w:r>
      <w:r w:rsidRPr="009B423C">
        <w:rPr>
          <w:rFonts w:eastAsia="SimSun"/>
          <w:sz w:val="24"/>
          <w:szCs w:val="24"/>
          <w:lang w:val="zh-CN"/>
        </w:rPr>
        <w:t>年航空器目前安装的哈龙</w:t>
      </w:r>
      <w:r w:rsidRPr="009B423C">
        <w:rPr>
          <w:rFonts w:eastAsia="SimSun"/>
          <w:sz w:val="24"/>
          <w:szCs w:val="24"/>
          <w:lang w:val="zh-CN"/>
        </w:rPr>
        <w:t>1301</w:t>
      </w:r>
      <w:r w:rsidRPr="009B423C">
        <w:rPr>
          <w:rFonts w:eastAsia="SimSun"/>
          <w:sz w:val="24"/>
          <w:szCs w:val="24"/>
          <w:lang w:val="zh-CN"/>
        </w:rPr>
        <w:t>数量数据以及全球机队的预期增长率。委员会随后应用了其他变量，包括考虑了航空业以外的部门。仍存在一些数据缺口，且在估算未来的排放率方面也存在一些不确定性，但委员会计划在其即将发布的四年期评估报告中进一步完善设想方案，包括纳入一个将欧洲联盟航空业逐步淘汰哈龙</w:t>
      </w:r>
      <w:r w:rsidRPr="009B423C">
        <w:rPr>
          <w:rFonts w:eastAsia="SimSun"/>
          <w:sz w:val="24"/>
          <w:szCs w:val="24"/>
          <w:lang w:val="zh-CN"/>
        </w:rPr>
        <w:t>1301</w:t>
      </w:r>
      <w:r w:rsidRPr="009B423C">
        <w:rPr>
          <w:rFonts w:eastAsia="SimSun"/>
          <w:sz w:val="24"/>
          <w:szCs w:val="24"/>
          <w:lang w:val="zh-CN"/>
        </w:rPr>
        <w:t>使用考虑在内的设想方案。</w:t>
      </w:r>
    </w:p>
    <w:p w14:paraId="7F328CCC"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在回答关于将</w:t>
      </w:r>
      <w:r w:rsidRPr="009B423C">
        <w:rPr>
          <w:rFonts w:eastAsia="SimSun"/>
          <w:sz w:val="24"/>
          <w:szCs w:val="24"/>
          <w:lang w:val="zh-CN"/>
        </w:rPr>
        <w:t>3,3,3-</w:t>
      </w:r>
      <w:r w:rsidRPr="009B423C">
        <w:rPr>
          <w:rFonts w:eastAsia="SimSun"/>
          <w:sz w:val="24"/>
          <w:szCs w:val="24"/>
          <w:lang w:val="zh-CN"/>
        </w:rPr>
        <w:t>三氟</w:t>
      </w:r>
      <w:r w:rsidRPr="009B423C">
        <w:rPr>
          <w:rFonts w:eastAsia="SimSun"/>
          <w:sz w:val="24"/>
          <w:szCs w:val="24"/>
          <w:lang w:val="zh-CN"/>
        </w:rPr>
        <w:t>-2-</w:t>
      </w:r>
      <w:r w:rsidRPr="009B423C">
        <w:rPr>
          <w:rFonts w:eastAsia="SimSun"/>
          <w:sz w:val="24"/>
          <w:szCs w:val="24"/>
          <w:lang w:val="zh-CN"/>
        </w:rPr>
        <w:t>溴丙烯（</w:t>
      </w:r>
      <w:r w:rsidRPr="009B423C">
        <w:rPr>
          <w:rFonts w:eastAsia="SimSun"/>
          <w:sz w:val="24"/>
          <w:szCs w:val="24"/>
          <w:lang w:val="zh-CN"/>
        </w:rPr>
        <w:t>2-BTP</w:t>
      </w:r>
      <w:r w:rsidRPr="009B423C">
        <w:rPr>
          <w:rFonts w:eastAsia="SimSun"/>
          <w:sz w:val="24"/>
          <w:szCs w:val="24"/>
          <w:lang w:val="zh-CN"/>
        </w:rPr>
        <w:t>）用作航空器上哈龙</w:t>
      </w:r>
      <w:r w:rsidRPr="009B423C">
        <w:rPr>
          <w:rFonts w:eastAsia="SimSun"/>
          <w:sz w:val="24"/>
          <w:szCs w:val="24"/>
          <w:lang w:val="zh-CN"/>
        </w:rPr>
        <w:t>1301</w:t>
      </w:r>
      <w:r w:rsidRPr="009B423C">
        <w:rPr>
          <w:rFonts w:eastAsia="SimSun"/>
          <w:sz w:val="24"/>
          <w:szCs w:val="24"/>
          <w:lang w:val="zh-CN"/>
        </w:rPr>
        <w:t>替代品的问题时，他表示，如果</w:t>
      </w:r>
      <w:r w:rsidRPr="009B423C">
        <w:rPr>
          <w:rFonts w:eastAsia="SimSun"/>
          <w:sz w:val="24"/>
          <w:szCs w:val="24"/>
          <w:lang w:val="zh-CN"/>
        </w:rPr>
        <w:t>2-BTP</w:t>
      </w:r>
      <w:r w:rsidRPr="009B423C">
        <w:rPr>
          <w:rFonts w:eastAsia="SimSun"/>
          <w:sz w:val="24"/>
          <w:szCs w:val="24"/>
          <w:lang w:val="zh-CN"/>
        </w:rPr>
        <w:t>被核准用于新型和改装型航空器，这将使更多哈龙</w:t>
      </w:r>
      <w:r w:rsidRPr="009B423C">
        <w:rPr>
          <w:rFonts w:eastAsia="SimSun"/>
          <w:sz w:val="24"/>
          <w:szCs w:val="24"/>
          <w:lang w:val="zh-CN"/>
        </w:rPr>
        <w:t>1301</w:t>
      </w:r>
      <w:r w:rsidRPr="009B423C">
        <w:rPr>
          <w:rFonts w:eastAsia="SimSun"/>
          <w:sz w:val="24"/>
          <w:szCs w:val="24"/>
          <w:lang w:val="zh-CN"/>
        </w:rPr>
        <w:t>得以用于满足现有航空器的需求，并确保其符合国际民航组织规则下的适航性。然而，委员会的理解是，鉴于航空业需要确保长期存续，即使政府和环境机构核准使用</w:t>
      </w:r>
      <w:r w:rsidRPr="009B423C">
        <w:rPr>
          <w:rFonts w:eastAsia="SimSun"/>
          <w:sz w:val="24"/>
          <w:szCs w:val="24"/>
          <w:lang w:val="zh-CN"/>
        </w:rPr>
        <w:t>2-BTP</w:t>
      </w:r>
      <w:r w:rsidRPr="009B423C">
        <w:rPr>
          <w:rFonts w:eastAsia="SimSun"/>
          <w:sz w:val="24"/>
          <w:szCs w:val="24"/>
          <w:lang w:val="zh-CN"/>
        </w:rPr>
        <w:t>，航空业和国际民航组织也不愿将其用作替代品。航空业一直将重点放在减少航空器排放上，而非探索哈龙</w:t>
      </w:r>
      <w:r w:rsidRPr="009B423C">
        <w:rPr>
          <w:rFonts w:eastAsia="SimSun"/>
          <w:sz w:val="24"/>
          <w:szCs w:val="24"/>
          <w:lang w:val="zh-CN"/>
        </w:rPr>
        <w:t>1301</w:t>
      </w:r>
      <w:r w:rsidRPr="009B423C">
        <w:rPr>
          <w:rFonts w:eastAsia="SimSun"/>
          <w:sz w:val="24"/>
          <w:szCs w:val="24"/>
          <w:lang w:val="zh-CN"/>
        </w:rPr>
        <w:t>的替代品，因此他强调完善哈龙</w:t>
      </w:r>
      <w:r w:rsidRPr="009B423C">
        <w:rPr>
          <w:rFonts w:eastAsia="SimSun"/>
          <w:sz w:val="24"/>
          <w:szCs w:val="24"/>
          <w:lang w:val="zh-CN"/>
        </w:rPr>
        <w:t>1301</w:t>
      </w:r>
      <w:r w:rsidRPr="009B423C">
        <w:rPr>
          <w:rFonts w:eastAsia="SimSun"/>
          <w:sz w:val="24"/>
          <w:szCs w:val="24"/>
          <w:lang w:val="zh-CN"/>
        </w:rPr>
        <w:t>的排放监测数据至关重要。</w:t>
      </w:r>
    </w:p>
    <w:p w14:paraId="51506A7D"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进度报告称</w:t>
      </w:r>
      <w:r w:rsidRPr="009B423C">
        <w:rPr>
          <w:rFonts w:eastAsia="SimSun"/>
          <w:sz w:val="24"/>
          <w:szCs w:val="24"/>
          <w:lang w:val="zh-CN"/>
        </w:rPr>
        <w:t>2-BTP</w:t>
      </w:r>
      <w:r w:rsidRPr="009B423C">
        <w:rPr>
          <w:rFonts w:eastAsia="SimSun"/>
          <w:sz w:val="24"/>
          <w:szCs w:val="24"/>
          <w:lang w:val="zh-CN"/>
        </w:rPr>
        <w:t>和二氧化碳的混合物已根据美利坚合众国《重要新替代品政策》获得核准且监管程序仍在进行中，他指出这一点不准确。</w:t>
      </w:r>
    </w:p>
    <w:p w14:paraId="15122B55"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关于哈龙</w:t>
      </w:r>
      <w:r w:rsidRPr="009B423C">
        <w:rPr>
          <w:rFonts w:eastAsia="SimSun"/>
          <w:sz w:val="24"/>
          <w:szCs w:val="24"/>
          <w:lang w:val="zh-CN"/>
        </w:rPr>
        <w:t>1301</w:t>
      </w:r>
      <w:r w:rsidRPr="009B423C">
        <w:rPr>
          <w:rFonts w:eastAsia="SimSun"/>
          <w:sz w:val="24"/>
          <w:szCs w:val="24"/>
          <w:lang w:val="zh-CN"/>
        </w:rPr>
        <w:t>库存在全球分布不均衡的问题，他回顾说，该问题曾在委员会的许多报告中提及，但由于缺乏按区域或国家层面细分的数据，因此难以对此进行进一步分析。有些公司专门从事哈龙</w:t>
      </w:r>
      <w:r w:rsidRPr="009B423C">
        <w:rPr>
          <w:rFonts w:eastAsia="SimSun"/>
          <w:sz w:val="24"/>
          <w:szCs w:val="24"/>
          <w:lang w:val="zh-CN"/>
        </w:rPr>
        <w:t>1301</w:t>
      </w:r>
      <w:r w:rsidRPr="009B423C">
        <w:rPr>
          <w:rFonts w:eastAsia="SimSun"/>
          <w:sz w:val="24"/>
          <w:szCs w:val="24"/>
          <w:lang w:val="zh-CN"/>
        </w:rPr>
        <w:t>的国际再加工和销售业务，但根据《控制危险废物越境转移及其处置巴塞尔公约》以及当地法规，哈龙</w:t>
      </w:r>
      <w:r w:rsidRPr="009B423C">
        <w:rPr>
          <w:rFonts w:eastAsia="SimSun"/>
          <w:sz w:val="24"/>
          <w:szCs w:val="24"/>
          <w:lang w:val="zh-CN"/>
        </w:rPr>
        <w:t>1301</w:t>
      </w:r>
      <w:r w:rsidRPr="009B423C">
        <w:rPr>
          <w:rFonts w:eastAsia="SimSun"/>
          <w:sz w:val="24"/>
          <w:szCs w:val="24"/>
          <w:lang w:val="zh-CN"/>
        </w:rPr>
        <w:t>的越境转移可能会引发相关问题。</w:t>
      </w:r>
    </w:p>
    <w:p w14:paraId="75152142" w14:textId="3CEA2AED"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鉴于一些国家对硫酰氟和膦类化合物等替代品实施严格的健康和安全限制，有人对甲基溴技术选择委员会提出关于虫害防治中非化学和新兴化学替代品的问题；</w:t>
      </w:r>
      <w:r w:rsidRPr="009B423C">
        <w:rPr>
          <w:rFonts w:eastAsia="SimSun"/>
          <w:sz w:val="24"/>
          <w:szCs w:val="24"/>
          <w:lang w:val="zh-CN"/>
        </w:rPr>
        <w:t>Pizano</w:t>
      </w:r>
      <w:r w:rsidRPr="009B423C">
        <w:rPr>
          <w:rFonts w:eastAsia="SimSun"/>
          <w:sz w:val="24"/>
          <w:szCs w:val="24"/>
          <w:lang w:val="zh-CN"/>
        </w:rPr>
        <w:t>女士对此表示，虽然选择合适的替代品在很大程度上取决于所涉及的害虫以及具体的施用情况，但有效的非化学替代品包括热处理、冷处理和辐照。委员会将乐意应缔约方要求提供具体信息。</w:t>
      </w:r>
    </w:p>
    <w:p w14:paraId="46A9E8D2"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针对新西兰甲基溴消费量的大幅下降，</w:t>
      </w:r>
      <w:r w:rsidRPr="009B423C">
        <w:rPr>
          <w:rFonts w:eastAsia="SimSun"/>
          <w:sz w:val="24"/>
          <w:szCs w:val="24"/>
          <w:lang w:val="zh-CN"/>
        </w:rPr>
        <w:t>Porter</w:t>
      </w:r>
      <w:r w:rsidRPr="009B423C">
        <w:rPr>
          <w:rFonts w:eastAsia="SimSun"/>
          <w:sz w:val="24"/>
          <w:szCs w:val="24"/>
          <w:lang w:val="zh-CN"/>
        </w:rPr>
        <w:t>先生指出，这是通过在国家层面实施排放政策实现的；根据该政策，正在采取分阶段办法，目标是在</w:t>
      </w:r>
      <w:r w:rsidRPr="009B423C">
        <w:rPr>
          <w:rFonts w:eastAsia="SimSun"/>
          <w:sz w:val="24"/>
          <w:szCs w:val="24"/>
          <w:lang w:val="zh-CN"/>
        </w:rPr>
        <w:t>2032</w:t>
      </w:r>
      <w:r w:rsidRPr="009B423C">
        <w:rPr>
          <w:rFonts w:eastAsia="SimSun"/>
          <w:sz w:val="24"/>
          <w:szCs w:val="24"/>
          <w:lang w:val="zh-CN"/>
        </w:rPr>
        <w:t>年前将排放量降至接近零的水平。为了实现这一目标，新西兰各行业针对一系列排放实施了回收工艺，从而减少了甲基溴向大气中的排放。</w:t>
      </w:r>
    </w:p>
    <w:p w14:paraId="7F55A643" w14:textId="2E9D3AEC" w:rsidR="00E76D49" w:rsidRPr="00D94918"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D94918">
        <w:rPr>
          <w:rFonts w:eastAsia="SimSun"/>
          <w:sz w:val="24"/>
          <w:szCs w:val="24"/>
          <w:lang w:val="zh-CN"/>
        </w:rPr>
        <w:t>在回答关于区分甲基溴的检疫和装运前用途的问题时，他强调了外来害虫与常见（或本土）害虫之间在防控要求上的区别。检疫用途通常针对尚未出现的外来害虫，因此需要进行极高水平的防控，尽可能接近</w:t>
      </w:r>
      <w:r w:rsidRPr="00D94918">
        <w:rPr>
          <w:rFonts w:eastAsia="SimSun"/>
          <w:sz w:val="24"/>
          <w:szCs w:val="24"/>
          <w:lang w:val="zh-CN"/>
        </w:rPr>
        <w:t>100%</w:t>
      </w:r>
      <w:r w:rsidRPr="00D94918">
        <w:rPr>
          <w:rFonts w:eastAsia="SimSun"/>
          <w:sz w:val="24"/>
          <w:szCs w:val="24"/>
          <w:lang w:val="zh-CN"/>
        </w:rPr>
        <w:t>。装运前用途则针对常见害虫、卫生问题以及一般情况下即将离开一国的商品，对疾病防控的要求没有那么高，因此可使用更广泛的甲基溴替代品。委员会估计，通过区分这两种用途并针对装运前用途使用更广泛的替代品，缔约方每年可以减少约</w:t>
      </w:r>
      <w:r w:rsidRPr="00D94918">
        <w:rPr>
          <w:rFonts w:eastAsia="SimSun"/>
          <w:sz w:val="24"/>
          <w:szCs w:val="24"/>
          <w:lang w:val="zh-CN"/>
        </w:rPr>
        <w:t>3 000</w:t>
      </w:r>
      <w:r w:rsidR="006C227C" w:rsidRPr="00D94918">
        <w:rPr>
          <w:rFonts w:eastAsia="SimSun" w:hint="eastAsia"/>
          <w:sz w:val="24"/>
          <w:szCs w:val="24"/>
          <w:lang w:val="zh-CN"/>
        </w:rPr>
        <w:t>公</w:t>
      </w:r>
      <w:r w:rsidRPr="00D94918">
        <w:rPr>
          <w:rFonts w:eastAsia="SimSun"/>
          <w:sz w:val="24"/>
          <w:szCs w:val="24"/>
          <w:lang w:val="zh-CN"/>
        </w:rPr>
        <w:t>吨的甲基溴用量。</w:t>
      </w:r>
    </w:p>
    <w:p w14:paraId="13D860B6"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在回答关于受控用途的问题时，他说，委员会进行的广泛调查表明，某些国家仍然将甲基溴用于受控用途。</w:t>
      </w:r>
    </w:p>
    <w:p w14:paraId="51BB5080" w14:textId="1E2D4AD3"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Tope</w:t>
      </w:r>
      <w:r w:rsidRPr="009B423C">
        <w:rPr>
          <w:rFonts w:eastAsia="SimSun"/>
          <w:sz w:val="24"/>
          <w:szCs w:val="24"/>
          <w:lang w:val="zh-CN"/>
        </w:rPr>
        <w:t>女士在回答向医疗和化学品技术选择委员会提出的问题时解释说，虽然进度报告中未提及，但原料的排放估算数据将收录在今年晚些时候提交的四年期评估报告中。在回答另一项询问时，她表示，最近一份文件中报告的</w:t>
      </w:r>
      <w:r w:rsidRPr="009B423C">
        <w:rPr>
          <w:rFonts w:eastAsia="SimSun"/>
          <w:sz w:val="24"/>
          <w:szCs w:val="24"/>
          <w:lang w:val="zh-CN"/>
        </w:rPr>
        <w:t>3.6%</w:t>
      </w:r>
      <w:r w:rsidRPr="009B423C">
        <w:rPr>
          <w:rFonts w:eastAsia="SimSun"/>
          <w:sz w:val="24"/>
          <w:szCs w:val="24"/>
          <w:lang w:val="zh-CN"/>
        </w:rPr>
        <w:t>原料排放系数最初是由评估小组为其</w:t>
      </w:r>
      <w:r w:rsidRPr="009B423C">
        <w:rPr>
          <w:rFonts w:eastAsia="SimSun"/>
          <w:sz w:val="24"/>
          <w:szCs w:val="24"/>
          <w:lang w:val="zh-CN"/>
        </w:rPr>
        <w:t>2022</w:t>
      </w:r>
      <w:r w:rsidRPr="009B423C">
        <w:rPr>
          <w:rFonts w:eastAsia="SimSun"/>
          <w:sz w:val="24"/>
          <w:szCs w:val="24"/>
          <w:lang w:val="zh-CN"/>
        </w:rPr>
        <w:t>年评估报告制定的，并在其</w:t>
      </w:r>
      <w:r w:rsidRPr="009B423C">
        <w:rPr>
          <w:rFonts w:eastAsia="SimSun"/>
          <w:sz w:val="24"/>
          <w:szCs w:val="24"/>
          <w:lang w:val="zh-CN"/>
        </w:rPr>
        <w:t>2024</w:t>
      </w:r>
      <w:r w:rsidRPr="009B423C">
        <w:rPr>
          <w:rFonts w:eastAsia="SimSun"/>
          <w:sz w:val="24"/>
          <w:szCs w:val="24"/>
          <w:lang w:val="zh-CN"/>
        </w:rPr>
        <w:t>年进度报告中再次提及。这一数字是评估小组对生产、原料使用和分销环节排放量作出的最可能的平均排放系数估算。</w:t>
      </w:r>
      <w:r w:rsidRPr="009B423C">
        <w:rPr>
          <w:rFonts w:eastAsia="SimSun"/>
          <w:sz w:val="24"/>
          <w:szCs w:val="24"/>
          <w:lang w:val="zh-CN"/>
        </w:rPr>
        <w:t>1990</w:t>
      </w:r>
      <w:r w:rsidRPr="009B423C">
        <w:rPr>
          <w:rFonts w:eastAsia="SimSun"/>
          <w:sz w:val="24"/>
          <w:szCs w:val="24"/>
          <w:lang w:val="zh-CN"/>
        </w:rPr>
        <w:t>年代初估算的</w:t>
      </w:r>
      <w:r w:rsidRPr="009B423C">
        <w:rPr>
          <w:rFonts w:eastAsia="SimSun"/>
          <w:sz w:val="24"/>
          <w:szCs w:val="24"/>
          <w:lang w:val="zh-CN"/>
        </w:rPr>
        <w:t>0.5%</w:t>
      </w:r>
      <w:r w:rsidRPr="009B423C">
        <w:rPr>
          <w:rFonts w:eastAsia="SimSun"/>
          <w:sz w:val="24"/>
          <w:szCs w:val="24"/>
          <w:lang w:val="zh-CN"/>
        </w:rPr>
        <w:t>排放系数是评估小组根据主要位于美国和欧洲联盟的设施作出的最佳排放估计值。她建议向科学评估小组咨询任何关于此类排放对臭氧层影响的问题。</w:t>
      </w:r>
    </w:p>
    <w:p w14:paraId="1A0C2BAC" w14:textId="71E6A5A5"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当被问及目前有多少设施使用了新的蒸汽等离子弧销毁技术时，她表示根据提供的信息很难判断。该技术已获得专利，但尚未明确使用，并且可能只是一项新兴技术，尚未投入商业使用。关于是否可建议将其核准用于其他类别的受控物质，她说，提交资料表明已对</w:t>
      </w:r>
      <w:r w:rsidRPr="009B423C">
        <w:rPr>
          <w:rFonts w:eastAsia="SimSun"/>
          <w:sz w:val="24"/>
          <w:szCs w:val="24"/>
          <w:lang w:val="zh-CN"/>
        </w:rPr>
        <w:t>90</w:t>
      </w:r>
      <w:r w:rsidRPr="009B423C">
        <w:rPr>
          <w:rFonts w:eastAsia="SimSun"/>
          <w:sz w:val="24"/>
          <w:szCs w:val="24"/>
          <w:lang w:val="zh-CN"/>
        </w:rPr>
        <w:t>种不同的化合物进行了测试，但未具体说明是哪些化合物。如果获得更多的资料，评估小组可对该技术进行进一步评价。</w:t>
      </w:r>
    </w:p>
    <w:p w14:paraId="5FF431E9" w14:textId="030DC5B2"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在回答关于吸入器的问题时，她指出，进度报告概述了第</w:t>
      </w:r>
      <w:r w:rsidRPr="009B423C">
        <w:rPr>
          <w:rFonts w:eastAsia="SimSun"/>
          <w:sz w:val="24"/>
          <w:szCs w:val="24"/>
          <w:lang w:val="zh-CN"/>
        </w:rPr>
        <w:t>5</w:t>
      </w:r>
      <w:r w:rsidRPr="009B423C">
        <w:rPr>
          <w:rFonts w:eastAsia="SimSun"/>
          <w:sz w:val="24"/>
          <w:szCs w:val="24"/>
          <w:lang w:val="zh-CN"/>
        </w:rPr>
        <w:t>条缔约方面临的障碍以及监管影响导致推进剂供应受阻的问题，还概述了氢氟碳化物逐步削减时间表对</w:t>
      </w:r>
      <w:r w:rsidRPr="009B423C">
        <w:rPr>
          <w:rFonts w:eastAsia="SimSun"/>
          <w:sz w:val="24"/>
          <w:szCs w:val="24"/>
          <w:lang w:val="zh-CN"/>
        </w:rPr>
        <w:t>HFC-134a</w:t>
      </w:r>
      <w:r w:rsidRPr="009B423C">
        <w:rPr>
          <w:rFonts w:eastAsia="SimSun"/>
          <w:sz w:val="24"/>
          <w:szCs w:val="24"/>
          <w:lang w:val="zh-CN"/>
        </w:rPr>
        <w:t>和</w:t>
      </w:r>
      <w:r w:rsidRPr="009B423C">
        <w:rPr>
          <w:rFonts w:eastAsia="SimSun"/>
          <w:sz w:val="24"/>
          <w:szCs w:val="24"/>
          <w:lang w:val="zh-CN"/>
        </w:rPr>
        <w:t>HFC-227ea</w:t>
      </w:r>
      <w:r w:rsidRPr="009B423C">
        <w:rPr>
          <w:rFonts w:eastAsia="SimSun"/>
          <w:sz w:val="24"/>
          <w:szCs w:val="24"/>
          <w:lang w:val="zh-CN"/>
        </w:rPr>
        <w:t>（目前计量吸入器所用的推进剂）持续供应的潜在影响。</w:t>
      </w:r>
      <w:r w:rsidRPr="009B423C">
        <w:rPr>
          <w:rFonts w:eastAsia="SimSun"/>
          <w:sz w:val="24"/>
          <w:szCs w:val="24"/>
          <w:lang w:val="zh-CN"/>
        </w:rPr>
        <w:t>2026</w:t>
      </w:r>
      <w:r w:rsidRPr="009B423C">
        <w:rPr>
          <w:rFonts w:eastAsia="SimSun"/>
          <w:sz w:val="24"/>
          <w:szCs w:val="24"/>
          <w:lang w:val="zh-CN"/>
        </w:rPr>
        <w:t>年四年期评估报告将对第</w:t>
      </w:r>
      <w:r w:rsidRPr="009B423C">
        <w:rPr>
          <w:rFonts w:eastAsia="SimSun"/>
          <w:sz w:val="24"/>
          <w:szCs w:val="24"/>
          <w:lang w:val="zh-CN"/>
        </w:rPr>
        <w:t>5</w:t>
      </w:r>
      <w:r w:rsidRPr="009B423C">
        <w:rPr>
          <w:rFonts w:eastAsia="SimSun"/>
          <w:sz w:val="24"/>
          <w:szCs w:val="24"/>
          <w:lang w:val="zh-CN"/>
        </w:rPr>
        <w:t>条缔约方面临的挑战和障碍以及某些问题进行更详细的评估，其中包括技术转让。就变化速度而言，过渡仍处于早期阶段，目前尚难以预判这些挑战未来会如何演变。目前，评估小组指出了若干风险领域，其中涉及过渡速度是否与《基加利修正》下的逐步削减时间表相匹配，以及是否有足够的替代品供应。她建议缔约方利用这些信息让其利益攸关方意识到相关风险，以便为过渡铺平道路并防止这些风险成为现实。在采用干粉吸入器方面，区域之间的采用率差异在一定程度上与可负担性有关；在世界许多地区，干粉吸入器既难以获得，价格也难以负担，这给第</w:t>
      </w:r>
      <w:r w:rsidRPr="009B423C">
        <w:rPr>
          <w:rFonts w:eastAsia="SimSun"/>
          <w:sz w:val="24"/>
          <w:szCs w:val="24"/>
          <w:lang w:val="zh-CN"/>
        </w:rPr>
        <w:t>5</w:t>
      </w:r>
      <w:r w:rsidRPr="009B423C">
        <w:rPr>
          <w:rFonts w:eastAsia="SimSun"/>
          <w:sz w:val="24"/>
          <w:szCs w:val="24"/>
          <w:lang w:val="zh-CN"/>
        </w:rPr>
        <w:t>条缔约方的采用构成了障碍。此外，干粉吸入器虽然适合许多患者，但并非所有患者，例如吸气流量较差的婴幼儿或高龄患者。</w:t>
      </w:r>
    </w:p>
    <w:p w14:paraId="362B9BF9" w14:textId="3ACCE482"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Zhang</w:t>
      </w:r>
      <w:r w:rsidRPr="009B423C">
        <w:rPr>
          <w:rFonts w:eastAsia="SimSun"/>
          <w:sz w:val="24"/>
          <w:szCs w:val="24"/>
          <w:lang w:val="zh-CN"/>
        </w:rPr>
        <w:t>先生在回答关于二氟氯甲烷原料用途的问题时证实，该物质约占所用原料的</w:t>
      </w:r>
      <w:r w:rsidRPr="009B423C">
        <w:rPr>
          <w:rFonts w:eastAsia="SimSun"/>
          <w:sz w:val="24"/>
          <w:szCs w:val="24"/>
          <w:lang w:val="zh-CN"/>
        </w:rPr>
        <w:t>50%</w:t>
      </w:r>
      <w:r w:rsidRPr="009B423C">
        <w:rPr>
          <w:rFonts w:eastAsia="SimSun"/>
          <w:sz w:val="24"/>
          <w:szCs w:val="24"/>
          <w:lang w:val="zh-CN"/>
        </w:rPr>
        <w:t>。其使用量增加是由于对四氟乙烯的需求上升，尤其是对六氟丙烯的需求上升，因为六氟丙烯不仅是</w:t>
      </w:r>
      <w:r w:rsidRPr="009B423C">
        <w:rPr>
          <w:rFonts w:eastAsia="SimSun"/>
          <w:sz w:val="24"/>
          <w:szCs w:val="24"/>
          <w:lang w:val="zh-CN"/>
        </w:rPr>
        <w:t>HFO-1234yf</w:t>
      </w:r>
      <w:r w:rsidRPr="009B423C">
        <w:rPr>
          <w:rFonts w:eastAsia="SimSun"/>
          <w:sz w:val="24"/>
          <w:szCs w:val="24"/>
          <w:lang w:val="zh-CN"/>
        </w:rPr>
        <w:t>的原料，也是灭火剂全氟酮的原料。六氟丙烯也越来越多地被用作数据中心的传热流体。</w:t>
      </w:r>
    </w:p>
    <w:p w14:paraId="420B819D" w14:textId="1EA13D32"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在回答向制冷、空调和热泵技术选择委员会提出的关于空调和热泵系统向二氟甲烷和</w:t>
      </w:r>
      <w:r w:rsidRPr="009B423C">
        <w:rPr>
          <w:rFonts w:eastAsia="SimSun"/>
          <w:sz w:val="24"/>
          <w:szCs w:val="24"/>
          <w:lang w:val="zh-CN"/>
        </w:rPr>
        <w:t>R-454B</w:t>
      </w:r>
      <w:r w:rsidRPr="009B423C">
        <w:rPr>
          <w:rFonts w:eastAsia="SimSun"/>
          <w:sz w:val="24"/>
          <w:szCs w:val="24"/>
          <w:lang w:val="zh-CN"/>
        </w:rPr>
        <w:t>过渡涉及的容量问题时，</w:t>
      </w:r>
      <w:r w:rsidRPr="009B423C">
        <w:rPr>
          <w:rFonts w:eastAsia="SimSun"/>
          <w:sz w:val="24"/>
          <w:szCs w:val="24"/>
          <w:lang w:val="zh-CN"/>
        </w:rPr>
        <w:t>Abdelaziz</w:t>
      </w:r>
      <w:r w:rsidRPr="009B423C">
        <w:rPr>
          <w:rFonts w:eastAsia="SimSun"/>
          <w:sz w:val="24"/>
          <w:szCs w:val="24"/>
          <w:lang w:val="zh-CN"/>
        </w:rPr>
        <w:t>先生表示，</w:t>
      </w:r>
      <w:r w:rsidRPr="005969FD">
        <w:rPr>
          <w:rFonts w:eastAsia="SimSun"/>
          <w:spacing w:val="4"/>
          <w:sz w:val="24"/>
          <w:szCs w:val="24"/>
          <w:lang w:val="zh-CN"/>
        </w:rPr>
        <w:t>根据现有资料，常规设计的容量在</w:t>
      </w:r>
      <w:r w:rsidRPr="005969FD">
        <w:rPr>
          <w:rFonts w:eastAsia="SimSun"/>
          <w:spacing w:val="4"/>
          <w:sz w:val="24"/>
          <w:szCs w:val="24"/>
          <w:lang w:val="zh-CN"/>
        </w:rPr>
        <w:t>5–15</w:t>
      </w:r>
      <w:r w:rsidR="006C227C">
        <w:rPr>
          <w:rFonts w:eastAsia="SimSun" w:hint="eastAsia"/>
          <w:spacing w:val="4"/>
          <w:sz w:val="24"/>
          <w:szCs w:val="24"/>
          <w:lang w:val="zh-CN"/>
        </w:rPr>
        <w:t>公</w:t>
      </w:r>
      <w:r w:rsidRPr="005969FD">
        <w:rPr>
          <w:rFonts w:eastAsia="SimSun"/>
          <w:spacing w:val="4"/>
          <w:sz w:val="24"/>
          <w:szCs w:val="24"/>
          <w:lang w:val="zh-CN"/>
        </w:rPr>
        <w:t>吨范围内，但不一定适用于高温环</w:t>
      </w:r>
      <w:r w:rsidRPr="009B423C">
        <w:rPr>
          <w:rFonts w:eastAsia="SimSun"/>
          <w:sz w:val="24"/>
          <w:szCs w:val="24"/>
          <w:lang w:val="zh-CN"/>
        </w:rPr>
        <w:t>境。评估小组没有关于在</w:t>
      </w:r>
      <w:r w:rsidRPr="009B423C">
        <w:rPr>
          <w:rFonts w:eastAsia="SimSun"/>
          <w:sz w:val="24"/>
          <w:szCs w:val="24"/>
          <w:lang w:val="zh-CN"/>
        </w:rPr>
        <w:t>46–48</w:t>
      </w:r>
      <w:r w:rsidRPr="009B423C">
        <w:rPr>
          <w:rFonts w:eastAsia="SimSun"/>
          <w:sz w:val="24"/>
          <w:szCs w:val="24"/>
          <w:lang w:val="zh-CN"/>
        </w:rPr>
        <w:t>摄氏度的高环境温度下系统容量是否会</w:t>
      </w:r>
      <w:r w:rsidRPr="005969FD">
        <w:rPr>
          <w:rFonts w:eastAsia="SimSun"/>
          <w:spacing w:val="8"/>
          <w:sz w:val="24"/>
          <w:szCs w:val="24"/>
          <w:lang w:val="zh-CN"/>
        </w:rPr>
        <w:t>下降的证据，但了解到在高温条件下，二氟甲烷和</w:t>
      </w:r>
      <w:r w:rsidRPr="005969FD">
        <w:rPr>
          <w:rFonts w:eastAsia="SimSun"/>
          <w:spacing w:val="8"/>
          <w:sz w:val="24"/>
          <w:szCs w:val="24"/>
          <w:lang w:val="zh-CN"/>
        </w:rPr>
        <w:t>R-454B</w:t>
      </w:r>
      <w:r w:rsidRPr="005969FD">
        <w:rPr>
          <w:rFonts w:eastAsia="SimSun"/>
          <w:spacing w:val="8"/>
          <w:sz w:val="24"/>
          <w:szCs w:val="24"/>
          <w:lang w:val="zh-CN"/>
        </w:rPr>
        <w:t>的性能优于</w:t>
      </w:r>
      <w:r w:rsidRPr="009B423C">
        <w:rPr>
          <w:rFonts w:eastAsia="SimSun"/>
          <w:sz w:val="24"/>
          <w:szCs w:val="24"/>
          <w:lang w:val="zh-CN"/>
        </w:rPr>
        <w:t>R-410A</w:t>
      </w:r>
      <w:r w:rsidRPr="009B423C">
        <w:rPr>
          <w:rFonts w:eastAsia="SimSun"/>
          <w:sz w:val="24"/>
          <w:szCs w:val="24"/>
          <w:lang w:val="zh-CN"/>
        </w:rPr>
        <w:t>。在回答关于制冷剂充注量限制、房间面积限制和泄漏检测仪的影响，以及这些因素对</w:t>
      </w:r>
      <w:r w:rsidRPr="009B423C">
        <w:rPr>
          <w:rFonts w:eastAsia="SimSun"/>
          <w:sz w:val="24"/>
          <w:szCs w:val="24"/>
          <w:lang w:val="zh-CN"/>
        </w:rPr>
        <w:t>5–15</w:t>
      </w:r>
      <w:r w:rsidR="006C227C">
        <w:rPr>
          <w:rFonts w:eastAsia="SimSun" w:hint="eastAsia"/>
          <w:sz w:val="24"/>
          <w:szCs w:val="24"/>
          <w:lang w:val="zh-CN"/>
        </w:rPr>
        <w:t>公</w:t>
      </w:r>
      <w:r w:rsidRPr="009B423C">
        <w:rPr>
          <w:rFonts w:eastAsia="SimSun"/>
          <w:sz w:val="24"/>
          <w:szCs w:val="24"/>
          <w:lang w:val="zh-CN"/>
        </w:rPr>
        <w:t>吨范围内管道分体式及其他空调系统的影响</w:t>
      </w:r>
      <w:r w:rsidRPr="009B423C">
        <w:rPr>
          <w:rFonts w:eastAsia="SimSun"/>
          <w:sz w:val="24"/>
          <w:szCs w:val="24"/>
          <w:lang w:val="zh-CN"/>
        </w:rPr>
        <w:lastRenderedPageBreak/>
        <w:t>这一相关问题时，他表示，使用</w:t>
      </w:r>
      <w:r w:rsidRPr="009B423C">
        <w:rPr>
          <w:rFonts w:eastAsia="SimSun"/>
          <w:sz w:val="24"/>
          <w:szCs w:val="24"/>
          <w:lang w:val="zh-CN"/>
        </w:rPr>
        <w:t>A3</w:t>
      </w:r>
      <w:r w:rsidRPr="009B423C">
        <w:rPr>
          <w:rFonts w:eastAsia="SimSun"/>
          <w:sz w:val="24"/>
          <w:szCs w:val="24"/>
          <w:lang w:val="zh-CN"/>
        </w:rPr>
        <w:t>类制冷剂会有一定限制，但证据显示在该容量范围的低端使用</w:t>
      </w:r>
      <w:r w:rsidRPr="009B423C">
        <w:rPr>
          <w:rFonts w:eastAsia="SimSun"/>
          <w:sz w:val="24"/>
          <w:szCs w:val="24"/>
          <w:lang w:val="zh-CN"/>
        </w:rPr>
        <w:t>A2N</w:t>
      </w:r>
      <w:r w:rsidRPr="009B423C">
        <w:rPr>
          <w:rFonts w:eastAsia="SimSun"/>
          <w:sz w:val="24"/>
          <w:szCs w:val="24"/>
          <w:lang w:val="zh-CN"/>
        </w:rPr>
        <w:t>类制冷剂没有问题。</w:t>
      </w:r>
      <w:bookmarkStart w:id="15" w:name="_Hlk202806926"/>
      <w:bookmarkStart w:id="16" w:name="_Hlk202805715"/>
      <w:bookmarkEnd w:id="15"/>
      <w:bookmarkEnd w:id="16"/>
    </w:p>
    <w:p w14:paraId="4E783BED" w14:textId="068FFC6A"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针对报告第</w:t>
      </w:r>
      <w:r w:rsidRPr="009B423C">
        <w:rPr>
          <w:rFonts w:eastAsia="SimSun"/>
          <w:sz w:val="24"/>
          <w:szCs w:val="24"/>
          <w:lang w:val="zh-CN"/>
        </w:rPr>
        <w:t>6</w:t>
      </w:r>
      <w:r w:rsidRPr="009B423C">
        <w:rPr>
          <w:rFonts w:eastAsia="SimSun"/>
          <w:sz w:val="24"/>
          <w:szCs w:val="24"/>
          <w:lang w:val="zh-CN"/>
        </w:rPr>
        <w:t>章讨论涉及的低消费量和极低消费量国家的关切，</w:t>
      </w:r>
      <w:r w:rsidRPr="009B423C">
        <w:rPr>
          <w:rFonts w:eastAsia="SimSun"/>
          <w:sz w:val="24"/>
          <w:szCs w:val="24"/>
          <w:lang w:val="zh-CN"/>
        </w:rPr>
        <w:t>Abdelaziz</w:t>
      </w:r>
      <w:r w:rsidRPr="009B423C">
        <w:rPr>
          <w:rFonts w:eastAsia="SimSun"/>
          <w:sz w:val="24"/>
          <w:szCs w:val="24"/>
          <w:lang w:val="zh-CN"/>
        </w:rPr>
        <w:t>先生向缔约方保证，这些国家是《蒙特利尔议定书》大家庭的重要组成部分，且即将发布的制冷、空调和热泵技术选择委员会关于维修的评估报告将包含一个专门章节来讨论它们的需求。针对第</w:t>
      </w:r>
      <w:r w:rsidRPr="009B423C">
        <w:rPr>
          <w:rFonts w:eastAsia="SimSun"/>
          <w:sz w:val="24"/>
          <w:szCs w:val="24"/>
          <w:lang w:val="zh-CN"/>
        </w:rPr>
        <w:t>XXXVII/3</w:t>
      </w:r>
      <w:r w:rsidRPr="009B423C">
        <w:rPr>
          <w:rFonts w:eastAsia="SimSun"/>
          <w:sz w:val="24"/>
          <w:szCs w:val="24"/>
          <w:lang w:val="zh-CN"/>
        </w:rPr>
        <w:t>号决定（关于《蒙特利尔议定书》所列废旧和弃置受控物质（包括即将报废的受控物质）的数量和处置备选方案的研究）的执行情况，以及评估小组将如何评估低消费量和极低消费量国家能否获得销毁和回收设施的问题，</w:t>
      </w:r>
      <w:r w:rsidRPr="009B423C">
        <w:rPr>
          <w:rFonts w:eastAsia="SimSun"/>
          <w:sz w:val="24"/>
          <w:szCs w:val="24"/>
          <w:lang w:val="zh-CN"/>
        </w:rPr>
        <w:t>Abdelaziz</w:t>
      </w:r>
      <w:r w:rsidRPr="009B423C">
        <w:rPr>
          <w:rFonts w:eastAsia="SimSun"/>
          <w:sz w:val="24"/>
          <w:szCs w:val="24"/>
          <w:lang w:val="zh-CN"/>
        </w:rPr>
        <w:t>先生提到了充资问题工作队报告第</w:t>
      </w:r>
      <w:r w:rsidRPr="009B423C">
        <w:rPr>
          <w:rFonts w:eastAsia="SimSun"/>
          <w:sz w:val="24"/>
          <w:szCs w:val="24"/>
          <w:lang w:val="zh-CN"/>
        </w:rPr>
        <w:t>8</w:t>
      </w:r>
      <w:r w:rsidRPr="009B423C">
        <w:rPr>
          <w:rFonts w:eastAsia="SimSun"/>
          <w:sz w:val="24"/>
          <w:szCs w:val="24"/>
          <w:lang w:val="zh-CN"/>
        </w:rPr>
        <w:t>章，其中列出越境运输弃置物质的估计费用为</w:t>
      </w:r>
      <w:r w:rsidRPr="009B423C">
        <w:rPr>
          <w:rFonts w:eastAsia="SimSun"/>
          <w:sz w:val="24"/>
          <w:szCs w:val="24"/>
          <w:lang w:val="zh-CN"/>
        </w:rPr>
        <w:t>50 000</w:t>
      </w:r>
      <w:r w:rsidRPr="009B423C">
        <w:rPr>
          <w:rFonts w:eastAsia="SimSun"/>
          <w:sz w:val="24"/>
          <w:szCs w:val="24"/>
          <w:lang w:val="zh-CN"/>
        </w:rPr>
        <w:t>美元。</w:t>
      </w:r>
    </w:p>
    <w:p w14:paraId="759FCF68" w14:textId="03A4E7B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Abdelaziz</w:t>
      </w:r>
      <w:r w:rsidRPr="009B423C">
        <w:rPr>
          <w:rFonts w:eastAsia="SimSun"/>
          <w:sz w:val="24"/>
          <w:szCs w:val="24"/>
          <w:lang w:val="zh-CN"/>
        </w:rPr>
        <w:t>先生应要求提供了关于进度报告表</w:t>
      </w:r>
      <w:r w:rsidRPr="009B423C">
        <w:rPr>
          <w:rFonts w:eastAsia="SimSun"/>
          <w:sz w:val="24"/>
          <w:szCs w:val="24"/>
          <w:lang w:val="zh-CN"/>
        </w:rPr>
        <w:t>6.1</w:t>
      </w:r>
      <w:r w:rsidRPr="009B423C">
        <w:rPr>
          <w:rFonts w:eastAsia="SimSun"/>
          <w:sz w:val="24"/>
          <w:szCs w:val="24"/>
          <w:lang w:val="zh-CN"/>
        </w:rPr>
        <w:t>列出的七种新型制冷剂混合物的更多信息，表示这些制冷剂混合物最近刚刚获得了美国采暖、制冷与空调工程师学会标准</w:t>
      </w:r>
      <w:r w:rsidRPr="009B423C">
        <w:rPr>
          <w:rFonts w:eastAsia="SimSun"/>
          <w:sz w:val="24"/>
          <w:szCs w:val="24"/>
          <w:lang w:val="zh-CN"/>
        </w:rPr>
        <w:t>34</w:t>
      </w:r>
      <w:r w:rsidRPr="009B423C">
        <w:rPr>
          <w:rFonts w:eastAsia="SimSun"/>
          <w:sz w:val="24"/>
          <w:szCs w:val="24"/>
          <w:lang w:val="zh-CN"/>
        </w:rPr>
        <w:t>或国际标准化组织标准</w:t>
      </w:r>
      <w:r w:rsidRPr="009B423C">
        <w:rPr>
          <w:rFonts w:eastAsia="SimSun"/>
          <w:sz w:val="24"/>
          <w:szCs w:val="24"/>
          <w:lang w:val="zh-CN"/>
        </w:rPr>
        <w:t>817</w:t>
      </w:r>
      <w:r w:rsidRPr="009B423C">
        <w:rPr>
          <w:rFonts w:eastAsia="SimSun"/>
          <w:sz w:val="24"/>
          <w:szCs w:val="24"/>
          <w:lang w:val="zh-CN"/>
        </w:rPr>
        <w:t>的核准，各公司才刚开始探索如何将其应用于产品。评估小组尚未获悉任何公司或任何产品在使用这些制冷剂混合物。其中一种制冷剂混合物</w:t>
      </w:r>
      <w:r w:rsidRPr="009B423C">
        <w:rPr>
          <w:rFonts w:eastAsia="SimSun"/>
          <w:sz w:val="24"/>
          <w:szCs w:val="24"/>
          <w:lang w:val="zh-CN"/>
        </w:rPr>
        <w:t>R-496A</w:t>
      </w:r>
      <w:r w:rsidRPr="009B423C">
        <w:rPr>
          <w:rFonts w:eastAsia="SimSun"/>
          <w:sz w:val="24"/>
          <w:szCs w:val="24"/>
          <w:lang w:val="zh-CN"/>
        </w:rPr>
        <w:t>含有全氟化碳</w:t>
      </w:r>
      <w:r w:rsidRPr="009B423C">
        <w:rPr>
          <w:rFonts w:eastAsia="SimSun"/>
          <w:sz w:val="24"/>
          <w:szCs w:val="24"/>
          <w:lang w:val="zh-CN"/>
        </w:rPr>
        <w:t>R-14</w:t>
      </w:r>
      <w:r w:rsidRPr="009B423C">
        <w:rPr>
          <w:rFonts w:eastAsia="SimSun"/>
          <w:sz w:val="24"/>
          <w:szCs w:val="24"/>
          <w:lang w:val="zh-CN"/>
        </w:rPr>
        <w:t>和</w:t>
      </w:r>
      <w:r w:rsidRPr="009B423C">
        <w:rPr>
          <w:rFonts w:eastAsia="SimSun"/>
          <w:sz w:val="24"/>
          <w:szCs w:val="24"/>
          <w:lang w:val="zh-CN"/>
        </w:rPr>
        <w:t>R-116</w:t>
      </w:r>
      <w:r w:rsidRPr="009B423C">
        <w:rPr>
          <w:rFonts w:eastAsia="SimSun"/>
          <w:sz w:val="24"/>
          <w:szCs w:val="24"/>
          <w:lang w:val="zh-CN"/>
        </w:rPr>
        <w:t>，被设计成具有非常低的气泡点温度，可用于超低温制冷应用。在回答另一个问题时，他说，约有</w:t>
      </w:r>
      <w:r w:rsidRPr="009B423C">
        <w:rPr>
          <w:rFonts w:eastAsia="SimSun"/>
          <w:sz w:val="24"/>
          <w:szCs w:val="24"/>
          <w:lang w:val="zh-CN"/>
        </w:rPr>
        <w:t>149</w:t>
      </w:r>
      <w:r w:rsidRPr="009B423C">
        <w:rPr>
          <w:rFonts w:eastAsia="SimSun"/>
          <w:sz w:val="24"/>
          <w:szCs w:val="24"/>
          <w:lang w:val="zh-CN"/>
        </w:rPr>
        <w:t>个国家制定了空调最低能源性能标准或标识，约有</w:t>
      </w:r>
      <w:r w:rsidRPr="009B423C">
        <w:rPr>
          <w:rFonts w:eastAsia="SimSun"/>
          <w:sz w:val="24"/>
          <w:szCs w:val="24"/>
          <w:lang w:val="zh-CN"/>
        </w:rPr>
        <w:t>135</w:t>
      </w:r>
      <w:r w:rsidRPr="009B423C">
        <w:rPr>
          <w:rFonts w:eastAsia="SimSun"/>
          <w:sz w:val="24"/>
          <w:szCs w:val="24"/>
          <w:lang w:val="zh-CN"/>
        </w:rPr>
        <w:t>个国家制定了家用制冷最低能源性能标准或标识。</w:t>
      </w:r>
    </w:p>
    <w:p w14:paraId="0EE4C098" w14:textId="32A3E9EC"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Peixoto</w:t>
      </w:r>
      <w:r w:rsidRPr="009B423C">
        <w:rPr>
          <w:rFonts w:eastAsia="SimSun"/>
          <w:sz w:val="24"/>
          <w:szCs w:val="24"/>
          <w:lang w:val="zh-CN"/>
        </w:rPr>
        <w:t>先生回答了关于车辆电气化对移动空调影响的问题，指出该问题已经从移动空调演变为热负荷管理。目前正在对新制冷剂、新系统和新技术进行评估，这为重新定位二氧化碳提供了机会；二氧化碳是一种非常适合热泵的制冷剂，这对缺乏发动机废气供暖的电动车来说是一个重要的考虑因素。对于混合系统，正在测试使用另一种间接制冷剂的丙烷，这被认为是一种有前景的替代品。四年期评估报告将有一部分详细讨论车辆电气化。</w:t>
      </w:r>
    </w:p>
    <w:p w14:paraId="78BD4BC6" w14:textId="737E404E"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针对与制冷剂生命周期管理有关的问题，</w:t>
      </w:r>
      <w:r w:rsidRPr="009B423C">
        <w:rPr>
          <w:rFonts w:eastAsia="SimSun"/>
          <w:sz w:val="24"/>
          <w:szCs w:val="24"/>
          <w:lang w:val="zh-CN"/>
        </w:rPr>
        <w:t>Peixoto</w:t>
      </w:r>
      <w:r w:rsidRPr="009B423C">
        <w:rPr>
          <w:rFonts w:eastAsia="SimSun"/>
          <w:sz w:val="24"/>
          <w:szCs w:val="24"/>
          <w:lang w:val="zh-CN"/>
        </w:rPr>
        <w:t>先生请代表们咨询医疗和化学品技术选择委员会并参考其关于回收、再循环、再生和销毁的进度和评估报告的各章节内容，以获取关于销毁技术和替代品的更多信息。除此之外，维修培训对于制冷剂转型、减排和能效非常重要，评估小组已决定纳入一个章节，深入讨论与维修有关的挑战、障碍和替代品。自全氯氟烃时代以来，回收、再循环和再生一直是一项重大挑战，且存在许多障碍，不仅在发展中国家和所有小岛屿发展中国家，在部门组织较完善的国家也是如此。必须考虑财务、技术和后勤方面，虽然气候变化最近已成为制冷剂生命周期管理的另一个驱动力，但它对所有国家来说仍是一项重大挑战。</w:t>
      </w:r>
    </w:p>
    <w:p w14:paraId="1110F2DA" w14:textId="2F8D8668"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Rajendran</w:t>
      </w:r>
      <w:r w:rsidRPr="009B423C">
        <w:rPr>
          <w:rFonts w:eastAsia="SimSun"/>
          <w:sz w:val="24"/>
          <w:szCs w:val="24"/>
          <w:lang w:val="zh-CN"/>
        </w:rPr>
        <w:t>先生</w:t>
      </w:r>
      <w:r w:rsidR="007C30B9" w:rsidRPr="009B423C">
        <w:rPr>
          <w:rFonts w:eastAsia="SimSun" w:hint="eastAsia"/>
          <w:sz w:val="24"/>
          <w:szCs w:val="24"/>
          <w:lang w:val="zh-CN"/>
        </w:rPr>
        <w:t>也</w:t>
      </w:r>
      <w:r w:rsidRPr="009B423C">
        <w:rPr>
          <w:rFonts w:eastAsia="SimSun"/>
          <w:sz w:val="24"/>
          <w:szCs w:val="24"/>
          <w:lang w:val="zh-CN"/>
        </w:rPr>
        <w:t>回答</w:t>
      </w:r>
      <w:r w:rsidR="007C30B9" w:rsidRPr="009B423C">
        <w:rPr>
          <w:rFonts w:eastAsia="SimSun" w:hint="eastAsia"/>
          <w:sz w:val="24"/>
          <w:szCs w:val="24"/>
          <w:lang w:val="zh-CN"/>
        </w:rPr>
        <w:t>了</w:t>
      </w:r>
      <w:r w:rsidRPr="009B423C">
        <w:rPr>
          <w:rFonts w:eastAsia="SimSun"/>
          <w:sz w:val="24"/>
          <w:szCs w:val="24"/>
          <w:lang w:val="zh-CN"/>
        </w:rPr>
        <w:t>一系列问题</w:t>
      </w:r>
      <w:r w:rsidR="007C30B9" w:rsidRPr="009B423C">
        <w:rPr>
          <w:rFonts w:eastAsia="SimSun" w:hint="eastAsia"/>
          <w:sz w:val="24"/>
          <w:szCs w:val="24"/>
          <w:lang w:val="zh-CN"/>
        </w:rPr>
        <w:t>；他</w:t>
      </w:r>
      <w:r w:rsidRPr="009B423C">
        <w:rPr>
          <w:rFonts w:eastAsia="SimSun"/>
          <w:sz w:val="24"/>
          <w:szCs w:val="24"/>
          <w:lang w:val="zh-CN"/>
        </w:rPr>
        <w:t>首先承认，鉴于没有任何一种制冷剂能够同时满足安全、成本、气候、效率和环境影响等方面的所有要求，设备和制冷剂制造商在选择制冷剂时始终面临着如何优先权衡取舍的问题。显然，制冷剂必须具备所需的制冷能力，但除此之外，需要考虑的其他变量则取决于具体应用场景。评估小组未就如何处理这一问题提出任何建议。在回答关于二氧化碳在大型系统以及丙烷在小型系统和单体热</w:t>
      </w:r>
      <w:r w:rsidRPr="009B423C">
        <w:rPr>
          <w:rFonts w:eastAsia="SimSun"/>
          <w:sz w:val="24"/>
          <w:szCs w:val="24"/>
          <w:lang w:val="zh-CN"/>
        </w:rPr>
        <w:lastRenderedPageBreak/>
        <w:t>泵中用量日益增长，以及推动这一增长的关键因素的问题时，他指出，二氧化碳在大型系统中显然能够以具有成本效益的方式提供所需性能。此外，尺寸因素的影响正在慢慢减弱，预计最终将比目前情况好得多。丙烷具有非常好的性能，但其使用受到各种安全标准对制冷剂充注量限制的制约。使用丙烷的小型系统几乎总是由工厂完成充注和泄漏测试，并在出厂时预先充注好，这是其得到接受的关键因素。</w:t>
      </w:r>
    </w:p>
    <w:p w14:paraId="52415BB4" w14:textId="66B55336"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当被问及数据中心的增长可能对制冷剂需求产生何种影响时，</w:t>
      </w:r>
      <w:r w:rsidRPr="009B423C">
        <w:rPr>
          <w:rFonts w:eastAsia="SimSun"/>
          <w:sz w:val="24"/>
          <w:szCs w:val="24"/>
          <w:lang w:val="zh-CN"/>
        </w:rPr>
        <w:t>Rajendran</w:t>
      </w:r>
      <w:r w:rsidRPr="009B423C">
        <w:rPr>
          <w:rFonts w:eastAsia="SimSun"/>
          <w:sz w:val="24"/>
          <w:szCs w:val="24"/>
          <w:lang w:val="zh-CN"/>
        </w:rPr>
        <w:t>先生承认，虽然需求会明显增加，但目前正在就数据中心的新型制冷方式开展大量研究。在传统制冷技术中，数据中心往往使用全球升温潜能值低的制冷剂，如</w:t>
      </w:r>
      <w:r w:rsidRPr="009B423C">
        <w:rPr>
          <w:rFonts w:eastAsia="SimSun"/>
          <w:sz w:val="24"/>
          <w:szCs w:val="24"/>
          <w:lang w:val="zh-CN"/>
        </w:rPr>
        <w:t>R-1234ze</w:t>
      </w:r>
      <w:r w:rsidRPr="009B423C">
        <w:rPr>
          <w:rFonts w:eastAsia="SimSun"/>
          <w:sz w:val="24"/>
          <w:szCs w:val="24"/>
          <w:lang w:val="zh-CN"/>
        </w:rPr>
        <w:t>和</w:t>
      </w:r>
      <w:r w:rsidRPr="009B423C">
        <w:rPr>
          <w:rFonts w:eastAsia="SimSun"/>
          <w:sz w:val="24"/>
          <w:szCs w:val="24"/>
          <w:lang w:val="zh-CN"/>
        </w:rPr>
        <w:t>R-1233ze</w:t>
      </w:r>
      <w:r w:rsidRPr="009B423C">
        <w:rPr>
          <w:rFonts w:eastAsia="SimSun"/>
          <w:sz w:val="24"/>
          <w:szCs w:val="24"/>
          <w:lang w:val="zh-CN"/>
        </w:rPr>
        <w:t>。四年期评估报告将有一整章专门讨论数据中心。最后，他指出，与数据中心的能源影响相比，制冷剂本身的影响往往微乎其微。</w:t>
      </w:r>
    </w:p>
    <w:p w14:paraId="73678036" w14:textId="65107B69"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Woodcock</w:t>
      </w:r>
      <w:r w:rsidRPr="009B423C">
        <w:rPr>
          <w:rFonts w:eastAsia="SimSun"/>
          <w:sz w:val="24"/>
          <w:szCs w:val="24"/>
          <w:lang w:val="zh-CN"/>
        </w:rPr>
        <w:t>先生在回答关于全氟和多氟烷基物质的问题时强调，评估小组提供的建议始终保持政策中立，且评估小组无意干涉任何缔约方的政治或监管进程。然而，事实上，监管决定和监管决策的延迟可能会对可用替代物质和技术的范围产生影响。他还澄清说，与技术和经济评估小组保持密切联系的科学评估小组和环境影响评估小组将就制冷剂气体分解为三氟乙酸所涉及的过程及其对环境的影响提交报告。</w:t>
      </w:r>
    </w:p>
    <w:p w14:paraId="64AE8BAE" w14:textId="7B6E0E0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Walter-Terrinoni</w:t>
      </w:r>
      <w:r w:rsidRPr="009B423C">
        <w:rPr>
          <w:rFonts w:eastAsia="SimSun"/>
          <w:sz w:val="24"/>
          <w:szCs w:val="24"/>
          <w:lang w:val="zh-CN"/>
        </w:rPr>
        <w:t>女士补充说，评估小组知悉仅有美国两个州采纳了两种宽泛的全氟和多氟烷基物质定义，这可能会影响《蒙特利尔议定书》所列受控物质及其替代品。</w:t>
      </w:r>
      <w:r w:rsidRPr="009B423C">
        <w:rPr>
          <w:rFonts w:eastAsia="SimSun"/>
          <w:sz w:val="24"/>
          <w:szCs w:val="24"/>
          <w:lang w:val="zh-CN"/>
        </w:rPr>
        <w:t>Rajendran</w:t>
      </w:r>
      <w:r w:rsidRPr="009B423C">
        <w:rPr>
          <w:rFonts w:eastAsia="SimSun"/>
          <w:sz w:val="24"/>
          <w:szCs w:val="24"/>
          <w:lang w:val="zh-CN"/>
        </w:rPr>
        <w:t>先生进一步澄清说，对全氟和多氟烷基物质的管制不仅会影响制冷剂的供应，还会影响制冷、空调和热泵设备中垫片、密封件和轴承所用的含氟聚合物的供应。</w:t>
      </w:r>
    </w:p>
    <w:p w14:paraId="173179FD" w14:textId="057301EF" w:rsidR="002053E4" w:rsidRPr="009B423C" w:rsidRDefault="002053E4">
      <w:pPr>
        <w:pStyle w:val="Normalnumber"/>
        <w:numPr>
          <w:ilvl w:val="0"/>
          <w:numId w:val="18"/>
        </w:numPr>
        <w:tabs>
          <w:tab w:val="clear" w:pos="1247"/>
          <w:tab w:val="clear" w:pos="1814"/>
          <w:tab w:val="clear" w:pos="2381"/>
          <w:tab w:val="clear" w:pos="2948"/>
          <w:tab w:val="clear" w:pos="3515"/>
        </w:tabs>
        <w:spacing w:line="240" w:lineRule="auto"/>
        <w:ind w:left="1276" w:firstLine="0"/>
        <w:rPr>
          <w:rFonts w:eastAsia="SimSun"/>
          <w:sz w:val="24"/>
          <w:szCs w:val="24"/>
        </w:rPr>
      </w:pPr>
      <w:r w:rsidRPr="00182607">
        <w:rPr>
          <w:rFonts w:eastAsia="SimSun"/>
          <w:sz w:val="24"/>
          <w:szCs w:val="24"/>
          <w:lang w:val="zh-CN"/>
        </w:rPr>
        <w:t>Chattaway</w:t>
      </w:r>
      <w:r w:rsidRPr="00182607">
        <w:rPr>
          <w:rFonts w:eastAsia="SimSun"/>
          <w:sz w:val="24"/>
          <w:szCs w:val="24"/>
          <w:lang w:val="zh-CN"/>
        </w:rPr>
        <w:t>先生表示</w:t>
      </w:r>
      <w:r w:rsidRPr="009B423C">
        <w:rPr>
          <w:rFonts w:eastAsia="SimSun"/>
          <w:sz w:val="24"/>
          <w:szCs w:val="24"/>
          <w:lang w:val="zh-CN"/>
        </w:rPr>
        <w:t>，关于管制措施造成的延迟，主要问题不在于氢氟碳化物，而在于哈龙</w:t>
      </w:r>
      <w:r w:rsidRPr="009B423C">
        <w:rPr>
          <w:rFonts w:eastAsia="SimSun"/>
          <w:sz w:val="24"/>
          <w:szCs w:val="24"/>
          <w:lang w:val="zh-CN"/>
        </w:rPr>
        <w:t>1301</w:t>
      </w:r>
      <w:r w:rsidRPr="009B423C">
        <w:rPr>
          <w:rFonts w:eastAsia="SimSun"/>
          <w:sz w:val="24"/>
          <w:szCs w:val="24"/>
          <w:lang w:val="zh-CN"/>
        </w:rPr>
        <w:t>。目前在灭火领域，哈龙</w:t>
      </w:r>
      <w:r w:rsidRPr="009B423C">
        <w:rPr>
          <w:rFonts w:eastAsia="SimSun"/>
          <w:sz w:val="24"/>
          <w:szCs w:val="24"/>
          <w:lang w:val="zh-CN"/>
        </w:rPr>
        <w:t>1301</w:t>
      </w:r>
      <w:r w:rsidRPr="009B423C">
        <w:rPr>
          <w:rFonts w:eastAsia="SimSun"/>
          <w:sz w:val="24"/>
          <w:szCs w:val="24"/>
          <w:lang w:val="zh-CN"/>
        </w:rPr>
        <w:t>只有一种真正可行的替代品，即</w:t>
      </w:r>
      <w:r w:rsidRPr="009B423C">
        <w:rPr>
          <w:rFonts w:eastAsia="SimSun"/>
          <w:sz w:val="24"/>
          <w:szCs w:val="24"/>
          <w:lang w:val="zh-CN"/>
        </w:rPr>
        <w:t>2BTP/CO₂</w:t>
      </w:r>
      <w:r w:rsidRPr="009B423C">
        <w:rPr>
          <w:rFonts w:eastAsia="SimSun"/>
          <w:sz w:val="24"/>
          <w:szCs w:val="24"/>
          <w:lang w:val="zh-CN"/>
        </w:rPr>
        <w:t>混合物；然而，由于尚不确定即将出台的法规是否会限制该替代品的使用，航空业仍不愿投入大量必要资源来全面开发这一替代品。</w:t>
      </w:r>
      <w:bookmarkStart w:id="17" w:name="_Hlk235013422"/>
      <w:bookmarkEnd w:id="17"/>
    </w:p>
    <w:p w14:paraId="6021A857" w14:textId="19A48E6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Pizano</w:t>
      </w:r>
      <w:r w:rsidRPr="009B423C">
        <w:rPr>
          <w:rFonts w:eastAsia="SimSun"/>
          <w:sz w:val="24"/>
          <w:szCs w:val="24"/>
          <w:lang w:val="zh-CN"/>
        </w:rPr>
        <w:t>女士在回答关于评估小组组织安排的问题时证实，评估小组已审议其技术选择委员会的重组备选方案，而非维持现有架构，其提出的建议反映了相关讨论情况；</w:t>
      </w:r>
      <w:r w:rsidRPr="009B423C">
        <w:rPr>
          <w:rFonts w:eastAsia="SimSun"/>
          <w:sz w:val="24"/>
          <w:szCs w:val="24"/>
          <w:lang w:val="zh-CN"/>
        </w:rPr>
        <w:t>Maranion</w:t>
      </w:r>
      <w:r w:rsidRPr="009B423C">
        <w:rPr>
          <w:rFonts w:eastAsia="SimSun"/>
          <w:sz w:val="24"/>
          <w:szCs w:val="24"/>
          <w:lang w:val="zh-CN"/>
        </w:rPr>
        <w:t>女士补充说，该事项仍在审查之中。评估小组还考虑了所有委员会集中举行现场会议的可能性，但由于各委员会有时将会议与实地访问结合进行，因此这一安排较为复杂。在回答关于来自非第</w:t>
      </w:r>
      <w:r w:rsidRPr="009B423C">
        <w:rPr>
          <w:rFonts w:eastAsia="SimSun"/>
          <w:sz w:val="24"/>
          <w:szCs w:val="24"/>
          <w:lang w:val="zh-CN"/>
        </w:rPr>
        <w:t>5</w:t>
      </w:r>
      <w:r w:rsidRPr="009B423C">
        <w:rPr>
          <w:rFonts w:eastAsia="SimSun"/>
          <w:sz w:val="24"/>
          <w:szCs w:val="24"/>
          <w:lang w:val="zh-CN"/>
        </w:rPr>
        <w:t>条缔约方的评估小组成员差旅费的问题时，</w:t>
      </w:r>
      <w:r w:rsidRPr="009B423C">
        <w:rPr>
          <w:rFonts w:eastAsia="SimSun"/>
          <w:sz w:val="24"/>
          <w:szCs w:val="24"/>
          <w:lang w:val="zh-CN"/>
        </w:rPr>
        <w:t>Pizano</w:t>
      </w:r>
      <w:r w:rsidRPr="009B423C">
        <w:rPr>
          <w:rFonts w:eastAsia="SimSun"/>
          <w:sz w:val="24"/>
          <w:szCs w:val="24"/>
          <w:lang w:val="zh-CN"/>
        </w:rPr>
        <w:t>女士澄清说，尚未作出总体估计；有时，此类成员能够从其他来源获得资金。</w:t>
      </w:r>
    </w:p>
    <w:p w14:paraId="0643EBC0" w14:textId="1A87B8C5"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关于使用专家和附属机构的问题，</w:t>
      </w:r>
      <w:r w:rsidRPr="009B423C">
        <w:rPr>
          <w:rFonts w:eastAsia="SimSun"/>
          <w:sz w:val="24"/>
          <w:szCs w:val="24"/>
          <w:lang w:val="zh-CN"/>
        </w:rPr>
        <w:t>Maranion</w:t>
      </w:r>
      <w:r w:rsidRPr="009B423C">
        <w:rPr>
          <w:rFonts w:eastAsia="SimSun"/>
          <w:sz w:val="24"/>
          <w:szCs w:val="24"/>
          <w:lang w:val="zh-CN"/>
        </w:rPr>
        <w:t>女士评论说，鉴于每三年组建一个新的充资问题工作队所面临的困难，评估小组正在考虑是否有可能设立一个常设充资问题工作队。她还证实，评估小组年度现场会议仅由各技术选择委员会的共同主席和高级专家参加，而非由所有委员会的全体成员参加。她</w:t>
      </w:r>
      <w:r w:rsidR="00315752" w:rsidRPr="009B423C">
        <w:rPr>
          <w:rFonts w:eastAsia="SimSun" w:hint="eastAsia"/>
          <w:sz w:val="24"/>
          <w:szCs w:val="24"/>
          <w:lang w:val="zh-CN"/>
        </w:rPr>
        <w:t>也认为</w:t>
      </w:r>
      <w:r w:rsidRPr="009B423C">
        <w:rPr>
          <w:rFonts w:eastAsia="SimSun"/>
          <w:sz w:val="24"/>
          <w:szCs w:val="24"/>
          <w:lang w:val="zh-CN"/>
        </w:rPr>
        <w:t>，</w:t>
      </w:r>
      <w:r w:rsidR="008B2AD2" w:rsidRPr="009B423C">
        <w:rPr>
          <w:rFonts w:eastAsia="SimSun"/>
          <w:sz w:val="24"/>
          <w:szCs w:val="24"/>
          <w:lang w:val="zh-CN"/>
        </w:rPr>
        <w:t>评估小组</w:t>
      </w:r>
      <w:r w:rsidRPr="009B423C">
        <w:rPr>
          <w:rFonts w:eastAsia="SimSun"/>
          <w:sz w:val="24"/>
          <w:szCs w:val="24"/>
          <w:lang w:val="zh-CN"/>
        </w:rPr>
        <w:t>与各缔约方一样，在实现成员构成在年龄、地域背景和性别方面的适当平衡方面面临挑战；评估小组依靠各缔约方的提名来帮助解决这些问题。</w:t>
      </w:r>
      <w:r w:rsidRPr="009B423C">
        <w:rPr>
          <w:rFonts w:eastAsia="SimSun"/>
          <w:sz w:val="24"/>
          <w:szCs w:val="24"/>
          <w:lang w:val="zh-CN"/>
        </w:rPr>
        <w:t>Woodcock</w:t>
      </w:r>
      <w:r w:rsidRPr="009B423C">
        <w:rPr>
          <w:rFonts w:eastAsia="SimSun"/>
          <w:sz w:val="24"/>
          <w:szCs w:val="24"/>
          <w:lang w:val="zh-CN"/>
        </w:rPr>
        <w:t>先生补充说，评估小组将持续</w:t>
      </w:r>
      <w:r w:rsidRPr="009B423C">
        <w:rPr>
          <w:rFonts w:eastAsia="SimSun"/>
          <w:sz w:val="24"/>
          <w:szCs w:val="24"/>
          <w:lang w:val="zh-CN"/>
        </w:rPr>
        <w:lastRenderedPageBreak/>
        <w:t>审查各种备选方案，例如更多地使用个人专家，或在可供报告的技术进展较少时减少会议召开频率；评估小组希望能继续胜任使命，满足各缔约方的需求。</w:t>
      </w:r>
      <w:bookmarkStart w:id="18" w:name="_Hlk234997282"/>
      <w:bookmarkStart w:id="19" w:name="_Hlk234997475"/>
      <w:bookmarkEnd w:id="18"/>
      <w:bookmarkEnd w:id="19"/>
    </w:p>
    <w:p w14:paraId="76B7C591"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bookmarkStart w:id="20" w:name="_Hlk234996730"/>
      <w:r w:rsidRPr="009B423C">
        <w:rPr>
          <w:rFonts w:eastAsia="SimSun"/>
          <w:sz w:val="24"/>
          <w:szCs w:val="24"/>
          <w:lang w:val="zh-CN"/>
        </w:rPr>
        <w:t>在回答关于医疗和化学品技术选择委员会组织安排的问题时，</w:t>
      </w:r>
      <w:r w:rsidRPr="009B423C">
        <w:rPr>
          <w:rFonts w:eastAsia="SimSun"/>
          <w:sz w:val="24"/>
          <w:szCs w:val="24"/>
          <w:lang w:val="zh-CN"/>
        </w:rPr>
        <w:t>Tope</w:t>
      </w:r>
      <w:r w:rsidRPr="009B423C">
        <w:rPr>
          <w:rFonts w:eastAsia="SimSun"/>
          <w:sz w:val="24"/>
          <w:szCs w:val="24"/>
          <w:lang w:val="zh-CN"/>
        </w:rPr>
        <w:t>女士证实，该委员会的两个分组定期讨论跨领域问题，包括在讨论委员会的工作计划时以及在就其报告达成协商一致时。这些讨论非常重要，将两个小组委员会分离开来会不利于开展这些讨论。两个小组委员会的规模大致相当，不过化学品小组委员会的人数略多于医疗小组委员会。鉴于该委员会总人数约为</w:t>
      </w:r>
      <w:r w:rsidRPr="009B423C">
        <w:rPr>
          <w:rFonts w:eastAsia="SimSun"/>
          <w:sz w:val="24"/>
          <w:szCs w:val="24"/>
          <w:lang w:val="zh-CN"/>
        </w:rPr>
        <w:t>40</w:t>
      </w:r>
      <w:r w:rsidRPr="009B423C">
        <w:rPr>
          <w:rFonts w:eastAsia="SimSun"/>
          <w:sz w:val="24"/>
          <w:szCs w:val="24"/>
          <w:lang w:val="zh-CN"/>
        </w:rPr>
        <w:t>人，她表示希望缔约方考虑采用与制冷、空调和热泵技术选择委员会相同的模式，任命四名共同主席。</w:t>
      </w:r>
      <w:bookmarkStart w:id="21" w:name="_Hlk234996483"/>
      <w:bookmarkStart w:id="22" w:name="_Hlk234997987"/>
      <w:bookmarkEnd w:id="20"/>
      <w:bookmarkEnd w:id="21"/>
      <w:bookmarkEnd w:id="22"/>
    </w:p>
    <w:p w14:paraId="03233AF3" w14:textId="4D75F6AF"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Rajendran</w:t>
      </w:r>
      <w:r w:rsidRPr="009B423C">
        <w:rPr>
          <w:rFonts w:eastAsia="SimSun"/>
          <w:sz w:val="24"/>
          <w:szCs w:val="24"/>
          <w:lang w:val="zh-CN"/>
        </w:rPr>
        <w:t>先生补充说，制冷、空调和热泵技术选择委员会也有两个小组委员会，每个小组委员会约有</w:t>
      </w:r>
      <w:r w:rsidRPr="009B423C">
        <w:rPr>
          <w:rFonts w:eastAsia="SimSun"/>
          <w:sz w:val="24"/>
          <w:szCs w:val="24"/>
          <w:lang w:val="zh-CN"/>
        </w:rPr>
        <w:t>20</w:t>
      </w:r>
      <w:r w:rsidRPr="009B423C">
        <w:rPr>
          <w:rFonts w:eastAsia="SimSun"/>
          <w:sz w:val="24"/>
          <w:szCs w:val="24"/>
          <w:lang w:val="zh-CN"/>
        </w:rPr>
        <w:t>名成员。其大部分工作涉及跨领域问题，例如制冷剂生命周期管理或能效，这些问题的专门知识存在相当大的重叠。他认为新架构运作得非常好，缔约方将在年底评估报告编制完成时看到这一点。他还澄清说，冷链和其他小组委员会名称中的</w:t>
      </w:r>
      <w:r w:rsidRPr="009B423C">
        <w:rPr>
          <w:rFonts w:ascii="SimSun" w:eastAsia="SimSun" w:hAnsi="SimSun"/>
          <w:sz w:val="24"/>
          <w:szCs w:val="24"/>
          <w:lang w:val="zh-CN"/>
        </w:rPr>
        <w:t>“其他”</w:t>
      </w:r>
      <w:r w:rsidRPr="009B423C">
        <w:rPr>
          <w:rFonts w:eastAsia="SimSun"/>
          <w:sz w:val="24"/>
          <w:szCs w:val="24"/>
          <w:lang w:val="zh-CN"/>
        </w:rPr>
        <w:t>类别指的是非同类技术和数据中心制冷技术。</w:t>
      </w:r>
    </w:p>
    <w:p w14:paraId="3224ADD1" w14:textId="60EB48BF" w:rsidR="001F1F39" w:rsidRPr="009B423C" w:rsidRDefault="000704E6">
      <w:pPr>
        <w:pStyle w:val="CH2"/>
        <w:numPr>
          <w:ilvl w:val="1"/>
          <w:numId w:val="32"/>
        </w:numPr>
        <w:tabs>
          <w:tab w:val="clear" w:pos="851"/>
          <w:tab w:val="clear" w:pos="1247"/>
          <w:tab w:val="clear" w:pos="1871"/>
          <w:tab w:val="clear" w:pos="2495"/>
          <w:tab w:val="clear" w:pos="3119"/>
          <w:tab w:val="clear" w:pos="3742"/>
          <w:tab w:val="clear" w:pos="4366"/>
          <w:tab w:val="clear" w:pos="4990"/>
        </w:tabs>
        <w:ind w:left="1276" w:right="-46" w:hanging="709"/>
        <w:rPr>
          <w:rFonts w:eastAsia="SimHei"/>
          <w:sz w:val="28"/>
          <w:szCs w:val="28"/>
          <w:lang w:eastAsia="zh-CN"/>
        </w:rPr>
      </w:pPr>
      <w:r w:rsidRPr="009B423C">
        <w:rPr>
          <w:rFonts w:eastAsia="SimHei"/>
          <w:sz w:val="28"/>
          <w:szCs w:val="28"/>
          <w:lang w:val="zh-CN" w:eastAsia="zh-CN"/>
        </w:rPr>
        <w:t>哈龙</w:t>
      </w:r>
      <w:r w:rsidRPr="009B423C">
        <w:rPr>
          <w:rFonts w:eastAsia="SimHei"/>
          <w:sz w:val="28"/>
          <w:szCs w:val="28"/>
          <w:lang w:val="zh-CN" w:eastAsia="zh-CN"/>
        </w:rPr>
        <w:t>1301</w:t>
      </w:r>
      <w:r w:rsidRPr="009B423C">
        <w:rPr>
          <w:rFonts w:eastAsia="SimHei"/>
          <w:sz w:val="28"/>
          <w:szCs w:val="28"/>
          <w:lang w:val="zh-CN" w:eastAsia="zh-CN"/>
        </w:rPr>
        <w:t>及其在航空业的持续使用；</w:t>
      </w:r>
      <w:r w:rsidRPr="009B423C">
        <w:rPr>
          <w:rFonts w:eastAsia="SimHei"/>
          <w:bCs/>
          <w:sz w:val="28"/>
          <w:szCs w:val="28"/>
          <w:lang w:val="zh-CN" w:eastAsia="zh-CN"/>
        </w:rPr>
        <w:t>管理用于灭火的其他受控物质（第</w:t>
      </w:r>
      <w:r w:rsidRPr="009B423C">
        <w:rPr>
          <w:rFonts w:eastAsia="SimHei"/>
          <w:bCs/>
          <w:sz w:val="28"/>
          <w:szCs w:val="28"/>
          <w:lang w:val="zh-CN" w:eastAsia="zh-CN"/>
        </w:rPr>
        <w:t>XXXVII/4</w:t>
      </w:r>
      <w:r w:rsidRPr="009B423C">
        <w:rPr>
          <w:rFonts w:eastAsia="SimHei"/>
          <w:bCs/>
          <w:sz w:val="28"/>
          <w:szCs w:val="28"/>
          <w:lang w:val="zh-CN" w:eastAsia="zh-CN"/>
        </w:rPr>
        <w:t>号决定）</w:t>
      </w:r>
    </w:p>
    <w:p w14:paraId="305155F2" w14:textId="2DBC70F5"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共同主席在介绍该分项目时回顾说，缔约方第三十七次会议第</w:t>
      </w:r>
      <w:r w:rsidRPr="009B423C">
        <w:rPr>
          <w:rFonts w:eastAsia="SimSun"/>
          <w:sz w:val="24"/>
          <w:szCs w:val="24"/>
          <w:lang w:val="zh-CN"/>
        </w:rPr>
        <w:t>XXXVII/4</w:t>
      </w:r>
      <w:r w:rsidRPr="009B423C">
        <w:rPr>
          <w:rFonts w:eastAsia="SimSun"/>
          <w:sz w:val="24"/>
          <w:szCs w:val="24"/>
          <w:lang w:val="zh-CN"/>
        </w:rPr>
        <w:t>号决定除了要求技术和经济评估小组提交一份关于哈龙供应情况和哈龙库存全球分布情况的报告外，还要求缔约方在自愿基础上向秘书处提交关于开发合适的灭火替代品的现有信息。她感谢已提交材料的</w:t>
      </w:r>
      <w:r w:rsidRPr="009B423C">
        <w:rPr>
          <w:rFonts w:eastAsia="SimSun"/>
          <w:sz w:val="24"/>
          <w:szCs w:val="24"/>
          <w:lang w:val="zh-CN"/>
        </w:rPr>
        <w:t>35</w:t>
      </w:r>
      <w:r w:rsidRPr="009B423C">
        <w:rPr>
          <w:rFonts w:eastAsia="SimSun"/>
          <w:sz w:val="24"/>
          <w:szCs w:val="24"/>
          <w:lang w:val="zh-CN"/>
        </w:rPr>
        <w:t>个缔约方；评估小组将在其</w:t>
      </w:r>
      <w:r w:rsidRPr="009B423C">
        <w:rPr>
          <w:rFonts w:eastAsia="SimSun"/>
          <w:sz w:val="24"/>
          <w:szCs w:val="24"/>
          <w:lang w:val="zh-CN"/>
        </w:rPr>
        <w:t>2027</w:t>
      </w:r>
      <w:r w:rsidRPr="009B423C">
        <w:rPr>
          <w:rFonts w:eastAsia="SimSun"/>
          <w:sz w:val="24"/>
          <w:szCs w:val="24"/>
          <w:lang w:val="zh-CN"/>
        </w:rPr>
        <w:t>年进度报告中考虑这些材料以及缔约方提交的任何进一步材料。</w:t>
      </w:r>
      <w:bookmarkStart w:id="23" w:name="_Hlk235016827"/>
      <w:bookmarkEnd w:id="23"/>
    </w:p>
    <w:p w14:paraId="3B5B0067" w14:textId="66683290"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她还指出，秘书处与巴塞尔、鹿特丹和斯德哥尔摩公约秘书处以及多边基金秘书处协作编写了一份关于越境转移受控物质及含有此类物质的设备的实用指南。该指南的草案版已发布在会议门户网站上，供各缔约方审查和使用。</w:t>
      </w:r>
    </w:p>
    <w:p w14:paraId="2D2B40F1" w14:textId="358B1622"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所有发言的代表均感谢技术和经济评估小组及其灭火技术选择委员会的辛勤工作。几位代表（包括一位代表某组缔约方发言的代表）也欢迎秘书处与国际民航组织秘书处协作评估全球哈龙的供应情况。一些代表评论指出，其缔约方正在努力评估其本国哈龙的剩余用途、合适替代品的可得性以及与第</w:t>
      </w:r>
      <w:r w:rsidRPr="009B423C">
        <w:rPr>
          <w:rFonts w:eastAsia="SimSun"/>
          <w:sz w:val="24"/>
          <w:szCs w:val="24"/>
          <w:lang w:val="zh-CN"/>
        </w:rPr>
        <w:t>XXXVII/4</w:t>
      </w:r>
      <w:r w:rsidRPr="009B423C">
        <w:rPr>
          <w:rFonts w:eastAsia="SimSun"/>
          <w:sz w:val="24"/>
          <w:szCs w:val="24"/>
          <w:lang w:val="zh-CN"/>
        </w:rPr>
        <w:t>号决定目标相一致的未来供应安排。</w:t>
      </w:r>
    </w:p>
    <w:p w14:paraId="6F672900"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几位代表对哈龙</w:t>
      </w:r>
      <w:r w:rsidRPr="009B423C">
        <w:rPr>
          <w:rFonts w:eastAsia="SimSun"/>
          <w:sz w:val="24"/>
          <w:szCs w:val="24"/>
          <w:lang w:val="zh-CN"/>
        </w:rPr>
        <w:t>1301</w:t>
      </w:r>
      <w:r w:rsidRPr="009B423C">
        <w:rPr>
          <w:rFonts w:eastAsia="SimSun"/>
          <w:sz w:val="24"/>
          <w:szCs w:val="24"/>
          <w:lang w:val="zh-CN"/>
        </w:rPr>
        <w:t>即将于</w:t>
      </w:r>
      <w:r w:rsidRPr="009B423C">
        <w:rPr>
          <w:rFonts w:eastAsia="SimSun"/>
          <w:sz w:val="24"/>
          <w:szCs w:val="24"/>
          <w:lang w:val="zh-CN"/>
        </w:rPr>
        <w:t>2035</w:t>
      </w:r>
      <w:r w:rsidRPr="009B423C">
        <w:rPr>
          <w:rFonts w:eastAsia="SimSun"/>
          <w:sz w:val="24"/>
          <w:szCs w:val="24"/>
          <w:lang w:val="zh-CN"/>
        </w:rPr>
        <w:t>年前后（前后浮动四年）耗尽表示关切，并指出，若无法开发出替代品，这将给哈龙的逐步淘汰以及氢氟碳化物的逐步削减进程带来风险。一位代表提请注意国际民航组织</w:t>
      </w:r>
      <w:r w:rsidRPr="009B423C">
        <w:rPr>
          <w:rFonts w:eastAsia="SimSun"/>
          <w:sz w:val="24"/>
          <w:szCs w:val="24"/>
          <w:lang w:val="zh-CN"/>
        </w:rPr>
        <w:t>A42-11</w:t>
      </w:r>
      <w:r w:rsidRPr="009B423C">
        <w:rPr>
          <w:rFonts w:eastAsia="SimSun"/>
          <w:sz w:val="24"/>
          <w:szCs w:val="24"/>
          <w:lang w:val="zh-CN"/>
        </w:rPr>
        <w:t>号决议，该决议指示理事会制定一项提案，为新航空器设计中货舱和灭火系统所用的哈龙替代品设定经过修订的可持续有效截止日期；实际上，这可能意味着全球民航业致力于至少在未来</w:t>
      </w:r>
      <w:r w:rsidRPr="009B423C">
        <w:rPr>
          <w:rFonts w:eastAsia="SimSun"/>
          <w:sz w:val="24"/>
          <w:szCs w:val="24"/>
          <w:lang w:val="zh-CN"/>
        </w:rPr>
        <w:t>50</w:t>
      </w:r>
      <w:r w:rsidRPr="009B423C">
        <w:rPr>
          <w:rFonts w:eastAsia="SimSun"/>
          <w:sz w:val="24"/>
          <w:szCs w:val="24"/>
          <w:lang w:val="zh-CN"/>
        </w:rPr>
        <w:t>年内继续使用哈龙。他们认识到，替代品开发工作仍在进行之中，并表示希望相关工作能够继续推进，以便将现有哈龙库存保留用于那些尚无替代品可用的用途。</w:t>
      </w:r>
    </w:p>
    <w:p w14:paraId="639CE1D4" w14:textId="1C1FC6BE"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bookmarkStart w:id="24" w:name="_Hlk235015351"/>
      <w:r w:rsidRPr="009B423C">
        <w:rPr>
          <w:rFonts w:eastAsia="SimSun"/>
          <w:sz w:val="24"/>
          <w:szCs w:val="24"/>
          <w:lang w:val="zh-CN"/>
        </w:rPr>
        <w:lastRenderedPageBreak/>
        <w:t>一位代表某组缔约方发言的代表报告说，哈龙</w:t>
      </w:r>
      <w:r w:rsidRPr="009B423C">
        <w:rPr>
          <w:rFonts w:eastAsia="SimSun"/>
          <w:sz w:val="24"/>
          <w:szCs w:val="24"/>
          <w:lang w:val="zh-CN"/>
        </w:rPr>
        <w:t>1301</w:t>
      </w:r>
      <w:r w:rsidRPr="009B423C">
        <w:rPr>
          <w:rFonts w:eastAsia="SimSun"/>
          <w:sz w:val="24"/>
          <w:szCs w:val="24"/>
          <w:lang w:val="zh-CN"/>
        </w:rPr>
        <w:t>的一种替代品（一种</w:t>
      </w:r>
      <w:r w:rsidRPr="009B423C">
        <w:rPr>
          <w:rFonts w:eastAsia="SimSun"/>
          <w:sz w:val="24"/>
          <w:szCs w:val="24"/>
          <w:lang w:val="zh-CN"/>
        </w:rPr>
        <w:t>2BTP/CO</w:t>
      </w:r>
      <w:r w:rsidRPr="009B423C">
        <w:rPr>
          <w:rFonts w:eastAsia="SimSun"/>
          <w:sz w:val="24"/>
          <w:szCs w:val="24"/>
          <w:vertAlign w:val="subscript"/>
          <w:lang w:val="zh-CN"/>
        </w:rPr>
        <w:t>2</w:t>
      </w:r>
      <w:r w:rsidRPr="009B423C">
        <w:rPr>
          <w:rFonts w:eastAsia="SimSun"/>
          <w:sz w:val="24"/>
          <w:szCs w:val="24"/>
          <w:lang w:val="zh-CN"/>
        </w:rPr>
        <w:t>混合物）已可用于多种关键应用，包括用于手持式灭火器、发动机短舱和货舱；该替代品已获</w:t>
      </w:r>
      <w:r w:rsidR="004C0752" w:rsidRPr="009B423C">
        <w:rPr>
          <w:rFonts w:eastAsia="SimSun" w:hint="eastAsia"/>
          <w:sz w:val="24"/>
          <w:szCs w:val="24"/>
          <w:lang w:val="zh-CN"/>
        </w:rPr>
        <w:t>她</w:t>
      </w:r>
      <w:r w:rsidR="005C49B0">
        <w:rPr>
          <w:rFonts w:eastAsia="SimSun" w:hint="eastAsia"/>
          <w:sz w:val="24"/>
          <w:szCs w:val="24"/>
          <w:lang w:val="zh-CN"/>
        </w:rPr>
        <w:t>的</w:t>
      </w:r>
      <w:r w:rsidR="006C227C">
        <w:rPr>
          <w:rFonts w:eastAsia="SimSun" w:hint="eastAsia"/>
          <w:sz w:val="24"/>
          <w:szCs w:val="24"/>
          <w:lang w:val="zh-CN"/>
        </w:rPr>
        <w:t>本国</w:t>
      </w:r>
      <w:r w:rsidRPr="009B423C">
        <w:rPr>
          <w:rFonts w:eastAsia="SimSun"/>
          <w:sz w:val="24"/>
          <w:szCs w:val="24"/>
          <w:lang w:val="zh-CN"/>
        </w:rPr>
        <w:t>核准使用。</w:t>
      </w:r>
      <w:r w:rsidR="006471C2" w:rsidRPr="009B423C">
        <w:rPr>
          <w:rFonts w:eastAsia="SimSun" w:hint="eastAsia"/>
          <w:sz w:val="24"/>
          <w:szCs w:val="24"/>
          <w:lang w:val="zh-CN"/>
        </w:rPr>
        <w:t>该</w:t>
      </w:r>
      <w:r w:rsidRPr="009B423C">
        <w:rPr>
          <w:rFonts w:eastAsia="SimSun"/>
          <w:sz w:val="24"/>
          <w:szCs w:val="24"/>
          <w:lang w:val="zh-CN"/>
        </w:rPr>
        <w:t>缔约方还禁止自</w:t>
      </w:r>
      <w:r w:rsidRPr="009B423C">
        <w:rPr>
          <w:rFonts w:eastAsia="SimSun"/>
          <w:sz w:val="24"/>
          <w:szCs w:val="24"/>
          <w:lang w:val="zh-CN"/>
        </w:rPr>
        <w:t>2024</w:t>
      </w:r>
      <w:r w:rsidRPr="009B423C">
        <w:rPr>
          <w:rFonts w:eastAsia="SimSun"/>
          <w:sz w:val="24"/>
          <w:szCs w:val="24"/>
          <w:lang w:val="zh-CN"/>
        </w:rPr>
        <w:t>年底起在航空器货舱中安装新的哈龙系统，并要求所有现有系统至迟于</w:t>
      </w:r>
      <w:r w:rsidRPr="009B423C">
        <w:rPr>
          <w:rFonts w:eastAsia="SimSun"/>
          <w:sz w:val="24"/>
          <w:szCs w:val="24"/>
          <w:lang w:val="zh-CN"/>
        </w:rPr>
        <w:t>2040</w:t>
      </w:r>
      <w:r w:rsidRPr="009B423C">
        <w:rPr>
          <w:rFonts w:eastAsia="SimSun"/>
          <w:sz w:val="24"/>
          <w:szCs w:val="24"/>
          <w:lang w:val="zh-CN"/>
        </w:rPr>
        <w:t>年底完成改装，这一要求也适用于一些其他应用，例如军用车辆中的相关用途。此外，</w:t>
      </w:r>
      <w:r w:rsidR="004F7A3F" w:rsidRPr="009B423C">
        <w:rPr>
          <w:rFonts w:eastAsia="SimSun" w:hint="eastAsia"/>
          <w:sz w:val="24"/>
          <w:szCs w:val="24"/>
          <w:lang w:val="zh-CN"/>
        </w:rPr>
        <w:t>该</w:t>
      </w:r>
      <w:r w:rsidRPr="009B423C">
        <w:rPr>
          <w:rFonts w:eastAsia="SimSun"/>
          <w:sz w:val="24"/>
          <w:szCs w:val="24"/>
          <w:lang w:val="zh-CN"/>
        </w:rPr>
        <w:t>缔约方已承诺在即将出台的全氟和多氟烷基物质法规中，对尚无合适的非全氟和多氟烷基物质替代品的关键部门设置豁免；航空部门将被纳入有关豁免的考虑范围。替代品的引入将增加哈龙</w:t>
      </w:r>
      <w:r w:rsidRPr="009B423C">
        <w:rPr>
          <w:rFonts w:eastAsia="SimSun"/>
          <w:sz w:val="24"/>
          <w:szCs w:val="24"/>
          <w:lang w:val="zh-CN"/>
        </w:rPr>
        <w:t>1301</w:t>
      </w:r>
      <w:r w:rsidRPr="009B423C">
        <w:rPr>
          <w:rFonts w:eastAsia="SimSun"/>
          <w:sz w:val="24"/>
          <w:szCs w:val="24"/>
          <w:lang w:val="zh-CN"/>
        </w:rPr>
        <w:t>在尚无替代品可用的用途以及老旧航空器上的供应量，因此技术和经济评估小组报告中讨论的供应终止日期将受到影响。她欢迎评估小组承诺重新审查其设想方案。</w:t>
      </w:r>
      <w:bookmarkStart w:id="25" w:name="_Hlk235016963"/>
      <w:bookmarkEnd w:id="24"/>
      <w:bookmarkEnd w:id="25"/>
    </w:p>
    <w:p w14:paraId="14907363" w14:textId="63147FCE"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一位代表报告说，其缔约方已核准使用</w:t>
      </w:r>
      <w:r w:rsidRPr="009B423C">
        <w:rPr>
          <w:rFonts w:eastAsia="SimSun"/>
          <w:sz w:val="24"/>
          <w:szCs w:val="24"/>
          <w:lang w:val="zh-CN"/>
        </w:rPr>
        <w:t>2BTP</w:t>
      </w:r>
      <w:r w:rsidRPr="009B423C">
        <w:rPr>
          <w:rFonts w:eastAsia="SimSun"/>
          <w:sz w:val="24"/>
          <w:szCs w:val="24"/>
          <w:lang w:val="zh-CN"/>
        </w:rPr>
        <w:t>，且</w:t>
      </w:r>
      <w:r w:rsidRPr="009B423C">
        <w:rPr>
          <w:rFonts w:eastAsia="SimSun"/>
          <w:sz w:val="24"/>
          <w:szCs w:val="24"/>
          <w:lang w:val="zh-CN"/>
        </w:rPr>
        <w:t>2BTP/CO</w:t>
      </w:r>
      <w:r w:rsidRPr="009B423C">
        <w:rPr>
          <w:rFonts w:eastAsia="SimSun"/>
          <w:sz w:val="24"/>
          <w:szCs w:val="24"/>
          <w:vertAlign w:val="subscript"/>
          <w:lang w:val="zh-CN"/>
        </w:rPr>
        <w:t>2</w:t>
      </w:r>
      <w:r w:rsidRPr="009B423C">
        <w:rPr>
          <w:rFonts w:eastAsia="SimSun"/>
          <w:sz w:val="24"/>
          <w:szCs w:val="24"/>
          <w:lang w:val="zh-CN"/>
        </w:rPr>
        <w:t>混合物的使用目前正在评估进程中。她呼吁提供关于各缔约方监管框架的明确信息，以便制造商能够作出相应规划。</w:t>
      </w:r>
    </w:p>
    <w:p w14:paraId="04A749A0" w14:textId="3293EB8F" w:rsidR="002053E4" w:rsidRPr="009B423C" w:rsidRDefault="00EC7433">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一位第</w:t>
      </w:r>
      <w:r w:rsidRPr="009B423C">
        <w:rPr>
          <w:rFonts w:eastAsia="SimSun"/>
          <w:sz w:val="24"/>
          <w:szCs w:val="24"/>
          <w:lang w:val="zh-CN"/>
        </w:rPr>
        <w:t>5</w:t>
      </w:r>
      <w:r w:rsidRPr="009B423C">
        <w:rPr>
          <w:rFonts w:eastAsia="SimSun"/>
          <w:sz w:val="24"/>
          <w:szCs w:val="24"/>
          <w:lang w:val="zh-CN"/>
        </w:rPr>
        <w:t>条缔约方的代表强调必须确保现有库存的管理不会损害现有机队的灭火能力。她呼吁，应主要由原始设备制造商和全球航空航天业来承担加快替代品开发、认证和部署的责任。她还强调，哈龙</w:t>
      </w:r>
      <w:r w:rsidRPr="009B423C">
        <w:rPr>
          <w:rFonts w:eastAsia="SimSun"/>
          <w:sz w:val="24"/>
          <w:szCs w:val="24"/>
          <w:lang w:val="zh-CN"/>
        </w:rPr>
        <w:t>1301</w:t>
      </w:r>
      <w:r w:rsidRPr="009B423C">
        <w:rPr>
          <w:rFonts w:eastAsia="SimSun"/>
          <w:sz w:val="24"/>
          <w:szCs w:val="24"/>
          <w:lang w:val="zh-CN"/>
        </w:rPr>
        <w:t>的替代品不仅需在技术上可行，还需在商业上可获得，并且对发展中国家的航空公司来说在经济上负担得起，此外在过渡过程中需辅之以能力建设和技术转让。</w:t>
      </w:r>
    </w:p>
    <w:p w14:paraId="20C03C7E" w14:textId="726F1D01"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评论指出，需要最大限度地回收和再利用哈龙，并避免销毁可再循环和再利用的哈龙。一位代表表示，有必要制定全球公认的准则来区分受污染的哈龙和可用的再生哈龙，这将有助于确保航空公司能够获得必要库存，而不会将第</w:t>
      </w:r>
      <w:r w:rsidRPr="009B423C">
        <w:rPr>
          <w:rFonts w:eastAsia="SimSun"/>
          <w:sz w:val="24"/>
          <w:szCs w:val="24"/>
          <w:lang w:val="zh-CN"/>
        </w:rPr>
        <w:t>5</w:t>
      </w:r>
      <w:r w:rsidRPr="009B423C">
        <w:rPr>
          <w:rFonts w:eastAsia="SimSun"/>
          <w:sz w:val="24"/>
          <w:szCs w:val="24"/>
          <w:lang w:val="zh-CN"/>
        </w:rPr>
        <w:t>条缔约方变成废物倾倒场。另一位代表指出，其缔约方禁止销毁哈龙，从而鼓励了哈龙的回收和再利用。</w:t>
      </w:r>
    </w:p>
    <w:p w14:paraId="09DD7E8D" w14:textId="722C9D4F"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一些代表就《议定书》必要用途豁免程序适用于哈龙</w:t>
      </w:r>
      <w:r w:rsidRPr="009B423C">
        <w:rPr>
          <w:rFonts w:eastAsia="SimSun"/>
          <w:sz w:val="24"/>
          <w:szCs w:val="24"/>
          <w:lang w:val="zh-CN"/>
        </w:rPr>
        <w:t>1301</w:t>
      </w:r>
      <w:r w:rsidRPr="009B423C">
        <w:rPr>
          <w:rFonts w:eastAsia="SimSun"/>
          <w:sz w:val="24"/>
          <w:szCs w:val="24"/>
          <w:lang w:val="zh-CN"/>
        </w:rPr>
        <w:t>的可能性发表了看法。他们表示，由于预计不会立即出现短缺，因此没有必要立即启动潜在修订工作。一位代表强调指出，由于个别缔约方无法预先知晓为满足其管辖范围内民航维修需求而每年需生产和消费多少哈龙</w:t>
      </w:r>
      <w:r w:rsidRPr="009B423C">
        <w:rPr>
          <w:rFonts w:eastAsia="SimSun"/>
          <w:sz w:val="24"/>
          <w:szCs w:val="24"/>
          <w:lang w:val="zh-CN"/>
        </w:rPr>
        <w:t>1301</w:t>
      </w:r>
      <w:r w:rsidRPr="009B423C">
        <w:rPr>
          <w:rFonts w:eastAsia="SimSun"/>
          <w:sz w:val="24"/>
          <w:szCs w:val="24"/>
          <w:lang w:val="zh-CN"/>
        </w:rPr>
        <w:t>，因此当前的必要用途豁免流程很可能不足以满足其对哈龙</w:t>
      </w:r>
      <w:r w:rsidRPr="009B423C">
        <w:rPr>
          <w:rFonts w:eastAsia="SimSun"/>
          <w:sz w:val="24"/>
          <w:szCs w:val="24"/>
          <w:lang w:val="zh-CN"/>
        </w:rPr>
        <w:t>1301</w:t>
      </w:r>
      <w:r w:rsidRPr="009B423C">
        <w:rPr>
          <w:rFonts w:eastAsia="SimSun"/>
          <w:sz w:val="24"/>
          <w:szCs w:val="24"/>
          <w:lang w:val="zh-CN"/>
        </w:rPr>
        <w:t>的需求。因此，有必要开始审议这一问题，以便为未来确有必要提出必要用途提名时做好准备。</w:t>
      </w:r>
    </w:p>
    <w:p w14:paraId="114C935C"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几位代表表示希望有机会与技术和经济评估小组进行更深入的技术讨论，并希望评估小组进一步澄清技其报告中提出的假设和所列数据。</w:t>
      </w:r>
    </w:p>
    <w:p w14:paraId="182BE9D0" w14:textId="33DCD8D0" w:rsidR="000704E6"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工作组结束了对该分项目的讨论。在总结该分项目时，共同主席建议相关缔约方利用会议间隙的时间与灭火技术选择委员会进行非正式讨论，并指出在四年期评估报告和</w:t>
      </w:r>
      <w:r w:rsidRPr="009B423C">
        <w:rPr>
          <w:rFonts w:eastAsia="SimSun"/>
          <w:sz w:val="24"/>
          <w:szCs w:val="24"/>
          <w:lang w:val="zh-CN"/>
        </w:rPr>
        <w:t>2027</w:t>
      </w:r>
      <w:r w:rsidRPr="009B423C">
        <w:rPr>
          <w:rFonts w:eastAsia="SimSun"/>
          <w:sz w:val="24"/>
          <w:szCs w:val="24"/>
          <w:lang w:val="zh-CN"/>
        </w:rPr>
        <w:t>年进度报告发布后，可于</w:t>
      </w:r>
      <w:r w:rsidRPr="009B423C">
        <w:rPr>
          <w:rFonts w:eastAsia="SimSun"/>
          <w:sz w:val="24"/>
          <w:szCs w:val="24"/>
          <w:lang w:val="zh-CN"/>
        </w:rPr>
        <w:t>2027</w:t>
      </w:r>
      <w:r w:rsidRPr="009B423C">
        <w:rPr>
          <w:rFonts w:eastAsia="SimSun"/>
          <w:sz w:val="24"/>
          <w:szCs w:val="24"/>
          <w:lang w:val="zh-CN"/>
        </w:rPr>
        <w:t>年再次讨论该问题。</w:t>
      </w:r>
    </w:p>
    <w:p w14:paraId="442CEE70" w14:textId="600E7684" w:rsidR="001F1F39" w:rsidRPr="009B423C" w:rsidRDefault="000704E6">
      <w:pPr>
        <w:pStyle w:val="CH2"/>
        <w:numPr>
          <w:ilvl w:val="1"/>
          <w:numId w:val="32"/>
        </w:numPr>
        <w:tabs>
          <w:tab w:val="clear" w:pos="851"/>
          <w:tab w:val="clear" w:pos="1247"/>
          <w:tab w:val="clear" w:pos="1871"/>
          <w:tab w:val="clear" w:pos="2495"/>
          <w:tab w:val="clear" w:pos="3119"/>
          <w:tab w:val="clear" w:pos="3742"/>
          <w:tab w:val="clear" w:pos="4366"/>
          <w:tab w:val="clear" w:pos="4990"/>
        </w:tabs>
        <w:ind w:left="1276" w:right="1938" w:hanging="709"/>
        <w:rPr>
          <w:rFonts w:eastAsia="SimHei"/>
          <w:sz w:val="28"/>
          <w:szCs w:val="28"/>
          <w:lang w:eastAsia="zh-CN"/>
        </w:rPr>
      </w:pPr>
      <w:r w:rsidRPr="009B423C">
        <w:rPr>
          <w:rFonts w:eastAsia="SimHei"/>
          <w:bCs/>
          <w:sz w:val="28"/>
          <w:szCs w:val="28"/>
          <w:lang w:val="zh-CN" w:eastAsia="zh-CN"/>
        </w:rPr>
        <w:lastRenderedPageBreak/>
        <w:t>使用低全球升温潜能值推进剂的计量吸入器（第</w:t>
      </w:r>
      <w:r w:rsidRPr="009B423C">
        <w:rPr>
          <w:rFonts w:eastAsia="SimHei"/>
          <w:bCs/>
          <w:sz w:val="28"/>
          <w:szCs w:val="28"/>
          <w:lang w:val="zh-CN" w:eastAsia="zh-CN"/>
        </w:rPr>
        <w:t>XXXVI/6</w:t>
      </w:r>
      <w:r w:rsidRPr="009B423C">
        <w:rPr>
          <w:rFonts w:eastAsia="SimHei"/>
          <w:bCs/>
          <w:sz w:val="28"/>
          <w:szCs w:val="28"/>
          <w:lang w:val="zh-CN" w:eastAsia="zh-CN"/>
        </w:rPr>
        <w:t>号决定）</w:t>
      </w:r>
    </w:p>
    <w:p w14:paraId="1E1FCE34" w14:textId="2210136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共同主席在介绍该分项目时回顾说，缔约方第三十六次会议在第</w:t>
      </w:r>
      <w:r w:rsidRPr="009B423C">
        <w:rPr>
          <w:rFonts w:eastAsia="SimSun"/>
          <w:sz w:val="24"/>
          <w:szCs w:val="24"/>
          <w:lang w:val="zh-CN"/>
        </w:rPr>
        <w:t>XXXVI/6</w:t>
      </w:r>
      <w:r w:rsidRPr="009B423C">
        <w:rPr>
          <w:rFonts w:eastAsia="SimSun"/>
          <w:sz w:val="24"/>
          <w:szCs w:val="24"/>
          <w:lang w:val="zh-CN"/>
        </w:rPr>
        <w:t>号决定中请技术和经济评估小组继续在其年度进度报告中提供关于低全球升温潜能值计量吸入器的最新信息。评估小组在本周早些时候的专题介绍中向缔约方介绍了该议题的最新情况。</w:t>
      </w:r>
      <w:bookmarkStart w:id="26" w:name="_Hlk235024866"/>
      <w:bookmarkEnd w:id="26"/>
    </w:p>
    <w:p w14:paraId="45365ABC"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一位代表某组缔约方发言的代表感谢技经评估组的报告，并指出该报告重点介绍了自去年报告以来发生的一些积极进展。在许多国家，干粉吸入器的使用变得愈加普遍，一些制造商（包括一些来自第</w:t>
      </w:r>
      <w:r w:rsidRPr="009B423C">
        <w:rPr>
          <w:rFonts w:eastAsia="SimSun"/>
          <w:sz w:val="24"/>
          <w:szCs w:val="24"/>
          <w:lang w:val="zh-CN"/>
        </w:rPr>
        <w:t>5</w:t>
      </w:r>
      <w:r w:rsidRPr="009B423C">
        <w:rPr>
          <w:rFonts w:eastAsia="SimSun"/>
          <w:sz w:val="24"/>
          <w:szCs w:val="24"/>
          <w:lang w:val="zh-CN"/>
        </w:rPr>
        <w:t>条缔约方的制造商）已经开发出了使用较低全球升温潜能值推进剂的新一代计量吸入器。其缔约方于</w:t>
      </w:r>
      <w:r w:rsidRPr="009B423C">
        <w:rPr>
          <w:rFonts w:eastAsia="SimSun"/>
          <w:sz w:val="24"/>
          <w:szCs w:val="24"/>
          <w:lang w:val="zh-CN"/>
        </w:rPr>
        <w:t>2025</w:t>
      </w:r>
      <w:r w:rsidRPr="009B423C">
        <w:rPr>
          <w:rFonts w:eastAsia="SimSun"/>
          <w:sz w:val="24"/>
          <w:szCs w:val="24"/>
          <w:lang w:val="zh-CN"/>
        </w:rPr>
        <w:t>年引入的氢氟碳化物配额制度为替换高全球升温潜能值的氢氟碳化物提供了政策驱动力。他鼓励其他缔约方向秘书处提交本国相关进展情况的信息，并期待在下一份四年期评估报告发布后进一步讨论该问题。</w:t>
      </w:r>
    </w:p>
    <w:p w14:paraId="5143C0D4" w14:textId="5E0EB16E"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另一位代表虽然同意有关进展令人鼓舞，但告诫说，低全球升温潜能值替代品仍处于早期开发阶段，许多缔约方尚未广泛供应。对于请缔约方分享关于本国技术发展、监管核准、制造考虑因素和过渡规划的信息的请求，他表示赞同，并询问秘书处能否将两个缔约方已提交的材料公布在秘书处网站上。秘书处代表回应说，如果相关缔约方对此表示同意，秘书处将照做。</w:t>
      </w:r>
    </w:p>
    <w:p w14:paraId="2F495963" w14:textId="285EEB8A"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一位第</w:t>
      </w:r>
      <w:r w:rsidRPr="009B423C">
        <w:rPr>
          <w:rFonts w:eastAsia="SimSun"/>
          <w:sz w:val="24"/>
          <w:szCs w:val="24"/>
          <w:lang w:val="zh-CN"/>
        </w:rPr>
        <w:t>5</w:t>
      </w:r>
      <w:r w:rsidRPr="009B423C">
        <w:rPr>
          <w:rFonts w:eastAsia="SimSun"/>
          <w:sz w:val="24"/>
          <w:szCs w:val="24"/>
          <w:lang w:val="zh-CN"/>
        </w:rPr>
        <w:t>条缔约方的代表评论指出，在过渡时期，健康考虑因素与环境问题同样重要。鉴于计量吸入器约占全球吸入器用药剂量的</w:t>
      </w:r>
      <w:r w:rsidRPr="009B423C">
        <w:rPr>
          <w:rFonts w:eastAsia="SimSun"/>
          <w:sz w:val="24"/>
          <w:szCs w:val="24"/>
          <w:lang w:val="zh-CN"/>
        </w:rPr>
        <w:t>70%</w:t>
      </w:r>
      <w:r w:rsidRPr="009B423C">
        <w:rPr>
          <w:rFonts w:eastAsia="SimSun"/>
          <w:sz w:val="24"/>
          <w:szCs w:val="24"/>
          <w:lang w:val="zh-CN"/>
        </w:rPr>
        <w:t>，因此必须避免影响患者获得此类救命药物，也应避免使低收入和中等收入国家的患者承受过重的成本负担。缔约方必须保留根据其卫生保健框架、替代品的成熟度和国家核准流程所需时间，自主确定其过渡途径的主权权利。她指出，知识产权和技术转让限制对于以具有成本效益的方式供应替代推进剂构成了重大障碍，呼吁采取措施避免专利限制第</w:t>
      </w:r>
      <w:r w:rsidRPr="009B423C">
        <w:rPr>
          <w:rFonts w:eastAsia="SimSun"/>
          <w:sz w:val="24"/>
          <w:szCs w:val="24"/>
          <w:lang w:val="zh-CN"/>
        </w:rPr>
        <w:t>5</w:t>
      </w:r>
      <w:r w:rsidRPr="009B423C">
        <w:rPr>
          <w:rFonts w:eastAsia="SimSun"/>
          <w:sz w:val="24"/>
          <w:szCs w:val="24"/>
          <w:lang w:val="zh-CN"/>
        </w:rPr>
        <w:t>条缔约方开展仿制药生产，并呼吁为这些缔约方提供技术和资金支持。</w:t>
      </w:r>
      <w:bookmarkStart w:id="27" w:name="_Hlk235025896"/>
      <w:bookmarkEnd w:id="27"/>
    </w:p>
    <w:p w14:paraId="2BF6F2AC" w14:textId="0B62E36C"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一些代表对此表示同意，呼吁鼓励行业、缔约方和其他相关利益攸关方继续努力，确保以负担得起的价格供应低全球升温潜能值的计量吸入器，并为第</w:t>
      </w:r>
      <w:r w:rsidRPr="009B423C">
        <w:rPr>
          <w:rFonts w:eastAsia="SimSun"/>
          <w:sz w:val="24"/>
          <w:szCs w:val="24"/>
          <w:lang w:val="zh-CN"/>
        </w:rPr>
        <w:t>5</w:t>
      </w:r>
      <w:r w:rsidRPr="009B423C">
        <w:rPr>
          <w:rFonts w:eastAsia="SimSun"/>
          <w:sz w:val="24"/>
          <w:szCs w:val="24"/>
          <w:lang w:val="zh-CN"/>
        </w:rPr>
        <w:t>条缔约方提供充分的技术转让和能力建设支持。一位代表指出，其缔约方计量吸入器生产所用的</w:t>
      </w:r>
      <w:r w:rsidRPr="009B423C">
        <w:rPr>
          <w:rFonts w:eastAsia="SimSun"/>
          <w:sz w:val="24"/>
          <w:szCs w:val="24"/>
          <w:lang w:val="zh-CN"/>
        </w:rPr>
        <w:t>HFC-134a</w:t>
      </w:r>
      <w:r w:rsidRPr="009B423C">
        <w:rPr>
          <w:rFonts w:eastAsia="SimSun"/>
          <w:sz w:val="24"/>
          <w:szCs w:val="24"/>
          <w:lang w:val="zh-CN"/>
        </w:rPr>
        <w:t>占其本国</w:t>
      </w:r>
      <w:r w:rsidRPr="009B423C">
        <w:rPr>
          <w:rFonts w:eastAsia="SimSun"/>
          <w:sz w:val="24"/>
          <w:szCs w:val="24"/>
          <w:lang w:val="zh-CN"/>
        </w:rPr>
        <w:t>HFC-134a</w:t>
      </w:r>
      <w:r w:rsidRPr="009B423C">
        <w:rPr>
          <w:rFonts w:eastAsia="SimSun"/>
          <w:sz w:val="24"/>
          <w:szCs w:val="24"/>
          <w:lang w:val="zh-CN"/>
        </w:rPr>
        <w:t>总消费量的</w:t>
      </w:r>
      <w:r w:rsidRPr="009B423C">
        <w:rPr>
          <w:rFonts w:eastAsia="SimSun"/>
          <w:sz w:val="24"/>
          <w:szCs w:val="24"/>
          <w:lang w:val="zh-CN"/>
        </w:rPr>
        <w:t>30%</w:t>
      </w:r>
      <w:r w:rsidRPr="009B423C">
        <w:rPr>
          <w:rFonts w:eastAsia="SimSun"/>
          <w:sz w:val="24"/>
          <w:szCs w:val="24"/>
          <w:lang w:val="zh-CN"/>
        </w:rPr>
        <w:t>。另一位代表指出，其国内一家吸入器制造商声称尚无可用的</w:t>
      </w:r>
      <w:r w:rsidRPr="009B423C">
        <w:rPr>
          <w:rFonts w:eastAsia="SimSun"/>
          <w:sz w:val="24"/>
          <w:szCs w:val="24"/>
          <w:lang w:val="zh-CN"/>
        </w:rPr>
        <w:t>HFC-134a</w:t>
      </w:r>
      <w:r w:rsidRPr="009B423C">
        <w:rPr>
          <w:rFonts w:eastAsia="SimSun"/>
          <w:sz w:val="24"/>
          <w:szCs w:val="24"/>
          <w:lang w:val="zh-CN"/>
        </w:rPr>
        <w:t>替代品，因此呼吁提供更多有关替代推进剂供应和成本方面的信息。</w:t>
      </w:r>
      <w:bookmarkStart w:id="28" w:name="_Hlk235026167"/>
      <w:bookmarkEnd w:id="28"/>
    </w:p>
    <w:p w14:paraId="3BC883CE"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一位代表回顾说，由于并非所有患者都能耐受计量吸入器中用作推进剂的替代物质，因此确保</w:t>
      </w:r>
      <w:r w:rsidRPr="009B423C">
        <w:rPr>
          <w:rFonts w:eastAsia="SimSun"/>
          <w:sz w:val="24"/>
          <w:szCs w:val="24"/>
          <w:lang w:val="zh-CN"/>
        </w:rPr>
        <w:t>HFC-134a</w:t>
      </w:r>
      <w:r w:rsidRPr="009B423C">
        <w:rPr>
          <w:rFonts w:eastAsia="SimSun"/>
          <w:sz w:val="24"/>
          <w:szCs w:val="24"/>
          <w:lang w:val="zh-CN"/>
        </w:rPr>
        <w:t>在</w:t>
      </w:r>
      <w:r w:rsidRPr="009B423C">
        <w:rPr>
          <w:rFonts w:eastAsia="SimSun"/>
          <w:sz w:val="24"/>
          <w:szCs w:val="24"/>
          <w:lang w:val="zh-CN"/>
        </w:rPr>
        <w:t>2030</w:t>
      </w:r>
      <w:r w:rsidRPr="009B423C">
        <w:rPr>
          <w:rFonts w:eastAsia="SimSun"/>
          <w:sz w:val="24"/>
          <w:szCs w:val="24"/>
          <w:lang w:val="zh-CN"/>
        </w:rPr>
        <w:t>年后仍可继续使用至关重要。因此，保留《基加利修正》关于逐步削减而非逐步淘汰氢氟碳化物的要求非常重要。</w:t>
      </w:r>
    </w:p>
    <w:p w14:paraId="16754F14"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工作组结束了对该分项目的讨论。共同主席在总结该分项目时指出，在四年期评估报告发布后，可于</w:t>
      </w:r>
      <w:r w:rsidRPr="009B423C">
        <w:rPr>
          <w:rFonts w:eastAsia="SimSun"/>
          <w:sz w:val="24"/>
          <w:szCs w:val="24"/>
          <w:lang w:val="zh-CN"/>
        </w:rPr>
        <w:t>2027</w:t>
      </w:r>
      <w:r w:rsidRPr="009B423C">
        <w:rPr>
          <w:rFonts w:eastAsia="SimSun"/>
          <w:sz w:val="24"/>
          <w:szCs w:val="24"/>
          <w:lang w:val="zh-CN"/>
        </w:rPr>
        <w:t>年再次讨论该问题。</w:t>
      </w:r>
    </w:p>
    <w:p w14:paraId="0AC40B6B" w14:textId="531563AC" w:rsidR="001F1F39" w:rsidRPr="009B423C" w:rsidRDefault="000704E6">
      <w:pPr>
        <w:pStyle w:val="CH2"/>
        <w:numPr>
          <w:ilvl w:val="1"/>
          <w:numId w:val="32"/>
        </w:numPr>
        <w:tabs>
          <w:tab w:val="clear" w:pos="851"/>
          <w:tab w:val="clear" w:pos="1247"/>
          <w:tab w:val="clear" w:pos="1871"/>
          <w:tab w:val="clear" w:pos="2495"/>
          <w:tab w:val="clear" w:pos="3119"/>
          <w:tab w:val="clear" w:pos="3742"/>
          <w:tab w:val="clear" w:pos="4366"/>
          <w:tab w:val="clear" w:pos="4990"/>
        </w:tabs>
        <w:ind w:left="1276" w:right="946" w:hanging="709"/>
        <w:rPr>
          <w:rFonts w:eastAsia="SimHei"/>
          <w:sz w:val="28"/>
          <w:szCs w:val="28"/>
          <w:lang w:eastAsia="zh-CN"/>
        </w:rPr>
      </w:pPr>
      <w:r w:rsidRPr="009B423C">
        <w:rPr>
          <w:rFonts w:eastAsia="SimHei"/>
          <w:bCs/>
          <w:sz w:val="28"/>
          <w:szCs w:val="28"/>
          <w:lang w:val="zh-CN" w:eastAsia="zh-CN"/>
        </w:rPr>
        <w:lastRenderedPageBreak/>
        <w:t>评估小组及其各技术选择委员会组织安排的备选方案（第</w:t>
      </w:r>
      <w:r w:rsidRPr="009B423C">
        <w:rPr>
          <w:rFonts w:eastAsia="SimHei"/>
          <w:bCs/>
          <w:sz w:val="28"/>
          <w:szCs w:val="28"/>
          <w:lang w:val="zh-CN" w:eastAsia="zh-CN"/>
        </w:rPr>
        <w:t>XXXV/20</w:t>
      </w:r>
      <w:r w:rsidRPr="009B423C">
        <w:rPr>
          <w:rFonts w:eastAsia="SimHei"/>
          <w:bCs/>
          <w:sz w:val="28"/>
          <w:szCs w:val="28"/>
          <w:lang w:val="zh-CN" w:eastAsia="zh-CN"/>
        </w:rPr>
        <w:t>号决定）</w:t>
      </w:r>
    </w:p>
    <w:p w14:paraId="415201B8" w14:textId="3CE364A1"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共同主席在介绍该分项目时提请注意秘书处关于供不限成员名额工作组第四十八次会议讨论的议题和提请其注意的资料的说明（</w:t>
      </w:r>
      <w:r w:rsidRPr="009B423C">
        <w:rPr>
          <w:rFonts w:eastAsia="SimSun"/>
          <w:sz w:val="24"/>
          <w:szCs w:val="24"/>
          <w:lang w:val="zh-CN"/>
        </w:rPr>
        <w:t>UNEP/</w:t>
      </w:r>
      <w:r w:rsidR="00F11E2E">
        <w:rPr>
          <w:rFonts w:eastAsia="SimSun" w:hint="eastAsia"/>
          <w:sz w:val="24"/>
          <w:szCs w:val="24"/>
          <w:lang w:val="zh-CN"/>
        </w:rPr>
        <w:t xml:space="preserve"> </w:t>
      </w:r>
      <w:r w:rsidRPr="009B423C">
        <w:rPr>
          <w:rFonts w:eastAsia="SimSun"/>
          <w:sz w:val="24"/>
          <w:szCs w:val="24"/>
          <w:lang w:val="zh-CN"/>
        </w:rPr>
        <w:t>OzL.Pro.WG.1/48/2</w:t>
      </w:r>
      <w:r w:rsidRPr="009B423C">
        <w:rPr>
          <w:rFonts w:eastAsia="SimSun"/>
          <w:sz w:val="24"/>
          <w:szCs w:val="24"/>
          <w:lang w:val="zh-CN"/>
        </w:rPr>
        <w:t>）第</w:t>
      </w:r>
      <w:r w:rsidRPr="009B423C">
        <w:rPr>
          <w:rFonts w:eastAsia="SimSun"/>
          <w:sz w:val="24"/>
          <w:szCs w:val="24"/>
          <w:lang w:val="zh-CN"/>
        </w:rPr>
        <w:t>20–22</w:t>
      </w:r>
      <w:r w:rsidRPr="009B423C">
        <w:rPr>
          <w:rFonts w:eastAsia="SimSun"/>
          <w:sz w:val="24"/>
          <w:szCs w:val="24"/>
          <w:lang w:val="zh-CN"/>
        </w:rPr>
        <w:t>段、其增编（</w:t>
      </w:r>
      <w:r w:rsidRPr="009B423C">
        <w:rPr>
          <w:rFonts w:eastAsia="SimSun"/>
          <w:sz w:val="24"/>
          <w:szCs w:val="24"/>
          <w:lang w:val="zh-CN"/>
        </w:rPr>
        <w:t>UNEP/OzL.Pro.WG.1/48/2/</w:t>
      </w:r>
      <w:r w:rsidR="00F11E2E">
        <w:rPr>
          <w:rFonts w:eastAsia="SimSun" w:hint="eastAsia"/>
          <w:sz w:val="24"/>
          <w:szCs w:val="24"/>
          <w:lang w:val="zh-CN"/>
        </w:rPr>
        <w:t xml:space="preserve"> </w:t>
      </w:r>
      <w:r w:rsidRPr="009B423C">
        <w:rPr>
          <w:rFonts w:eastAsia="SimSun"/>
          <w:sz w:val="24"/>
          <w:szCs w:val="24"/>
          <w:lang w:val="zh-CN"/>
        </w:rPr>
        <w:t>Add.1</w:t>
      </w:r>
      <w:r w:rsidRPr="009B423C">
        <w:rPr>
          <w:rFonts w:eastAsia="SimSun"/>
          <w:sz w:val="24"/>
          <w:szCs w:val="24"/>
          <w:lang w:val="zh-CN"/>
        </w:rPr>
        <w:t>）第</w:t>
      </w:r>
      <w:r w:rsidRPr="009B423C">
        <w:rPr>
          <w:rFonts w:eastAsia="SimSun"/>
          <w:sz w:val="24"/>
          <w:szCs w:val="24"/>
          <w:lang w:val="zh-CN"/>
        </w:rPr>
        <w:t>49–56</w:t>
      </w:r>
      <w:r w:rsidRPr="009B423C">
        <w:rPr>
          <w:rFonts w:eastAsia="SimSun"/>
          <w:sz w:val="24"/>
          <w:szCs w:val="24"/>
          <w:lang w:val="zh-CN"/>
        </w:rPr>
        <w:t>段，以及技术和经济评估小组</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5</w:t>
      </w:r>
      <w:r w:rsidRPr="009B423C">
        <w:rPr>
          <w:rFonts w:eastAsia="SimSun"/>
          <w:sz w:val="24"/>
          <w:szCs w:val="24"/>
          <w:lang w:val="zh-CN"/>
        </w:rPr>
        <w:t>月报告的第</w:t>
      </w:r>
      <w:r w:rsidRPr="009B423C">
        <w:rPr>
          <w:rFonts w:eastAsia="SimSun"/>
          <w:sz w:val="24"/>
          <w:szCs w:val="24"/>
          <w:lang w:val="zh-CN"/>
        </w:rPr>
        <w:t>1</w:t>
      </w:r>
      <w:r w:rsidRPr="009B423C">
        <w:rPr>
          <w:rFonts w:eastAsia="SimSun"/>
          <w:sz w:val="24"/>
          <w:szCs w:val="24"/>
          <w:lang w:val="zh-CN"/>
        </w:rPr>
        <w:t>卷第</w:t>
      </w:r>
      <w:r w:rsidRPr="009B423C">
        <w:rPr>
          <w:rFonts w:eastAsia="SimSun"/>
          <w:sz w:val="24"/>
          <w:szCs w:val="24"/>
          <w:lang w:val="zh-CN"/>
        </w:rPr>
        <w:t>8</w:t>
      </w:r>
      <w:r w:rsidRPr="009B423C">
        <w:rPr>
          <w:rFonts w:eastAsia="SimSun"/>
          <w:sz w:val="24"/>
          <w:szCs w:val="24"/>
          <w:lang w:val="zh-CN"/>
        </w:rPr>
        <w:t>章和附件三。她回顾说，在不限成员名额工作组第四十七次会议上，一个由相关缔约方组成的非正式小组在会议间隙会见了评估小组及其各技术选择委员会的共同主席，讨论了评估小组在其</w:t>
      </w:r>
      <w:r w:rsidRPr="009B423C">
        <w:rPr>
          <w:rFonts w:eastAsia="SimSun"/>
          <w:sz w:val="24"/>
          <w:szCs w:val="24"/>
          <w:lang w:val="zh-CN"/>
        </w:rPr>
        <w:t>2025</w:t>
      </w:r>
      <w:r w:rsidRPr="009B423C">
        <w:rPr>
          <w:rFonts w:eastAsia="SimSun"/>
          <w:sz w:val="24"/>
          <w:szCs w:val="24"/>
          <w:lang w:val="zh-CN"/>
        </w:rPr>
        <w:t>年进度报告第</w:t>
      </w:r>
      <w:r w:rsidRPr="009B423C">
        <w:rPr>
          <w:rFonts w:eastAsia="SimSun"/>
          <w:sz w:val="24"/>
          <w:szCs w:val="24"/>
          <w:lang w:val="zh-CN"/>
        </w:rPr>
        <w:t>8</w:t>
      </w:r>
      <w:r w:rsidRPr="009B423C">
        <w:rPr>
          <w:rFonts w:eastAsia="SimSun"/>
          <w:sz w:val="24"/>
          <w:szCs w:val="24"/>
          <w:lang w:val="zh-CN"/>
        </w:rPr>
        <w:t>章中提出的评估小组及其各技术选择委员会组织安排的备选方案。在缔约方第三十七次会议上，该非正式小组得出结论认为，目前不宜重组评估小组及其各技术选择委员会，且各缔约方商定将该项目纳入本次会议的议程。在</w:t>
      </w:r>
      <w:r w:rsidRPr="009B423C">
        <w:rPr>
          <w:rFonts w:eastAsia="SimSun"/>
          <w:sz w:val="24"/>
          <w:szCs w:val="24"/>
          <w:lang w:val="zh-CN"/>
        </w:rPr>
        <w:t>2026</w:t>
      </w:r>
      <w:r w:rsidRPr="009B423C">
        <w:rPr>
          <w:rFonts w:eastAsia="SimSun"/>
          <w:sz w:val="24"/>
          <w:szCs w:val="24"/>
          <w:lang w:val="zh-CN"/>
        </w:rPr>
        <w:t>年进度报告第</w:t>
      </w:r>
      <w:r w:rsidRPr="009B423C">
        <w:rPr>
          <w:rFonts w:eastAsia="SimSun"/>
          <w:sz w:val="24"/>
          <w:szCs w:val="24"/>
          <w:lang w:val="zh-CN"/>
        </w:rPr>
        <w:t>8</w:t>
      </w:r>
      <w:r w:rsidRPr="009B423C">
        <w:rPr>
          <w:rFonts w:eastAsia="SimSun"/>
          <w:sz w:val="24"/>
          <w:szCs w:val="24"/>
          <w:lang w:val="zh-CN"/>
        </w:rPr>
        <w:t>章中，评估小组提出了进一步的分析，并重点介绍了重组的首选备选方案。该分析的摘要载于秘书处说明的增编。在评估小组于本次会议上就其</w:t>
      </w:r>
      <w:r w:rsidRPr="009B423C">
        <w:rPr>
          <w:rFonts w:eastAsia="SimSun"/>
          <w:sz w:val="24"/>
          <w:szCs w:val="24"/>
          <w:lang w:val="zh-CN"/>
        </w:rPr>
        <w:t>2026</w:t>
      </w:r>
      <w:r w:rsidRPr="009B423C">
        <w:rPr>
          <w:rFonts w:eastAsia="SimSun"/>
          <w:sz w:val="24"/>
          <w:szCs w:val="24"/>
          <w:lang w:val="zh-CN"/>
        </w:rPr>
        <w:t>年进度报告做专题介绍后的问答环节中，也就此事进行了初步交流。</w:t>
      </w:r>
    </w:p>
    <w:p w14:paraId="0218D021"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讨论中，几位代表（包括一位代表某组缔约方发言的代表）对评估小组、其技术选择委员会及其附属机构的工作以及其向缔约方提供的所有信息表示赞赏。他们感谢评估小组对评估小组及其各技术选择委员会的组织安排进行审议，并感谢其认识到可持续性的重要性以及与变革管理相关的困难。几位代表（包括一位代表某组缔约方发言的代表）指出，关于可能进行重组的讨论已持续了数年。其中一些代表（包括代表某组缔约方发言的代表）表示其赞赏评估小组突出介绍了其首选的重组备选方案，而此前的报告并未这样做。</w:t>
      </w:r>
    </w:p>
    <w:p w14:paraId="0CF54521"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其总体上支持评估小组关于制冷、空调和热泵技术选择委员会配置的首选方案，即分为两个小组委员会。然而，对于医疗和化学品技术选择委员会的架构存在不同看法。虽然一位代表表示支持设立两个小组委员会的想法，但另一位代表表示，有充分理由探讨是否将该技术选择委员会拆分为两个独立的委员会，因为其目前负责的医药和气雾剂问题与化学品问题属于两条性质日益不同的工作流。将这些职能拆分将有助于确保工作重点明确和取得成效；各技术选择委员会之间的重叠领域可由评估小组管理。</w:t>
      </w:r>
    </w:p>
    <w:p w14:paraId="3869ACE0" w14:textId="4FEE036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一位代表指出该分项目与关于确保《蒙特利尔议定书》业务可行性的议程项目</w:t>
      </w:r>
      <w:r w:rsidRPr="009B423C">
        <w:rPr>
          <w:rFonts w:eastAsia="SimSun"/>
          <w:sz w:val="24"/>
          <w:szCs w:val="24"/>
          <w:lang w:val="zh-CN"/>
        </w:rPr>
        <w:t>6</w:t>
      </w:r>
      <w:r w:rsidRPr="009B423C">
        <w:rPr>
          <w:rFonts w:eastAsia="SimSun"/>
          <w:sz w:val="24"/>
          <w:szCs w:val="24"/>
          <w:lang w:val="zh-CN"/>
        </w:rPr>
        <w:t>之间存在相似之处，即</w:t>
      </w:r>
      <w:r w:rsidR="00C63FBE" w:rsidRPr="009B423C">
        <w:rPr>
          <w:rFonts w:eastAsia="SimSun" w:hint="eastAsia"/>
          <w:sz w:val="24"/>
          <w:szCs w:val="24"/>
          <w:lang w:val="zh-CN"/>
        </w:rPr>
        <w:t>旨在使</w:t>
      </w:r>
      <w:r w:rsidRPr="009B423C">
        <w:rPr>
          <w:rFonts w:eastAsia="SimSun"/>
          <w:sz w:val="24"/>
          <w:szCs w:val="24"/>
          <w:lang w:val="zh-CN"/>
        </w:rPr>
        <w:t>其流程更加高效和有效。当前的讨论还应侧重于评估小组的长期可行性，包括如何维持一个多元且均衡的专家队伍，确保为参与提供适当支持，并建立未来的专家人才储备。另一位代表指出，尽管在线会议节省了费用，但无法像面对面互动那样促进相互尊重和信任。该代表指出高级专家同时担任技术选择委员会成员造成了困难，并支持减少高级专家人数和余下高级专家不担任技术选择委员会成员的提议。另一位代表强调需要确保评估小组及其所有技术选择委员会内的公平地域代表性，以及必须增加来自发展中国家（包括非洲的发展中国家）的专家参与。</w:t>
      </w:r>
    </w:p>
    <w:p w14:paraId="4919EC73"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几位代表建议在一个非正式小组中进一步讨论此事，评估小组也应参加该小组以回答进一步的问题。</w:t>
      </w:r>
    </w:p>
    <w:p w14:paraId="0290D597" w14:textId="0D4F2BF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不限成员名额工作组商定设立一个非正式小组，由</w:t>
      </w:r>
      <w:r w:rsidRPr="009B423C">
        <w:rPr>
          <w:rFonts w:eastAsia="SimSun"/>
          <w:sz w:val="24"/>
          <w:szCs w:val="24"/>
          <w:lang w:val="zh-CN"/>
        </w:rPr>
        <w:t>Heidi Stockhaus</w:t>
      </w:r>
      <w:r w:rsidRPr="009B423C">
        <w:rPr>
          <w:rFonts w:eastAsia="SimSun"/>
          <w:sz w:val="24"/>
          <w:szCs w:val="24"/>
          <w:lang w:val="zh-CN"/>
        </w:rPr>
        <w:t>（德国）和</w:t>
      </w:r>
      <w:r w:rsidRPr="009B423C">
        <w:rPr>
          <w:rFonts w:eastAsia="SimSun"/>
          <w:sz w:val="24"/>
          <w:szCs w:val="24"/>
          <w:lang w:val="zh-CN"/>
        </w:rPr>
        <w:t>Camilla Noel</w:t>
      </w:r>
      <w:r w:rsidRPr="009B423C">
        <w:rPr>
          <w:rFonts w:eastAsia="SimSun"/>
          <w:sz w:val="24"/>
          <w:szCs w:val="24"/>
          <w:lang w:val="zh-CN"/>
        </w:rPr>
        <w:t>（瓦努阿图）共同主持，负责讨论评估小组及其各技术选择委员会组织安排的进一步备选方案。</w:t>
      </w:r>
    </w:p>
    <w:p w14:paraId="765F78AC" w14:textId="1E161ABB"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非正式小组的共同主席报告说，由于时间限制，小组无法完成工作。因此，工作组商定在缔约方第三十八次会议上继续讨论评估小组及其各技术选择委员会组织安排的备选方案，并指出评估小组将在该次会议之前回答缔约方在非正式小组中提出的一些问题。</w:t>
      </w:r>
    </w:p>
    <w:p w14:paraId="1DF6BB59" w14:textId="1560E649" w:rsidR="001F1F39" w:rsidRPr="009B423C" w:rsidRDefault="000704E6">
      <w:pPr>
        <w:pStyle w:val="CH2"/>
        <w:numPr>
          <w:ilvl w:val="1"/>
          <w:numId w:val="32"/>
        </w:numPr>
        <w:tabs>
          <w:tab w:val="clear" w:pos="851"/>
          <w:tab w:val="clear" w:pos="1247"/>
          <w:tab w:val="clear" w:pos="1871"/>
          <w:tab w:val="clear" w:pos="2495"/>
          <w:tab w:val="clear" w:pos="3119"/>
          <w:tab w:val="clear" w:pos="3742"/>
          <w:tab w:val="clear" w:pos="4366"/>
          <w:tab w:val="clear" w:pos="4990"/>
        </w:tabs>
        <w:ind w:left="1276" w:right="-46" w:hanging="709"/>
        <w:rPr>
          <w:rFonts w:eastAsia="SimHei"/>
          <w:sz w:val="28"/>
          <w:szCs w:val="28"/>
        </w:rPr>
      </w:pPr>
      <w:proofErr w:type="spellStart"/>
      <w:r w:rsidRPr="009B423C">
        <w:rPr>
          <w:rFonts w:eastAsia="SimHei"/>
          <w:bCs/>
          <w:sz w:val="28"/>
          <w:szCs w:val="28"/>
          <w:lang w:val="zh-CN"/>
        </w:rPr>
        <w:t>评估小组的成员变动</w:t>
      </w:r>
      <w:proofErr w:type="spellEnd"/>
    </w:p>
    <w:p w14:paraId="3050AB54" w14:textId="6DCC009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共同主席在介绍该分项目时提请注意秘书处关于供不限成员名额工作组第四十八次会议讨论的议题和提请其注意的资料的说明（</w:t>
      </w:r>
      <w:r w:rsidRPr="009B423C">
        <w:rPr>
          <w:rFonts w:eastAsia="SimSun"/>
          <w:sz w:val="24"/>
          <w:szCs w:val="24"/>
          <w:lang w:val="zh-CN"/>
        </w:rPr>
        <w:t>UNEP/</w:t>
      </w:r>
      <w:r w:rsidR="00791202">
        <w:rPr>
          <w:rFonts w:eastAsia="SimSun" w:hint="eastAsia"/>
          <w:sz w:val="24"/>
          <w:szCs w:val="24"/>
          <w:lang w:val="zh-CN"/>
        </w:rPr>
        <w:t xml:space="preserve"> </w:t>
      </w:r>
      <w:r w:rsidRPr="009B423C">
        <w:rPr>
          <w:rFonts w:eastAsia="SimSun"/>
          <w:sz w:val="24"/>
          <w:szCs w:val="24"/>
          <w:lang w:val="zh-CN"/>
        </w:rPr>
        <w:t>OzL.Pro.WG.1/48/2</w:t>
      </w:r>
      <w:r w:rsidRPr="009B423C">
        <w:rPr>
          <w:rFonts w:eastAsia="SimSun"/>
          <w:sz w:val="24"/>
          <w:szCs w:val="24"/>
          <w:lang w:val="zh-CN"/>
        </w:rPr>
        <w:t>）第</w:t>
      </w:r>
      <w:r w:rsidRPr="009B423C">
        <w:rPr>
          <w:rFonts w:eastAsia="SimSun"/>
          <w:sz w:val="24"/>
          <w:szCs w:val="24"/>
          <w:lang w:val="zh-CN"/>
        </w:rPr>
        <w:t>23</w:t>
      </w:r>
      <w:r w:rsidRPr="009B423C">
        <w:rPr>
          <w:rFonts w:eastAsia="SimSun"/>
          <w:sz w:val="24"/>
          <w:szCs w:val="24"/>
          <w:lang w:val="zh-CN"/>
        </w:rPr>
        <w:t>和第</w:t>
      </w:r>
      <w:r w:rsidRPr="009B423C">
        <w:rPr>
          <w:rFonts w:eastAsia="SimSun"/>
          <w:sz w:val="24"/>
          <w:szCs w:val="24"/>
          <w:lang w:val="zh-CN"/>
        </w:rPr>
        <w:t>24</w:t>
      </w:r>
      <w:r w:rsidRPr="009B423C">
        <w:rPr>
          <w:rFonts w:eastAsia="SimSun"/>
          <w:sz w:val="24"/>
          <w:szCs w:val="24"/>
          <w:lang w:val="zh-CN"/>
        </w:rPr>
        <w:t>段、其增编（</w:t>
      </w:r>
      <w:r w:rsidRPr="009B423C">
        <w:rPr>
          <w:rFonts w:eastAsia="SimSun"/>
          <w:sz w:val="24"/>
          <w:szCs w:val="24"/>
          <w:lang w:val="zh-CN"/>
        </w:rPr>
        <w:t>UNEP/OzL.Pro.WG.1/48/2/</w:t>
      </w:r>
      <w:r w:rsidR="00791202">
        <w:rPr>
          <w:rFonts w:eastAsia="SimSun" w:hint="eastAsia"/>
          <w:sz w:val="24"/>
          <w:szCs w:val="24"/>
          <w:lang w:val="zh-CN"/>
        </w:rPr>
        <w:t xml:space="preserve"> </w:t>
      </w:r>
      <w:r w:rsidRPr="009B423C">
        <w:rPr>
          <w:rFonts w:eastAsia="SimSun"/>
          <w:sz w:val="24"/>
          <w:szCs w:val="24"/>
          <w:lang w:val="zh-CN"/>
        </w:rPr>
        <w:t>Add.1</w:t>
      </w:r>
      <w:r w:rsidRPr="009B423C">
        <w:rPr>
          <w:rFonts w:eastAsia="SimSun"/>
          <w:sz w:val="24"/>
          <w:szCs w:val="24"/>
          <w:lang w:val="zh-CN"/>
        </w:rPr>
        <w:t>）第</w:t>
      </w:r>
      <w:r w:rsidRPr="009B423C">
        <w:rPr>
          <w:rFonts w:eastAsia="SimSun"/>
          <w:sz w:val="24"/>
          <w:szCs w:val="24"/>
          <w:lang w:val="zh-CN"/>
        </w:rPr>
        <w:t>57–62</w:t>
      </w:r>
      <w:r w:rsidRPr="009B423C">
        <w:rPr>
          <w:rFonts w:eastAsia="SimSun"/>
          <w:sz w:val="24"/>
          <w:szCs w:val="24"/>
          <w:lang w:val="zh-CN"/>
        </w:rPr>
        <w:t>段和表</w:t>
      </w:r>
      <w:r w:rsidRPr="009B423C">
        <w:rPr>
          <w:rFonts w:eastAsia="SimSun"/>
          <w:sz w:val="24"/>
          <w:szCs w:val="24"/>
          <w:lang w:val="zh-CN"/>
        </w:rPr>
        <w:t>3</w:t>
      </w:r>
      <w:r w:rsidRPr="009B423C">
        <w:rPr>
          <w:rFonts w:eastAsia="SimSun"/>
          <w:sz w:val="24"/>
          <w:szCs w:val="24"/>
          <w:lang w:val="zh-CN"/>
        </w:rPr>
        <w:t>及附件三，以及技术和经济评估小组</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5</w:t>
      </w:r>
      <w:r w:rsidRPr="009B423C">
        <w:rPr>
          <w:rFonts w:eastAsia="SimSun"/>
          <w:sz w:val="24"/>
          <w:szCs w:val="24"/>
          <w:lang w:val="zh-CN"/>
        </w:rPr>
        <w:t>月报告的第</w:t>
      </w:r>
      <w:r w:rsidRPr="009B423C">
        <w:rPr>
          <w:rFonts w:eastAsia="SimSun"/>
          <w:sz w:val="24"/>
          <w:szCs w:val="24"/>
          <w:lang w:val="zh-CN"/>
        </w:rPr>
        <w:t>1</w:t>
      </w:r>
      <w:r w:rsidRPr="009B423C">
        <w:rPr>
          <w:rFonts w:eastAsia="SimSun"/>
          <w:sz w:val="24"/>
          <w:szCs w:val="24"/>
          <w:lang w:val="zh-CN"/>
        </w:rPr>
        <w:t>卷附件二和附件三。她回顾说，秘书处说明增编的表</w:t>
      </w:r>
      <w:r w:rsidRPr="009B423C">
        <w:rPr>
          <w:rFonts w:eastAsia="SimSun"/>
          <w:sz w:val="24"/>
          <w:szCs w:val="24"/>
          <w:lang w:val="zh-CN"/>
        </w:rPr>
        <w:t>3</w:t>
      </w:r>
      <w:r w:rsidRPr="009B423C">
        <w:rPr>
          <w:rFonts w:eastAsia="SimSun"/>
          <w:sz w:val="24"/>
          <w:szCs w:val="24"/>
          <w:lang w:val="zh-CN"/>
        </w:rPr>
        <w:t>列出了任期将于</w:t>
      </w:r>
      <w:r w:rsidRPr="009B423C">
        <w:rPr>
          <w:rFonts w:eastAsia="SimSun"/>
          <w:sz w:val="24"/>
          <w:szCs w:val="24"/>
          <w:lang w:val="zh-CN"/>
        </w:rPr>
        <w:t>2026</w:t>
      </w:r>
      <w:r w:rsidRPr="009B423C">
        <w:rPr>
          <w:rFonts w:eastAsia="SimSun"/>
          <w:sz w:val="24"/>
          <w:szCs w:val="24"/>
          <w:lang w:val="zh-CN"/>
        </w:rPr>
        <w:t>年底届满且连任需经缔约方第三十八次会议决定的九名评估小组成员。一些技术选择委员会成员的任期也将于</w:t>
      </w:r>
      <w:r w:rsidRPr="009B423C">
        <w:rPr>
          <w:rFonts w:eastAsia="SimSun"/>
          <w:sz w:val="24"/>
          <w:szCs w:val="24"/>
          <w:lang w:val="zh-CN"/>
        </w:rPr>
        <w:t>2026</w:t>
      </w:r>
      <w:r w:rsidRPr="009B423C">
        <w:rPr>
          <w:rFonts w:eastAsia="SimSun"/>
          <w:sz w:val="24"/>
          <w:szCs w:val="24"/>
          <w:lang w:val="zh-CN"/>
        </w:rPr>
        <w:t>年底届满，但其连任不需要缔约方会议作出决定。由于技术选择委员会的提名可随时进行，因此不限成员名额工作组或缔约方会议无需讨论该问题。关于评估小组九个需作出决定的职位，秘书处正在征集提名，并将在收到提名后将其公布在缔约方第三十八次会议门户网站上。</w:t>
      </w:r>
    </w:p>
    <w:p w14:paraId="21C970A3"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一位代表强调，评估小组或其各技术选择委员会今后的任何变动都应保持各机构的技术专长、公平地域代表性和第</w:t>
      </w:r>
      <w:r w:rsidRPr="009B423C">
        <w:rPr>
          <w:rFonts w:eastAsia="SimSun"/>
          <w:sz w:val="24"/>
          <w:szCs w:val="24"/>
          <w:lang w:val="zh-CN"/>
        </w:rPr>
        <w:t>5</w:t>
      </w:r>
      <w:r w:rsidRPr="009B423C">
        <w:rPr>
          <w:rFonts w:eastAsia="SimSun"/>
          <w:sz w:val="24"/>
          <w:szCs w:val="24"/>
          <w:lang w:val="zh-CN"/>
        </w:rPr>
        <w:t>条缔约方的代表性，特别是来自高环境温度国家的代表性。未来的任何提案均应通过与缔约方开展广泛协商后制定，并应以明确的影响评估为依据。</w:t>
      </w:r>
    </w:p>
    <w:p w14:paraId="47F2DCC1" w14:textId="385C3C7B"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工作组结束了对该分项目的讨论。在总结该分项目时，共同主席鼓励相关缔约方在本次会议间隙相互协商并与评估小组协商，以期在缔约方第三十八次会议上继续讨论此事。</w:t>
      </w:r>
    </w:p>
    <w:p w14:paraId="1D7E1702" w14:textId="6043284B" w:rsidR="001F1F39" w:rsidRPr="009B423C" w:rsidRDefault="000704E6">
      <w:pPr>
        <w:pStyle w:val="CH2"/>
        <w:numPr>
          <w:ilvl w:val="1"/>
          <w:numId w:val="32"/>
        </w:numPr>
        <w:tabs>
          <w:tab w:val="clear" w:pos="851"/>
          <w:tab w:val="clear" w:pos="1247"/>
          <w:tab w:val="clear" w:pos="1871"/>
          <w:tab w:val="clear" w:pos="2495"/>
          <w:tab w:val="clear" w:pos="3119"/>
          <w:tab w:val="clear" w:pos="3742"/>
          <w:tab w:val="clear" w:pos="4366"/>
          <w:tab w:val="clear" w:pos="4990"/>
        </w:tabs>
        <w:ind w:left="1276" w:right="-46" w:hanging="709"/>
        <w:rPr>
          <w:rFonts w:eastAsia="SimHei"/>
          <w:sz w:val="28"/>
          <w:szCs w:val="28"/>
          <w:lang w:eastAsia="zh-CN"/>
        </w:rPr>
      </w:pPr>
      <w:r w:rsidRPr="009B423C">
        <w:rPr>
          <w:rFonts w:eastAsia="SimHei"/>
          <w:bCs/>
          <w:sz w:val="28"/>
          <w:szCs w:val="28"/>
          <w:lang w:val="zh-CN" w:eastAsia="zh-CN"/>
        </w:rPr>
        <w:t>任何其他议题</w:t>
      </w:r>
    </w:p>
    <w:p w14:paraId="13F2EE00" w14:textId="38697A14" w:rsidR="002053E4" w:rsidRPr="009B423C" w:rsidRDefault="002053E4" w:rsidP="009B423C">
      <w:pPr>
        <w:pStyle w:val="CH3"/>
        <w:rPr>
          <w:rFonts w:ascii="SimHei" w:eastAsia="SimHei" w:hAnsi="SimHei"/>
          <w:sz w:val="24"/>
          <w:szCs w:val="24"/>
          <w:lang w:eastAsia="zh-CN"/>
        </w:rPr>
      </w:pPr>
      <w:r w:rsidRPr="009B423C">
        <w:rPr>
          <w:lang w:val="zh-CN" w:eastAsia="zh-CN"/>
        </w:rPr>
        <w:tab/>
      </w:r>
      <w:r w:rsidRPr="009B423C">
        <w:rPr>
          <w:rFonts w:ascii="SimHei" w:eastAsia="SimHei" w:hAnsi="SimHei"/>
          <w:sz w:val="24"/>
          <w:szCs w:val="24"/>
          <w:lang w:val="zh-CN" w:eastAsia="zh-CN"/>
        </w:rPr>
        <w:tab/>
      </w:r>
      <w:r w:rsidRPr="009B423C">
        <w:rPr>
          <w:rFonts w:ascii="SimHei" w:eastAsia="SimHei" w:hAnsi="SimHei"/>
          <w:bCs/>
          <w:sz w:val="24"/>
          <w:szCs w:val="24"/>
          <w:lang w:val="zh-CN" w:eastAsia="zh-CN"/>
        </w:rPr>
        <w:t>评价销毁技术</w:t>
      </w:r>
    </w:p>
    <w:p w14:paraId="69A13024" w14:textId="1F1D93BE"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共同主席在介绍该分项目时提请注意秘书处关于供不限成员名额工作组第四十八次会议讨论的议题和提请其注意的资料的说明（</w:t>
      </w:r>
      <w:r w:rsidRPr="009B423C">
        <w:rPr>
          <w:rFonts w:eastAsia="SimSun"/>
          <w:sz w:val="24"/>
          <w:szCs w:val="24"/>
          <w:lang w:val="zh-CN"/>
        </w:rPr>
        <w:t>UNEP/</w:t>
      </w:r>
      <w:r w:rsidR="00ED7621">
        <w:rPr>
          <w:rFonts w:eastAsia="SimSun" w:hint="eastAsia"/>
          <w:sz w:val="24"/>
          <w:szCs w:val="24"/>
          <w:lang w:val="zh-CN"/>
        </w:rPr>
        <w:t xml:space="preserve"> </w:t>
      </w:r>
      <w:r w:rsidRPr="009B423C">
        <w:rPr>
          <w:rFonts w:eastAsia="SimSun"/>
          <w:sz w:val="24"/>
          <w:szCs w:val="24"/>
          <w:lang w:val="zh-CN"/>
        </w:rPr>
        <w:t>OzL.Pro.WG.1/48/2</w:t>
      </w:r>
      <w:r w:rsidRPr="009B423C">
        <w:rPr>
          <w:rFonts w:eastAsia="SimSun"/>
          <w:sz w:val="24"/>
          <w:szCs w:val="24"/>
          <w:lang w:val="zh-CN"/>
        </w:rPr>
        <w:t>）第</w:t>
      </w:r>
      <w:r w:rsidRPr="009B423C">
        <w:rPr>
          <w:rFonts w:eastAsia="SimSun"/>
          <w:sz w:val="24"/>
          <w:szCs w:val="24"/>
          <w:lang w:val="zh-CN"/>
        </w:rPr>
        <w:t>25</w:t>
      </w:r>
      <w:r w:rsidRPr="009B423C">
        <w:rPr>
          <w:rFonts w:eastAsia="SimSun"/>
          <w:sz w:val="24"/>
          <w:szCs w:val="24"/>
          <w:lang w:val="zh-CN"/>
        </w:rPr>
        <w:t>段及其增编（</w:t>
      </w:r>
      <w:r w:rsidRPr="009B423C">
        <w:rPr>
          <w:rFonts w:eastAsia="SimSun"/>
          <w:sz w:val="24"/>
          <w:szCs w:val="24"/>
          <w:lang w:val="zh-CN"/>
        </w:rPr>
        <w:t>UNEP/OzL.Pro.WG.1/48/2/Add.1</w:t>
      </w:r>
      <w:r w:rsidRPr="009B423C">
        <w:rPr>
          <w:rFonts w:eastAsia="SimSun"/>
          <w:sz w:val="24"/>
          <w:szCs w:val="24"/>
          <w:lang w:val="zh-CN"/>
        </w:rPr>
        <w:t>）第</w:t>
      </w:r>
      <w:r w:rsidRPr="009B423C">
        <w:rPr>
          <w:rFonts w:eastAsia="SimSun"/>
          <w:sz w:val="24"/>
          <w:szCs w:val="24"/>
          <w:lang w:val="zh-CN"/>
        </w:rPr>
        <w:t>63–71</w:t>
      </w:r>
      <w:r w:rsidRPr="009B423C">
        <w:rPr>
          <w:rFonts w:eastAsia="SimSun"/>
          <w:sz w:val="24"/>
          <w:szCs w:val="24"/>
          <w:lang w:val="zh-CN"/>
        </w:rPr>
        <w:t>段。</w:t>
      </w:r>
    </w:p>
    <w:p w14:paraId="67C0D37B" w14:textId="0A183541"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加拿大代表介绍了一项载于会议室文件的决定草案。他感谢技术和经济评估小组以及医疗和化学品技术选择委员会对蒸汽等离子弧销毁技术所开展的全面评价，并感谢其建议缔约方核准将其列为一种新的通用销毁技术类别。正如评估小组报告中所述，该技术与其他基于等离子体的技术不同，因为其以过热蒸汽作为主要的等离子体形成气体，而非氩气或氮气；</w:t>
      </w:r>
      <w:r w:rsidRPr="009B423C">
        <w:rPr>
          <w:rFonts w:eastAsia="SimSun"/>
          <w:sz w:val="24"/>
          <w:szCs w:val="24"/>
          <w:lang w:val="zh-CN"/>
        </w:rPr>
        <w:lastRenderedPageBreak/>
        <w:t>采用后两者的工艺已列入获核准的销毁技术清单。他指出，技术选择委员会对所提交的销毁技术性能数据进行评价后得出的信息</w:t>
      </w:r>
      <w:r w:rsidR="005C3839">
        <w:rPr>
          <w:rFonts w:eastAsia="SimSun" w:hint="eastAsia"/>
          <w:sz w:val="24"/>
          <w:szCs w:val="24"/>
          <w:lang w:val="zh-CN"/>
        </w:rPr>
        <w:t>表明</w:t>
      </w:r>
      <w:r w:rsidRPr="009B423C">
        <w:rPr>
          <w:rFonts w:eastAsia="SimSun"/>
          <w:sz w:val="24"/>
          <w:szCs w:val="24"/>
          <w:lang w:val="zh-CN"/>
        </w:rPr>
        <w:t>，该销毁技术对</w:t>
      </w:r>
      <w:r w:rsidRPr="009B423C">
        <w:rPr>
          <w:rFonts w:eastAsia="SimSun"/>
          <w:sz w:val="24"/>
          <w:szCs w:val="24"/>
          <w:lang w:val="zh-CN"/>
        </w:rPr>
        <w:t>CFC-11</w:t>
      </w:r>
      <w:r w:rsidRPr="009B423C">
        <w:rPr>
          <w:rFonts w:eastAsia="SimSun"/>
          <w:sz w:val="24"/>
          <w:szCs w:val="24"/>
          <w:lang w:val="zh-CN"/>
        </w:rPr>
        <w:t>、</w:t>
      </w:r>
      <w:r w:rsidRPr="009B423C">
        <w:rPr>
          <w:rFonts w:eastAsia="SimSun"/>
          <w:sz w:val="24"/>
          <w:szCs w:val="24"/>
          <w:lang w:val="zh-CN"/>
        </w:rPr>
        <w:t>CFC-12</w:t>
      </w:r>
      <w:r w:rsidRPr="009B423C">
        <w:rPr>
          <w:rFonts w:eastAsia="SimSun"/>
          <w:sz w:val="24"/>
          <w:szCs w:val="24"/>
          <w:lang w:val="zh-CN"/>
        </w:rPr>
        <w:t>、</w:t>
      </w:r>
      <w:r w:rsidRPr="00C971E0">
        <w:rPr>
          <w:rFonts w:eastAsia="SimSun"/>
          <w:sz w:val="24"/>
          <w:szCs w:val="24"/>
          <w:lang w:val="zh-CN"/>
        </w:rPr>
        <w:t>HFC-22</w:t>
      </w:r>
      <w:r w:rsidRPr="009B423C">
        <w:rPr>
          <w:rFonts w:eastAsia="SimSun"/>
          <w:sz w:val="24"/>
          <w:szCs w:val="24"/>
          <w:lang w:val="zh-CN"/>
        </w:rPr>
        <w:t>和</w:t>
      </w:r>
      <w:r w:rsidRPr="009B423C">
        <w:rPr>
          <w:rFonts w:eastAsia="SimSun"/>
          <w:sz w:val="24"/>
          <w:szCs w:val="24"/>
          <w:lang w:val="zh-CN"/>
        </w:rPr>
        <w:t>HFC-134a</w:t>
      </w:r>
      <w:r w:rsidRPr="009B423C">
        <w:rPr>
          <w:rFonts w:eastAsia="SimSun"/>
          <w:sz w:val="24"/>
          <w:szCs w:val="24"/>
          <w:lang w:val="zh-CN"/>
        </w:rPr>
        <w:t>实现的销毁去除效率均超过</w:t>
      </w:r>
      <w:r w:rsidRPr="009B423C">
        <w:rPr>
          <w:rFonts w:eastAsia="SimSun"/>
          <w:sz w:val="24"/>
          <w:szCs w:val="24"/>
          <w:lang w:val="zh-CN"/>
        </w:rPr>
        <w:t>99.9%</w:t>
      </w:r>
      <w:r w:rsidRPr="009B423C">
        <w:rPr>
          <w:rFonts w:eastAsia="SimSun"/>
          <w:sz w:val="24"/>
          <w:szCs w:val="24"/>
          <w:lang w:val="zh-CN"/>
        </w:rPr>
        <w:t>，且至少高出一个数量级。评价还表明，该技术使二恶英和呋喃、酸性气体、颗粒物和一氧化碳的排放水平远低于评估小组设定的建议咨询阈值。据他所知，该销毁技术仅有少量应用，因为尚未实现全面商业化部署。仅对上述物质进行了测试，但未来可能还会对其他物质进行测试。加拿大代表指出，该销毁技术的设备体积非常小，占地约</w:t>
      </w:r>
      <w:r w:rsidRPr="009B423C">
        <w:rPr>
          <w:rFonts w:eastAsia="SimSun"/>
          <w:sz w:val="24"/>
          <w:szCs w:val="24"/>
          <w:lang w:val="zh-CN"/>
        </w:rPr>
        <w:t>15–25</w:t>
      </w:r>
      <w:r w:rsidRPr="009B423C">
        <w:rPr>
          <w:rFonts w:eastAsia="SimSun"/>
          <w:sz w:val="24"/>
          <w:szCs w:val="24"/>
          <w:lang w:val="zh-CN"/>
        </w:rPr>
        <w:t>平方米，而且其操作完全依靠电力，无需直接使用化石燃料。将蒸汽等离子体弧销毁技术增列至已获核准的销毁技术清单，将为缔约方根据《蒙特利尔议定书》处置报废受控物质提供另一种选择。该决定草案内容简单，属于行政性事项，遵循了将技术增列至清单的标准办法。核准该技术将使之用于销毁附件</w:t>
      </w:r>
      <w:r w:rsidRPr="009B423C">
        <w:rPr>
          <w:rFonts w:eastAsia="SimSun"/>
          <w:sz w:val="24"/>
          <w:szCs w:val="24"/>
          <w:lang w:val="zh-CN"/>
        </w:rPr>
        <w:t>A</w:t>
      </w:r>
      <w:r w:rsidRPr="009B423C">
        <w:rPr>
          <w:rFonts w:eastAsia="SimSun"/>
          <w:sz w:val="24"/>
          <w:szCs w:val="24"/>
          <w:lang w:val="zh-CN"/>
        </w:rPr>
        <w:t>第一类、附件</w:t>
      </w:r>
      <w:r w:rsidRPr="009B423C">
        <w:rPr>
          <w:rFonts w:eastAsia="SimSun"/>
          <w:sz w:val="24"/>
          <w:szCs w:val="24"/>
          <w:lang w:val="zh-CN"/>
        </w:rPr>
        <w:t>C</w:t>
      </w:r>
      <w:r w:rsidRPr="009B423C">
        <w:rPr>
          <w:rFonts w:eastAsia="SimSun"/>
          <w:sz w:val="24"/>
          <w:szCs w:val="24"/>
          <w:lang w:val="zh-CN"/>
        </w:rPr>
        <w:t>第一类和附件</w:t>
      </w:r>
      <w:r w:rsidRPr="009B423C">
        <w:rPr>
          <w:rFonts w:eastAsia="SimSun"/>
          <w:sz w:val="24"/>
          <w:szCs w:val="24"/>
          <w:lang w:val="zh-CN"/>
        </w:rPr>
        <w:t>F</w:t>
      </w:r>
      <w:r w:rsidRPr="009B423C">
        <w:rPr>
          <w:rFonts w:eastAsia="SimSun"/>
          <w:sz w:val="24"/>
          <w:szCs w:val="24"/>
          <w:lang w:val="zh-CN"/>
        </w:rPr>
        <w:t>第一类物质。该决定还将邀请缔约方继续向臭氧秘书处提交与销毁技术审查相关的资料。</w:t>
      </w:r>
    </w:p>
    <w:p w14:paraId="6B7DFFEE" w14:textId="76D8FD35"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代表们感谢加拿大提出的决定草案，并感谢技术和经济评估小组提供的与审查进程相关的信息及其建议将该技术增列至已获核准的销毁技术清单的结论。发言的代表普遍支持该决定草案。</w:t>
      </w:r>
    </w:p>
    <w:p w14:paraId="5BD03D07"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对为缔约方增加一种臭氧消耗物质销毁方案表示赞赏，但指出该技术的资本投入极高、能耗大，且其操作需要专门的技术知识。因此，若无多边基金提供充足的资金支持，用于承担资本支出成本、长期技术支持以及综合能力建设方案的费用，许多第</w:t>
      </w:r>
      <w:r w:rsidRPr="009B423C">
        <w:rPr>
          <w:rFonts w:eastAsia="SimSun"/>
          <w:sz w:val="24"/>
          <w:szCs w:val="24"/>
          <w:lang w:val="zh-CN"/>
        </w:rPr>
        <w:t>5</w:t>
      </w:r>
      <w:r w:rsidRPr="009B423C">
        <w:rPr>
          <w:rFonts w:eastAsia="SimSun"/>
          <w:sz w:val="24"/>
          <w:szCs w:val="24"/>
          <w:lang w:val="zh-CN"/>
        </w:rPr>
        <w:t>条缔约方将无法采用这项新技术。</w:t>
      </w:r>
    </w:p>
    <w:p w14:paraId="5EC22137"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建议在该决定草案列入一张表格作为其附件，供缔约方提供该决定草案所要求的信息时填写，从而确保以统一的方式提供信息。加拿大代表解释说，技术和经济评估小组将向缔约方提供指导意见，说明应向臭氧秘书处提交哪些具体信息以及如何提交。</w:t>
      </w:r>
    </w:p>
    <w:p w14:paraId="5881157E" w14:textId="5DBFA400"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工作组商定将载于本报告附件一</w:t>
      </w:r>
      <w:r w:rsidR="00EC670E">
        <w:rPr>
          <w:rFonts w:eastAsia="SimSun" w:hint="eastAsia"/>
          <w:sz w:val="24"/>
          <w:szCs w:val="24"/>
          <w:lang w:val="zh-CN"/>
        </w:rPr>
        <w:t>A</w:t>
      </w:r>
      <w:r w:rsidRPr="009B423C">
        <w:rPr>
          <w:rFonts w:eastAsia="SimSun"/>
          <w:sz w:val="24"/>
          <w:szCs w:val="24"/>
          <w:lang w:val="zh-CN"/>
        </w:rPr>
        <w:t>节的关于受控物质销毁技术的决定草案递交缔约方第三十八次会议供酌情通过。</w:t>
      </w:r>
    </w:p>
    <w:p w14:paraId="09455AC2" w14:textId="77776202"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lang w:eastAsia="zh-CN"/>
        </w:rPr>
      </w:pPr>
      <w:r w:rsidRPr="009B423C">
        <w:rPr>
          <w:rFonts w:eastAsia="SimHei"/>
          <w:bCs/>
          <w:sz w:val="32"/>
          <w:szCs w:val="32"/>
          <w:lang w:val="zh-CN" w:eastAsia="zh-CN"/>
        </w:rPr>
        <w:t>加强对《蒙特利尔议定书》所列受控物质的区域大气监测（第</w:t>
      </w:r>
      <w:r w:rsidRPr="009B423C">
        <w:rPr>
          <w:rFonts w:eastAsia="SimHei"/>
          <w:bCs/>
          <w:sz w:val="32"/>
          <w:szCs w:val="32"/>
          <w:lang w:val="zh-CN" w:eastAsia="zh-CN"/>
        </w:rPr>
        <w:t>XXXVII/1</w:t>
      </w:r>
      <w:r w:rsidRPr="009B423C">
        <w:rPr>
          <w:rFonts w:eastAsia="SimHei"/>
          <w:bCs/>
          <w:sz w:val="32"/>
          <w:szCs w:val="32"/>
          <w:lang w:val="zh-CN" w:eastAsia="zh-CN"/>
        </w:rPr>
        <w:t>号决定）</w:t>
      </w:r>
    </w:p>
    <w:p w14:paraId="5278233A" w14:textId="2C25873B"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共同主席在介绍该项目时回顾说，缔约方第三十七次会议在第</w:t>
      </w:r>
      <w:r w:rsidRPr="009B423C">
        <w:rPr>
          <w:rFonts w:eastAsia="SimSun"/>
          <w:sz w:val="24"/>
          <w:szCs w:val="24"/>
          <w:lang w:val="zh-CN"/>
        </w:rPr>
        <w:t>XXXVII/1</w:t>
      </w:r>
      <w:r w:rsidRPr="009B423C">
        <w:rPr>
          <w:rFonts w:eastAsia="SimSun"/>
          <w:sz w:val="24"/>
          <w:szCs w:val="24"/>
          <w:lang w:val="zh-CN"/>
        </w:rPr>
        <w:t>号决定中请臭氧秘书处向不限成员名额工作组第四十八次会议报告以下事项的进展和任何成果：评价为《保护臭氧层维也纳公约》所涉研究和系统性观测活动供资的普通信托基金所确定的区域和地点内的潜在场地是否适合监测受控物质排放；在这些潜在地点开展监测活动的可能后续步骤。关于该决定执行进展情况的信息载于秘书处关于供不限成员名额工作组第四十八次会议讨论的议题和提请其注意的资料的说明（</w:t>
      </w:r>
      <w:r w:rsidRPr="009B423C">
        <w:rPr>
          <w:rFonts w:eastAsia="SimSun"/>
          <w:sz w:val="24"/>
          <w:szCs w:val="24"/>
          <w:lang w:val="zh-CN"/>
        </w:rPr>
        <w:t>UNEP/</w:t>
      </w:r>
      <w:r w:rsidR="00431DA8">
        <w:rPr>
          <w:rFonts w:eastAsia="SimSun" w:hint="eastAsia"/>
          <w:sz w:val="24"/>
          <w:szCs w:val="24"/>
          <w:lang w:val="zh-CN"/>
        </w:rPr>
        <w:t xml:space="preserve"> </w:t>
      </w:r>
      <w:r w:rsidRPr="009B423C">
        <w:rPr>
          <w:rFonts w:eastAsia="SimSun"/>
          <w:sz w:val="24"/>
          <w:szCs w:val="24"/>
          <w:lang w:val="zh-CN"/>
        </w:rPr>
        <w:t>OzL.Pro.WG.1/48/2</w:t>
      </w:r>
      <w:r w:rsidRPr="009B423C">
        <w:rPr>
          <w:rFonts w:eastAsia="SimSun"/>
          <w:sz w:val="24"/>
          <w:szCs w:val="24"/>
          <w:lang w:val="zh-CN"/>
        </w:rPr>
        <w:t>）第</w:t>
      </w:r>
      <w:r w:rsidRPr="009B423C">
        <w:rPr>
          <w:rFonts w:eastAsia="SimSun"/>
          <w:sz w:val="24"/>
          <w:szCs w:val="24"/>
          <w:lang w:val="zh-CN"/>
        </w:rPr>
        <w:t>26–30</w:t>
      </w:r>
      <w:r w:rsidRPr="009B423C">
        <w:rPr>
          <w:rFonts w:eastAsia="SimSun"/>
          <w:sz w:val="24"/>
          <w:szCs w:val="24"/>
          <w:lang w:val="zh-CN"/>
        </w:rPr>
        <w:t>段及其增编（</w:t>
      </w:r>
      <w:r w:rsidRPr="009B423C">
        <w:rPr>
          <w:rFonts w:eastAsia="SimSun"/>
          <w:sz w:val="24"/>
          <w:szCs w:val="24"/>
          <w:lang w:val="zh-CN"/>
        </w:rPr>
        <w:t>UNEP/OzL.Pro.WG.1/48/2/</w:t>
      </w:r>
      <w:r w:rsidR="00431DA8">
        <w:rPr>
          <w:rFonts w:eastAsia="SimSun" w:hint="eastAsia"/>
          <w:sz w:val="24"/>
          <w:szCs w:val="24"/>
          <w:lang w:val="zh-CN"/>
        </w:rPr>
        <w:t xml:space="preserve"> </w:t>
      </w:r>
      <w:r w:rsidRPr="009B423C">
        <w:rPr>
          <w:rFonts w:eastAsia="SimSun"/>
          <w:sz w:val="24"/>
          <w:szCs w:val="24"/>
          <w:lang w:val="zh-CN"/>
        </w:rPr>
        <w:t>Add.1</w:t>
      </w:r>
      <w:r w:rsidRPr="009B423C">
        <w:rPr>
          <w:rFonts w:eastAsia="SimSun"/>
          <w:sz w:val="24"/>
          <w:szCs w:val="24"/>
          <w:lang w:val="zh-CN"/>
        </w:rPr>
        <w:t>）第</w:t>
      </w:r>
      <w:r w:rsidRPr="009B423C">
        <w:rPr>
          <w:rFonts w:eastAsia="SimSun"/>
          <w:sz w:val="24"/>
          <w:szCs w:val="24"/>
          <w:lang w:val="zh-CN"/>
        </w:rPr>
        <w:t>83–88</w:t>
      </w:r>
      <w:r w:rsidRPr="009B423C">
        <w:rPr>
          <w:rFonts w:eastAsia="SimSun"/>
          <w:sz w:val="24"/>
          <w:szCs w:val="24"/>
          <w:lang w:val="zh-CN"/>
        </w:rPr>
        <w:t>段。工作组还收到了一份资料文件，其中载有执行委员会第</w:t>
      </w:r>
      <w:r w:rsidRPr="009B423C">
        <w:rPr>
          <w:rFonts w:eastAsia="SimSun"/>
          <w:sz w:val="24"/>
          <w:szCs w:val="24"/>
          <w:lang w:val="zh-CN"/>
        </w:rPr>
        <w:t>98/62</w:t>
      </w:r>
      <w:r w:rsidRPr="009B423C">
        <w:rPr>
          <w:rFonts w:eastAsia="SimSun"/>
          <w:sz w:val="24"/>
          <w:szCs w:val="24"/>
          <w:lang w:val="zh-CN"/>
        </w:rPr>
        <w:t>号决定，内容涉及加强对《蒙特利尔议定书》所列受控物质的区域大气监测的试点项目（</w:t>
      </w:r>
      <w:r w:rsidRPr="009B423C">
        <w:rPr>
          <w:rFonts w:eastAsia="SimSun"/>
          <w:sz w:val="24"/>
          <w:szCs w:val="24"/>
          <w:lang w:val="zh-CN"/>
        </w:rPr>
        <w:t>UNEP/OzL.Pro.WG.1/48/INF/5</w:t>
      </w:r>
      <w:r w:rsidRPr="009B423C">
        <w:rPr>
          <w:rFonts w:eastAsia="SimSun"/>
          <w:sz w:val="24"/>
          <w:szCs w:val="24"/>
          <w:lang w:val="zh-CN"/>
        </w:rPr>
        <w:t>）。</w:t>
      </w:r>
    </w:p>
    <w:p w14:paraId="65EC4C9F" w14:textId="1C038658"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秘书处代表兼维也纳公约普通信托基金咨询委员会成员</w:t>
      </w:r>
      <w:r w:rsidRPr="009B423C">
        <w:rPr>
          <w:rFonts w:eastAsia="SimSun"/>
          <w:sz w:val="24"/>
          <w:szCs w:val="24"/>
          <w:lang w:val="zh-CN"/>
        </w:rPr>
        <w:t>Sophia Mylona</w:t>
      </w:r>
      <w:r w:rsidRPr="009B423C">
        <w:rPr>
          <w:rFonts w:eastAsia="SimSun"/>
          <w:sz w:val="24"/>
          <w:szCs w:val="24"/>
          <w:lang w:val="zh-CN"/>
        </w:rPr>
        <w:t>和咨询委员会共同主席</w:t>
      </w:r>
      <w:r w:rsidRPr="009B423C">
        <w:rPr>
          <w:rFonts w:eastAsia="SimSun"/>
          <w:sz w:val="24"/>
          <w:szCs w:val="24"/>
          <w:lang w:val="zh-CN"/>
        </w:rPr>
        <w:t>A.R.Ravishankara</w:t>
      </w:r>
      <w:r w:rsidRPr="009B423C">
        <w:rPr>
          <w:rFonts w:eastAsia="SimSun"/>
          <w:sz w:val="24"/>
          <w:szCs w:val="24"/>
          <w:lang w:val="zh-CN"/>
        </w:rPr>
        <w:t>介绍了在执行第</w:t>
      </w:r>
      <w:r w:rsidRPr="009B423C">
        <w:rPr>
          <w:rFonts w:eastAsia="SimSun"/>
          <w:sz w:val="24"/>
          <w:szCs w:val="24"/>
          <w:lang w:val="zh-CN"/>
        </w:rPr>
        <w:t>XXXVII/1</w:t>
      </w:r>
      <w:r w:rsidRPr="009B423C">
        <w:rPr>
          <w:rFonts w:eastAsia="SimSun"/>
          <w:sz w:val="24"/>
          <w:szCs w:val="24"/>
          <w:lang w:val="zh-CN"/>
        </w:rPr>
        <w:t>号决定方面取得的进展，包括开发在线费用计算工具、咨询委员会为填补受控物质区域大气监测方面的缺口而确定的</w:t>
      </w:r>
      <w:r w:rsidR="00EC670E">
        <w:rPr>
          <w:rFonts w:eastAsia="SimSun" w:hint="eastAsia"/>
          <w:sz w:val="24"/>
          <w:szCs w:val="24"/>
          <w:lang w:val="zh-CN"/>
        </w:rPr>
        <w:t>10</w:t>
      </w:r>
      <w:r w:rsidRPr="009B423C">
        <w:rPr>
          <w:rFonts w:eastAsia="SimSun"/>
          <w:sz w:val="24"/>
          <w:szCs w:val="24"/>
          <w:lang w:val="zh-CN"/>
        </w:rPr>
        <w:t>个区域和地点、继续评价五个优先区域和地点的适合性、在多边基金下设立一个供资窗口，以及新出现的考虑因素。</w:t>
      </w:r>
    </w:p>
    <w:p w14:paraId="354466D3"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讨论中，许多代表感谢咨询委员会和臭氧秘书处的专题介绍及其为推进该举措所持续开展的工作。几位代表（包括一位代表某组缔约方发言的代表）特别赞赏地指出，秘书处开发了一种费用计算工具，并鼓励缔约方测试该工具。</w:t>
      </w:r>
    </w:p>
    <w:p w14:paraId="1C29782F" w14:textId="4E45987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几位代表（包括一位代表某组缔约方发言的代表）回顾了该举措的起源，</w:t>
      </w:r>
      <w:r w:rsidRPr="009B423C">
        <w:rPr>
          <w:rFonts w:eastAsia="SimSun"/>
          <w:sz w:val="24"/>
          <w:szCs w:val="24"/>
          <w:lang w:val="zh-CN"/>
        </w:rPr>
        <w:t>2018</w:t>
      </w:r>
      <w:r w:rsidRPr="009B423C">
        <w:rPr>
          <w:rFonts w:eastAsia="SimSun"/>
          <w:sz w:val="24"/>
          <w:szCs w:val="24"/>
          <w:lang w:val="zh-CN"/>
        </w:rPr>
        <w:t>年，当时缔约方充分意识到大气监测对于保护《议定书》遗产和促进其有效执行至关重要；并赞赏地承认自那时以来取得的实质性进展。一位代表在总结仅过去两年取得的进展时回顾说，咨询委员会开展了观测系统模拟实验，并与各国政府进行了接触，一些政府已表示有意设立监测台站，欧洲联盟已承诺捐款</w:t>
      </w:r>
      <w:r w:rsidRPr="009B423C">
        <w:rPr>
          <w:rFonts w:eastAsia="SimSun"/>
          <w:sz w:val="24"/>
          <w:szCs w:val="24"/>
          <w:lang w:val="zh-CN"/>
        </w:rPr>
        <w:t>450</w:t>
      </w:r>
      <w:r w:rsidRPr="009B423C">
        <w:rPr>
          <w:rFonts w:eastAsia="SimSun"/>
          <w:sz w:val="24"/>
          <w:szCs w:val="24"/>
          <w:lang w:val="zh-CN"/>
        </w:rPr>
        <w:t>万欧元支持建立三个新监测台站。此外，多边基金执行委员会在最近一次会议上决定为三个旨在加强区域大气监测的试点项目设立一个</w:t>
      </w:r>
      <w:r w:rsidRPr="009B423C">
        <w:rPr>
          <w:rFonts w:eastAsia="SimSun"/>
          <w:sz w:val="24"/>
          <w:szCs w:val="24"/>
          <w:lang w:val="zh-CN"/>
        </w:rPr>
        <w:t>925</w:t>
      </w:r>
      <w:r w:rsidRPr="009B423C">
        <w:rPr>
          <w:rFonts w:eastAsia="SimSun"/>
          <w:sz w:val="24"/>
          <w:szCs w:val="24"/>
          <w:lang w:val="zh-CN"/>
        </w:rPr>
        <w:t>万美元的供资窗口，并</w:t>
      </w:r>
      <w:r w:rsidR="00EC670E">
        <w:rPr>
          <w:rFonts w:eastAsia="SimSun" w:hint="eastAsia"/>
          <w:sz w:val="24"/>
          <w:szCs w:val="24"/>
          <w:lang w:val="zh-CN"/>
        </w:rPr>
        <w:t>向供资窗口增加</w:t>
      </w:r>
      <w:r w:rsidRPr="009B423C">
        <w:rPr>
          <w:rFonts w:eastAsia="SimSun"/>
          <w:sz w:val="24"/>
          <w:szCs w:val="24"/>
          <w:lang w:val="zh-CN"/>
        </w:rPr>
        <w:t>180</w:t>
      </w:r>
      <w:r w:rsidRPr="009B423C">
        <w:rPr>
          <w:rFonts w:eastAsia="SimSun"/>
          <w:sz w:val="24"/>
          <w:szCs w:val="24"/>
          <w:lang w:val="zh-CN"/>
        </w:rPr>
        <w:t>万美元</w:t>
      </w:r>
      <w:r w:rsidR="00EC670E">
        <w:rPr>
          <w:rFonts w:eastAsia="SimSun" w:hint="eastAsia"/>
          <w:sz w:val="24"/>
          <w:szCs w:val="24"/>
          <w:lang w:val="zh-CN"/>
        </w:rPr>
        <w:t>的数额，</w:t>
      </w:r>
      <w:r w:rsidRPr="009B423C">
        <w:rPr>
          <w:rFonts w:eastAsia="SimSun"/>
          <w:sz w:val="24"/>
          <w:szCs w:val="24"/>
          <w:lang w:val="zh-CN"/>
        </w:rPr>
        <w:t>用于继续运营三个拟建立的大气监测台站，这笔资金</w:t>
      </w:r>
      <w:r w:rsidR="00EA4DFF" w:rsidRPr="009B423C">
        <w:rPr>
          <w:rFonts w:eastAsia="SimSun" w:hint="eastAsia"/>
          <w:sz w:val="24"/>
          <w:szCs w:val="24"/>
          <w:lang w:val="zh-CN"/>
        </w:rPr>
        <w:t>大概</w:t>
      </w:r>
      <w:r w:rsidRPr="009B423C">
        <w:rPr>
          <w:rFonts w:eastAsia="SimSun"/>
          <w:sz w:val="24"/>
          <w:szCs w:val="24"/>
          <w:lang w:val="zh-CN"/>
        </w:rPr>
        <w:t>归功于欧洲联盟的捐款。一些代表（包括一位代表某组缔约方发言的代表）提请注意执行委员会决定的其他积极方面，其中一位代表指出通过了关于加强区域大气监测试点项目的筹备和执行准则，而代表某组缔约方发言的代表欢迎将世界气象组织确定为新供资窗口下的多边基金执行机构。</w:t>
      </w:r>
    </w:p>
    <w:p w14:paraId="6102BA2E" w14:textId="4885ADCE" w:rsidR="00F922E9"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一位代表某组缔约方发言的代表借此机会介绍了其缔约方拟捐款的最新情况</w:t>
      </w:r>
      <w:r w:rsidR="00E21303" w:rsidRPr="009B423C">
        <w:rPr>
          <w:rFonts w:eastAsia="SimSun" w:hint="eastAsia"/>
          <w:sz w:val="24"/>
          <w:szCs w:val="24"/>
          <w:lang w:val="zh-CN"/>
        </w:rPr>
        <w:t>；</w:t>
      </w:r>
      <w:r w:rsidRPr="009B423C">
        <w:rPr>
          <w:rFonts w:eastAsia="SimSun"/>
          <w:sz w:val="24"/>
          <w:szCs w:val="24"/>
          <w:lang w:val="zh-CN"/>
        </w:rPr>
        <w:t>他回顾说，这笔捐款约为</w:t>
      </w:r>
      <w:r w:rsidRPr="009B423C">
        <w:rPr>
          <w:rFonts w:eastAsia="SimSun"/>
          <w:sz w:val="24"/>
          <w:szCs w:val="24"/>
          <w:lang w:val="zh-CN"/>
        </w:rPr>
        <w:t>520</w:t>
      </w:r>
      <w:r w:rsidRPr="009B423C">
        <w:rPr>
          <w:rFonts w:eastAsia="SimSun"/>
          <w:sz w:val="24"/>
          <w:szCs w:val="24"/>
          <w:lang w:val="zh-CN"/>
        </w:rPr>
        <w:t>万美元。尽管存在一些行政方面的延迟，但其缔约方希望在今年核准提供这笔资金。</w:t>
      </w:r>
    </w:p>
    <w:p w14:paraId="22332AB0" w14:textId="7C88404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几位代表对拟建立的新台站表达了一些关切。几位代表强调，需确保台站完全在自愿的基础上建立，并提供专项资金以确保台站的可持续性。一些代表呼吁进行明确的数据治理，其中一位代表明确指出，第</w:t>
      </w:r>
      <w:r w:rsidRPr="009B423C">
        <w:rPr>
          <w:rFonts w:eastAsia="SimSun"/>
          <w:sz w:val="24"/>
          <w:szCs w:val="24"/>
          <w:lang w:val="zh-CN"/>
        </w:rPr>
        <w:t>5</w:t>
      </w:r>
      <w:r w:rsidRPr="009B423C">
        <w:rPr>
          <w:rFonts w:eastAsia="SimSun"/>
          <w:sz w:val="24"/>
          <w:szCs w:val="24"/>
          <w:lang w:val="zh-CN"/>
        </w:rPr>
        <w:t>条缔约方设立的监测台站生成的所有原始和经过验证的数据应首先与国家臭氧机构共享。该代表告诫说，区域大气监测网络应严格用作当地科学能力建设和国内政策制定的支持性工具，而非用作外部遵约监管或执行机制。另一位代表建议，除了东道国外，还应获得采样覆盖区内所有国家对台站的授权。</w:t>
      </w:r>
    </w:p>
    <w:p w14:paraId="1FF97556" w14:textId="5EF7C7ED"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在讨论中，孟加拉国、巴西和墨西哥的代表均表示本国有意设立监测台站。另一位代表建议，应考虑在该举措下对现有监测台站（</w:t>
      </w:r>
      <w:r w:rsidR="00703FC0">
        <w:rPr>
          <w:rFonts w:eastAsia="SimSun" w:hint="eastAsia"/>
          <w:sz w:val="24"/>
          <w:szCs w:val="24"/>
          <w:lang w:val="zh-CN"/>
        </w:rPr>
        <w:t>例如</w:t>
      </w:r>
      <w:r w:rsidRPr="009B423C">
        <w:rPr>
          <w:rFonts w:eastAsia="SimSun"/>
          <w:sz w:val="24"/>
          <w:szCs w:val="24"/>
          <w:lang w:val="zh-CN"/>
        </w:rPr>
        <w:t>东非区域的监测台站）进行升级。</w:t>
      </w:r>
    </w:p>
    <w:p w14:paraId="40171E16" w14:textId="20CC5911"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针对下一步行动，一位代表某组缔约方发言的代表表示应进一步探讨缔约方的意向和潜在地点，并鼓励尚未表明建立监测台站意向的发展中国家表明意向。他还强调，随着该举措进入运作阶段，需要正式确定架构，包括定义咨询委员会的作用，并确保普通信托基金、多边基金和各执行机构流程的一致性。他宣布打算就此事提交一份决定草案供缔约方第三十八</w:t>
      </w:r>
      <w:r w:rsidRPr="009B423C">
        <w:rPr>
          <w:rFonts w:eastAsia="SimSun"/>
          <w:sz w:val="24"/>
          <w:szCs w:val="24"/>
          <w:lang w:val="zh-CN"/>
        </w:rPr>
        <w:lastRenderedPageBreak/>
        <w:t>次会议审议，并表示愿意在本次会议上和闭会期间与所有相关缔约方以及多边基金秘书处、臭氧秘书处、咨询委员会和世界气象组织进行非正式讨论，以期明确今后的行动方向。</w:t>
      </w:r>
    </w:p>
    <w:p w14:paraId="51EA1486"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其他代表还承认需澄清两种供资渠道之间的差异以及咨询委员会和执行委员会的职责，并需协调缔约方会议和执行委员会的工作。</w:t>
      </w:r>
    </w:p>
    <w:p w14:paraId="1C222D0D"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Ravishankara</w:t>
      </w:r>
      <w:r w:rsidRPr="009B423C">
        <w:rPr>
          <w:rFonts w:eastAsia="SimSun"/>
          <w:sz w:val="24"/>
          <w:szCs w:val="24"/>
          <w:lang w:val="zh-CN"/>
        </w:rPr>
        <w:t>先生在回答代表们的问题和评论意见时表示，咨询委员会随时准备尽一切努力帮助编写关于此事的决定草案。在回答关于潜在地点的问题时，他赞赏地指出，得益于欧洲联盟提供的试点项目资金，咨询委员会得以开展对孟加拉国博拉岛地点的测试。当地排放存在一些问题，但博拉岛的经验提供了大约</w:t>
      </w:r>
      <w:r w:rsidRPr="009B423C">
        <w:rPr>
          <w:rFonts w:eastAsia="SimSun"/>
          <w:sz w:val="24"/>
          <w:szCs w:val="24"/>
          <w:lang w:val="zh-CN"/>
        </w:rPr>
        <w:t>18</w:t>
      </w:r>
      <w:r w:rsidRPr="009B423C">
        <w:rPr>
          <w:rFonts w:eastAsia="SimSun"/>
          <w:sz w:val="24"/>
          <w:szCs w:val="24"/>
          <w:lang w:val="zh-CN"/>
        </w:rPr>
        <w:t>个月的数据，这极为有用，且孟加拉国还有其他潜在合适的地点需要调查。他强调，选址和测试的唯一目的是尽可能准确地量化排放量，以确保《蒙特利尔议定书》不脱离正轨，并且对各国来说仍然完全自愿。当被问及资金将涵盖哪些费用时，他建议缔约方尝试使用费用计算工具来帮助回答这一问题。他还指出，欧洲联盟的资金计划至少用于三个台站，这意味着根据具体成本情况，这笔资金可能覆盖更多的台站。为可持续性供资的问题也很重要，但很明显的一点是，一旦确定某个地点合适，缔约方就会希望尽可能保持其长期运行，这正是多边基金资源发挥作用的地方。针对在特定地点采样需获取所有受影响国家核准的建议，他提议由同一区域的国家共同商讨这一问题。关于受影响区域范围的粗略参考，他指出，根据盛行风的不同，该范围的半径为</w:t>
      </w:r>
      <w:r w:rsidRPr="009B423C">
        <w:rPr>
          <w:rFonts w:eastAsia="SimSun"/>
          <w:sz w:val="24"/>
          <w:szCs w:val="24"/>
          <w:lang w:val="zh-CN"/>
        </w:rPr>
        <w:t>500–</w:t>
      </w:r>
      <w:proofErr w:type="gramStart"/>
      <w:r w:rsidRPr="009B423C">
        <w:rPr>
          <w:rFonts w:eastAsia="SimSun"/>
          <w:sz w:val="24"/>
          <w:szCs w:val="24"/>
          <w:lang w:val="zh-CN"/>
        </w:rPr>
        <w:t>1 000</w:t>
      </w:r>
      <w:r w:rsidRPr="009B423C">
        <w:rPr>
          <w:rFonts w:eastAsia="SimSun"/>
          <w:sz w:val="24"/>
          <w:szCs w:val="24"/>
          <w:lang w:val="zh-CN"/>
        </w:rPr>
        <w:t>公里</w:t>
      </w:r>
      <w:proofErr w:type="gramEnd"/>
      <w:r w:rsidRPr="009B423C">
        <w:rPr>
          <w:rFonts w:eastAsia="SimSun"/>
          <w:sz w:val="24"/>
          <w:szCs w:val="24"/>
          <w:lang w:val="zh-CN"/>
        </w:rPr>
        <w:t>。最后，他赞赏地肯定中国正在设立许多台站，这些台站将覆盖中西亚区域。此外，中国政府正在建立一个校准设施，并表示有意在其他地方也开展类似工作；咨询委员会对此表示高度赞赏，并正在与中国的科学家就该举措进行协调。</w:t>
      </w:r>
    </w:p>
    <w:p w14:paraId="6627136D" w14:textId="3F9A0029"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Mylona</w:t>
      </w:r>
      <w:r w:rsidRPr="009B423C">
        <w:rPr>
          <w:rFonts w:eastAsia="SimSun"/>
          <w:sz w:val="24"/>
          <w:szCs w:val="24"/>
          <w:lang w:val="zh-CN"/>
        </w:rPr>
        <w:t>女士就优先地点作了进一步澄清，指出确定这些地点的依据是反映其检测区域排放量能力的观测系统模拟实验结果，以及排放模式、可用的基础设施和专门知识。因此，这些地点完全基于科学考量，尽管很明显的一点是，若未经相关国家政府的许可，任何工作都无法开展。她还回答了与世界气象组织合作的问题，指出多年来，在落实世界气象组织负责的臭氧和紫外线监测项目方面，咨询委员会与气象组织进行了良好的合作。在大气监测方面，她指出，臭氧秘书处、咨询委员会和世界气象组织及其温室气体科学咨询小组等相关小组之间需要进行更多讨论，以精简和更好地定义这种合作。</w:t>
      </w:r>
    </w:p>
    <w:p w14:paraId="04213649" w14:textId="2E197152"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根据讨论情况，工作组商定，缔约方将在本次会议间隙和闭会期间继续进行非正式讨论，包括就决定草案进行磋商，并将在缔约方第三十八次会议上继续进行讨论。</w:t>
      </w:r>
    </w:p>
    <w:p w14:paraId="44B76C57" w14:textId="45505418"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right="1655" w:hanging="851"/>
        <w:rPr>
          <w:rFonts w:eastAsia="SimHei"/>
          <w:sz w:val="32"/>
          <w:szCs w:val="32"/>
          <w:lang w:eastAsia="zh-CN"/>
        </w:rPr>
      </w:pPr>
      <w:r w:rsidRPr="009B423C">
        <w:rPr>
          <w:rFonts w:eastAsia="SimHei"/>
          <w:bCs/>
          <w:sz w:val="32"/>
          <w:szCs w:val="32"/>
          <w:lang w:val="zh-CN" w:eastAsia="zh-CN"/>
        </w:rPr>
        <w:t>确保《蒙特利尔议定书》业务的可行性（第</w:t>
      </w:r>
      <w:r w:rsidRPr="009B423C">
        <w:rPr>
          <w:rFonts w:eastAsia="SimHei"/>
          <w:bCs/>
          <w:sz w:val="32"/>
          <w:szCs w:val="32"/>
          <w:lang w:val="zh-CN" w:eastAsia="zh-CN"/>
        </w:rPr>
        <w:t>XXXVII/7</w:t>
      </w:r>
      <w:r w:rsidRPr="009B423C">
        <w:rPr>
          <w:rFonts w:eastAsia="SimHei"/>
          <w:bCs/>
          <w:sz w:val="32"/>
          <w:szCs w:val="32"/>
          <w:lang w:val="zh-CN" w:eastAsia="zh-CN"/>
        </w:rPr>
        <w:t>号决定）</w:t>
      </w:r>
    </w:p>
    <w:p w14:paraId="253D6477" w14:textId="58B41518"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共同主席在介绍该项目时回顾说，缔约方第三十七次会议在第</w:t>
      </w:r>
      <w:r w:rsidRPr="009B423C">
        <w:rPr>
          <w:rFonts w:eastAsia="SimSun"/>
          <w:sz w:val="24"/>
          <w:szCs w:val="24"/>
          <w:lang w:val="zh-CN"/>
        </w:rPr>
        <w:t>XXXVII/7</w:t>
      </w:r>
      <w:r w:rsidRPr="009B423C">
        <w:rPr>
          <w:rFonts w:eastAsia="SimSun"/>
          <w:sz w:val="24"/>
          <w:szCs w:val="24"/>
          <w:lang w:val="zh-CN"/>
        </w:rPr>
        <w:t>号决定中请臭氧秘书处编写一份报告，说明对缔约方会议以及不限成员名额工作组、履行委员会和各评估小组会议的时间安排、臭氧秘</w:t>
      </w:r>
      <w:r w:rsidRPr="009B423C">
        <w:rPr>
          <w:rFonts w:eastAsia="SimSun"/>
          <w:sz w:val="24"/>
          <w:szCs w:val="24"/>
          <w:lang w:val="zh-CN"/>
        </w:rPr>
        <w:lastRenderedPageBreak/>
        <w:t>书处支持和时长进行有效和高效更改以及对充资决定的时间安排进行更改的备选方案和相关费用估计数，供不限成员名额工作组第四十八次会议审议。该报告载于</w:t>
      </w:r>
      <w:r w:rsidRPr="009B423C">
        <w:rPr>
          <w:rFonts w:eastAsia="SimSun"/>
          <w:sz w:val="24"/>
          <w:szCs w:val="24"/>
          <w:lang w:val="zh-CN"/>
        </w:rPr>
        <w:t>UNEP/OzL.Pro.WG.1/48/4</w:t>
      </w:r>
      <w:r w:rsidRPr="009B423C">
        <w:rPr>
          <w:rFonts w:eastAsia="SimSun"/>
          <w:sz w:val="24"/>
          <w:szCs w:val="24"/>
          <w:lang w:val="zh-CN"/>
        </w:rPr>
        <w:t>号和</w:t>
      </w:r>
      <w:r w:rsidRPr="009B423C">
        <w:rPr>
          <w:rFonts w:eastAsia="SimSun"/>
          <w:sz w:val="24"/>
          <w:szCs w:val="24"/>
          <w:lang w:val="zh-CN"/>
        </w:rPr>
        <w:t>UNEP/OzL.Pro.WG.1/48/4/</w:t>
      </w:r>
      <w:r w:rsidR="00325E79">
        <w:rPr>
          <w:rFonts w:eastAsia="SimSun" w:hint="eastAsia"/>
          <w:sz w:val="24"/>
          <w:szCs w:val="24"/>
          <w:lang w:val="zh-CN"/>
        </w:rPr>
        <w:t xml:space="preserve"> </w:t>
      </w:r>
      <w:r w:rsidRPr="009B423C">
        <w:rPr>
          <w:rFonts w:eastAsia="SimSun"/>
          <w:sz w:val="24"/>
          <w:szCs w:val="24"/>
          <w:lang w:val="zh-CN"/>
        </w:rPr>
        <w:t>Add.1</w:t>
      </w:r>
      <w:r w:rsidRPr="009B423C">
        <w:rPr>
          <w:rFonts w:eastAsia="SimSun"/>
          <w:sz w:val="24"/>
          <w:szCs w:val="24"/>
          <w:lang w:val="zh-CN"/>
        </w:rPr>
        <w:t>号文件。</w:t>
      </w:r>
    </w:p>
    <w:p w14:paraId="3F43E7B9" w14:textId="0BB621F3"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在随后的讨论中，一位代表表示，他原本预计秘书处会简要介绍这些文件，以便指导讨论，但指出这并非必不可少。他指出，该文件的附录于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7</w:t>
      </w:r>
      <w:r w:rsidRPr="009B423C">
        <w:rPr>
          <w:rFonts w:eastAsia="SimSun"/>
          <w:sz w:val="24"/>
          <w:szCs w:val="24"/>
          <w:lang w:val="zh-CN"/>
        </w:rPr>
        <w:t>月</w:t>
      </w:r>
      <w:r w:rsidRPr="009B423C">
        <w:rPr>
          <w:rFonts w:eastAsia="SimSun"/>
          <w:sz w:val="24"/>
          <w:szCs w:val="24"/>
          <w:lang w:val="zh-CN"/>
        </w:rPr>
        <w:t>9</w:t>
      </w:r>
      <w:r w:rsidRPr="009B423C">
        <w:rPr>
          <w:rFonts w:eastAsia="SimSun"/>
          <w:sz w:val="24"/>
          <w:szCs w:val="24"/>
          <w:lang w:val="zh-CN"/>
        </w:rPr>
        <w:t>日才发布，并表示其代表团因此需要更多时间来仔细考虑。</w:t>
      </w:r>
    </w:p>
    <w:p w14:paraId="2B1D6A6B" w14:textId="67CE5A73"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发言感谢秘书处的报告，并强调他们一致认为《蒙特利尔议定书》系统应尽可能高效地运作。几位代表回顾说，《蒙特利尔议定书》经常被认为是历史上最有效的环境条约；一些代表认为，其成功是其久经考验的、包容性和高度互动的体制机制的直接结果。在此基础上，一些代表询问为何正在考虑改变当前流程，以及为何《蒙特利尔议定书》要像代表某组缔约方发言的一位代表所建议的那样，研究其他多边环境协定的流程以了解最佳做法。</w:t>
      </w:r>
    </w:p>
    <w:p w14:paraId="228845EB" w14:textId="7C9ED1F1"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所有发言的代表都表示，任何商定的变更都应保持有效性、透明度和所有缔约方的包容性参与，且不应损害《议定书》取得的成功。一些代表表示，由于《议定书》几十年来一直以同样的方式运作，现在是时候审查这些流程了，目的是提高效率，同时保持或加强《议定书》的影响，以适应不断变化的情况并确保该系统仍然胜任使命。几位代表表示，鉴于近年来现金储备的减少、总体资金的不确定性以及联合国正在进行的改革（包括联合国</w:t>
      </w:r>
      <w:r w:rsidRPr="009B423C">
        <w:rPr>
          <w:rFonts w:eastAsia="SimSun"/>
          <w:sz w:val="24"/>
          <w:szCs w:val="24"/>
          <w:lang w:val="zh-CN"/>
        </w:rPr>
        <w:t>80</w:t>
      </w:r>
      <w:r w:rsidRPr="009B423C">
        <w:rPr>
          <w:rFonts w:eastAsia="SimSun"/>
          <w:sz w:val="24"/>
          <w:szCs w:val="24"/>
          <w:lang w:val="zh-CN"/>
        </w:rPr>
        <w:t>周年倡议），如何确保《议定书》业务可行性的问题提出得很及时。</w:t>
      </w:r>
    </w:p>
    <w:p w14:paraId="60EF00F1" w14:textId="5628921E"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关于会议的正式形式问题，许多代表表示，虽然在线和混合形式可以节省资金，但这种形式对第</w:t>
      </w:r>
      <w:r w:rsidRPr="009B423C">
        <w:rPr>
          <w:rFonts w:eastAsia="SimSun"/>
          <w:sz w:val="24"/>
          <w:szCs w:val="24"/>
          <w:lang w:val="zh-CN"/>
        </w:rPr>
        <w:t>5</w:t>
      </w:r>
      <w:r w:rsidRPr="009B423C">
        <w:rPr>
          <w:rFonts w:eastAsia="SimSun"/>
          <w:sz w:val="24"/>
          <w:szCs w:val="24"/>
          <w:lang w:val="zh-CN"/>
        </w:rPr>
        <w:t>条缔约方的参与造成了障碍，这在冠状病毒疾病大流行期间成为明显问题。通信连接不可靠和时区差异使参会变得困难。此外，敏感谈判很难在线进行；会议间隙的非正式磋商是建立共识的关键。至于不限成员名额工作组的会议，正是在这些会议上深入探讨了所有技术问题，各代表团交流了经验，各区域组协调了立场，以便在缔约方会议以协商一致方式作出决定之前建立共同基础。一些代表表示赞同现场交流对某些问题的重要性，但表示混合形式已经很好地适应了信息共享目标。</w:t>
      </w:r>
    </w:p>
    <w:p w14:paraId="4C03FCB6" w14:textId="62BDCB1A"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几位代表强调需要解决捐款不足的问题，其中一位代表指出，即使大幅削减业务，如果收到的捐款仍为所需捐款的</w:t>
      </w:r>
      <w:r w:rsidRPr="009B423C">
        <w:rPr>
          <w:rFonts w:eastAsia="SimSun"/>
          <w:sz w:val="24"/>
          <w:szCs w:val="24"/>
          <w:lang w:val="zh-CN"/>
        </w:rPr>
        <w:t>70%</w:t>
      </w:r>
      <w:r w:rsidRPr="009B423C">
        <w:rPr>
          <w:rFonts w:eastAsia="SimSun"/>
          <w:sz w:val="24"/>
          <w:szCs w:val="24"/>
          <w:lang w:val="zh-CN"/>
        </w:rPr>
        <w:t>，信托基金余额仍将面临风险。他说，不应将《蒙特利尔议定书》运作的结构性改变视为解决捐款不足问题的替代办法。几位代表（包括一位代表某组缔约方发言的代表）强调了所有缔约方履行其财务义务的重要性，其中一位代表要求缔约方考虑增加捐款。另一位代表支持秘书处的提议，即缔约方的捐款应与任何特定年份的预算相匹配。一位代表指出，秘书处使用的假设是将收到约</w:t>
      </w:r>
      <w:r w:rsidRPr="009B423C">
        <w:rPr>
          <w:rFonts w:eastAsia="SimSun"/>
          <w:sz w:val="24"/>
          <w:szCs w:val="24"/>
          <w:lang w:val="zh-CN"/>
        </w:rPr>
        <w:t>75%</w:t>
      </w:r>
      <w:r w:rsidRPr="009B423C">
        <w:rPr>
          <w:rFonts w:eastAsia="SimSun"/>
          <w:sz w:val="24"/>
          <w:szCs w:val="24"/>
          <w:lang w:val="zh-CN"/>
        </w:rPr>
        <w:t>的捐款，但这种假设提供不了任何保证。未来的收入很难预测。另一位</w:t>
      </w:r>
      <w:r w:rsidR="00703FC0">
        <w:rPr>
          <w:rFonts w:eastAsia="SimSun" w:hint="eastAsia"/>
          <w:sz w:val="24"/>
          <w:szCs w:val="24"/>
          <w:lang w:val="zh-CN"/>
        </w:rPr>
        <w:t>代表</w:t>
      </w:r>
      <w:r w:rsidRPr="009B423C">
        <w:rPr>
          <w:rFonts w:eastAsia="SimSun"/>
          <w:sz w:val="24"/>
          <w:szCs w:val="24"/>
          <w:lang w:val="zh-CN"/>
        </w:rPr>
        <w:t>表示，现金储备的减少有几个原因：缔约方决定维持捐款额度不变，并提取现金储备以弥补预算和捐款之间的差额；一些缔约方尚未向蒙特利</w:t>
      </w:r>
      <w:r w:rsidRPr="009B423C">
        <w:rPr>
          <w:rFonts w:eastAsia="SimSun"/>
          <w:sz w:val="24"/>
          <w:szCs w:val="24"/>
          <w:lang w:val="zh-CN"/>
        </w:rPr>
        <w:lastRenderedPageBreak/>
        <w:t>尔议定书和维也纳公约信托基金提供所需捐款；除了经常预算资助的活动之外，各方还愿意将现金储备用于额外的活动。</w:t>
      </w:r>
    </w:p>
    <w:p w14:paraId="50029FD1" w14:textId="0AF3FF75"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会议频率，几位代表表示，他们不同意将缔约方会议改为两年一次的提议。几位代表（包括一位代表某组缔约方发言的代表）表示，仍有大量正在进行的工作或问题需要应对，包括《基加利修正》的执行、与排放相关的谈判、审议各评估小组的报告和建议、非法贸易问题、大气监测、持续排放和新出现的问题。此外，延长缔约方会议之间的间隔可能会导致关键问题方面的工作积压，并可能导致通过履行委员会解决紧迫的时间敏感性合规问题的努力出现延误。另一位</w:t>
      </w:r>
      <w:r w:rsidR="00703FC0">
        <w:rPr>
          <w:rFonts w:eastAsia="SimSun" w:hint="eastAsia"/>
          <w:sz w:val="24"/>
          <w:szCs w:val="24"/>
          <w:lang w:val="zh-CN"/>
        </w:rPr>
        <w:t>代表</w:t>
      </w:r>
      <w:r w:rsidRPr="009B423C">
        <w:rPr>
          <w:rFonts w:eastAsia="SimSun"/>
          <w:sz w:val="24"/>
          <w:szCs w:val="24"/>
          <w:lang w:val="zh-CN"/>
        </w:rPr>
        <w:t>指出，一两年的时间不足以考虑所作出的一些决定的影响。一些代表表示，如果降低缔约方会议的频率，可能会导致为了作出紧急决定而举行更多的缔约方特别会议，这将增加财务状况的不确定性。一位代表指出，减少会议频率将减少差旅，从环境角度来看会有积极影响。</w:t>
      </w:r>
    </w:p>
    <w:p w14:paraId="0FB9FCA1"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关于对多边基金和评估小组周期的拟议修改，一些代表强调需要优先考虑确保第</w:t>
      </w:r>
      <w:r w:rsidRPr="009B423C">
        <w:rPr>
          <w:rFonts w:eastAsia="SimSun"/>
          <w:sz w:val="24"/>
          <w:szCs w:val="24"/>
          <w:lang w:val="zh-CN"/>
        </w:rPr>
        <w:t>5</w:t>
      </w:r>
      <w:r w:rsidRPr="009B423C">
        <w:rPr>
          <w:rFonts w:eastAsia="SimSun"/>
          <w:sz w:val="24"/>
          <w:szCs w:val="24"/>
          <w:lang w:val="zh-CN"/>
        </w:rPr>
        <w:t>条缔约方的资金需求得到准确评估和不受干扰的满足，并且获取最新科学技术信息以供决策的途径不受限制。各评估小组的报告就第</w:t>
      </w:r>
      <w:r w:rsidRPr="009B423C">
        <w:rPr>
          <w:rFonts w:eastAsia="SimSun"/>
          <w:sz w:val="24"/>
          <w:szCs w:val="24"/>
          <w:lang w:val="zh-CN"/>
        </w:rPr>
        <w:t>5</w:t>
      </w:r>
      <w:r w:rsidRPr="009B423C">
        <w:rPr>
          <w:rFonts w:eastAsia="SimSun"/>
          <w:sz w:val="24"/>
          <w:szCs w:val="24"/>
          <w:lang w:val="zh-CN"/>
        </w:rPr>
        <w:t>条缔约方的需求提出了预警。</w:t>
      </w:r>
    </w:p>
    <w:p w14:paraId="6D1D6EF2" w14:textId="4D9BE4C0"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缔约方强调，必须进一步了解所提出的各种备选方案，或许可以为此在联络小组中进行讨论并与秘书处开展进一步讨论，而且必须充分利用本次会议的机会来探讨想法、提出问题，并确保正确理解各种惠益、相关成本和意外后果。他们认为，秘书处的</w:t>
      </w:r>
      <w:r w:rsidR="00703FC0">
        <w:rPr>
          <w:rFonts w:eastAsia="SimSun" w:hint="eastAsia"/>
          <w:sz w:val="24"/>
          <w:szCs w:val="24"/>
          <w:lang w:val="zh-CN"/>
        </w:rPr>
        <w:t>报告</w:t>
      </w:r>
      <w:r w:rsidRPr="009B423C">
        <w:rPr>
          <w:rFonts w:eastAsia="SimSun"/>
          <w:sz w:val="24"/>
          <w:szCs w:val="24"/>
          <w:lang w:val="zh-CN"/>
        </w:rPr>
        <w:t>和全体讨论期间提出的提案是联络小组进一步讨论的良好基础。</w:t>
      </w:r>
    </w:p>
    <w:p w14:paraId="1D363E8A"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一位代表表示，虽然秘书处提出的设想方案中有许多有趣的想法，但他认为这些想法是供考虑的单独措施而不是一揽子措施，因此他无法完全支持文件中的设想方案</w:t>
      </w:r>
      <w:r w:rsidRPr="009B423C">
        <w:rPr>
          <w:rFonts w:eastAsia="SimSun"/>
          <w:sz w:val="24"/>
          <w:szCs w:val="24"/>
          <w:lang w:val="zh-CN"/>
        </w:rPr>
        <w:t>B</w:t>
      </w:r>
      <w:r w:rsidRPr="009B423C">
        <w:rPr>
          <w:rFonts w:eastAsia="SimSun"/>
          <w:sz w:val="24"/>
          <w:szCs w:val="24"/>
          <w:lang w:val="zh-CN"/>
        </w:rPr>
        <w:t>或设想方案</w:t>
      </w:r>
      <w:r w:rsidRPr="009B423C">
        <w:rPr>
          <w:rFonts w:eastAsia="SimSun"/>
          <w:sz w:val="24"/>
          <w:szCs w:val="24"/>
          <w:lang w:val="zh-CN"/>
        </w:rPr>
        <w:t>C</w:t>
      </w:r>
      <w:r w:rsidRPr="009B423C">
        <w:rPr>
          <w:rFonts w:eastAsia="SimSun"/>
          <w:sz w:val="24"/>
          <w:szCs w:val="24"/>
          <w:lang w:val="zh-CN"/>
        </w:rPr>
        <w:t>；另一位代表对此表示赞同。</w:t>
      </w:r>
    </w:p>
    <w:p w14:paraId="4509FAF1" w14:textId="5B394032"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提到了他们希望得到进一步考虑的要素。其中包括降低多边基金的充资频率，可能每四年补充一次；降低缔约方会议的频率；缩短不限成员名额工作组的会议；降低各评估小组、技术和经济评估小组的各技术选择委员会以及履行委员会会议的成本，从而提高其效率；减少各评估小组的工作量，包括每隔一年发布评估小组进度报告；减少出版物</w:t>
      </w:r>
      <w:r w:rsidR="00703FC0">
        <w:rPr>
          <w:rFonts w:eastAsia="SimSun" w:hint="eastAsia"/>
          <w:sz w:val="24"/>
          <w:szCs w:val="24"/>
          <w:lang w:val="zh-CN"/>
        </w:rPr>
        <w:t>数量</w:t>
      </w:r>
      <w:r w:rsidRPr="009B423C">
        <w:rPr>
          <w:rFonts w:eastAsia="SimSun"/>
          <w:sz w:val="24"/>
          <w:szCs w:val="24"/>
          <w:lang w:val="zh-CN"/>
        </w:rPr>
        <w:t>、精简文件并更多使用数字文件管理；改进混合工具的使用，但不是取代谈判流程；尽量减少一些差旅相关费用，前提是此类措施不损害参与。一位代表表示，如果就任何调整达成一致，则应以试行方式进行调整，以便缔约方评估影响。</w:t>
      </w:r>
    </w:p>
    <w:p w14:paraId="2AECBBFB"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另一位代表说，不妨对《蒙特利尔议定书》的财务细则进行技术和法律审查，以确定这些细则能否继续为应对已查明的财务风险提供最适当的框架。他还提议请秘书处根据其报告中的业务和预算设想方案，就财务细则中可能需要审查或可能更新的内容起草技术意见和建议，但这不影响未来讨论的结果。</w:t>
      </w:r>
    </w:p>
    <w:p w14:paraId="56F44A26" w14:textId="77777777" w:rsidR="00E76D49" w:rsidRPr="009B423C" w:rsidRDefault="00E76D4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不限成员名额工作组商定设立一个联络小组</w:t>
      </w:r>
      <w:r w:rsidRPr="009B423C">
        <w:rPr>
          <w:rFonts w:eastAsia="SimSun"/>
          <w:sz w:val="24"/>
          <w:szCs w:val="24"/>
        </w:rPr>
        <w:t>，</w:t>
      </w:r>
      <w:r w:rsidRPr="009B423C">
        <w:rPr>
          <w:rFonts w:eastAsia="SimSun"/>
          <w:sz w:val="24"/>
          <w:szCs w:val="24"/>
          <w:lang w:val="zh-CN"/>
        </w:rPr>
        <w:t>由</w:t>
      </w:r>
      <w:r w:rsidRPr="009B423C">
        <w:rPr>
          <w:rFonts w:eastAsia="SimSun"/>
          <w:sz w:val="24"/>
          <w:szCs w:val="24"/>
        </w:rPr>
        <w:t>Alessandro Peru</w:t>
      </w:r>
      <w:r w:rsidRPr="009B423C">
        <w:rPr>
          <w:rFonts w:eastAsia="SimSun"/>
          <w:sz w:val="24"/>
          <w:szCs w:val="24"/>
        </w:rPr>
        <w:t>（</w:t>
      </w:r>
      <w:r w:rsidRPr="009B423C">
        <w:rPr>
          <w:rFonts w:eastAsia="SimSun"/>
          <w:sz w:val="24"/>
          <w:szCs w:val="24"/>
          <w:lang w:val="zh-CN"/>
        </w:rPr>
        <w:t>意大利</w:t>
      </w:r>
      <w:r w:rsidRPr="009B423C">
        <w:rPr>
          <w:rFonts w:eastAsia="SimSun"/>
          <w:sz w:val="24"/>
          <w:szCs w:val="24"/>
        </w:rPr>
        <w:t>）</w:t>
      </w:r>
      <w:r w:rsidRPr="009B423C">
        <w:rPr>
          <w:rFonts w:eastAsia="SimSun"/>
          <w:sz w:val="24"/>
          <w:szCs w:val="24"/>
          <w:lang w:val="zh-CN"/>
        </w:rPr>
        <w:t>和</w:t>
      </w:r>
      <w:r w:rsidRPr="009B423C">
        <w:rPr>
          <w:rFonts w:eastAsia="SimSun"/>
          <w:sz w:val="24"/>
          <w:szCs w:val="24"/>
        </w:rPr>
        <w:t>Sergio Merino</w:t>
      </w:r>
      <w:r w:rsidRPr="009B423C">
        <w:rPr>
          <w:rFonts w:eastAsia="SimSun"/>
          <w:sz w:val="24"/>
          <w:szCs w:val="24"/>
        </w:rPr>
        <w:t>（</w:t>
      </w:r>
      <w:r w:rsidRPr="009B423C">
        <w:rPr>
          <w:rFonts w:eastAsia="SimSun"/>
          <w:sz w:val="24"/>
          <w:szCs w:val="24"/>
          <w:lang w:val="zh-CN"/>
        </w:rPr>
        <w:t>墨西哥</w:t>
      </w:r>
      <w:r w:rsidRPr="009B423C">
        <w:rPr>
          <w:rFonts w:eastAsia="SimSun"/>
          <w:sz w:val="24"/>
          <w:szCs w:val="24"/>
        </w:rPr>
        <w:t>）</w:t>
      </w:r>
      <w:r w:rsidRPr="009B423C">
        <w:rPr>
          <w:rFonts w:eastAsia="SimSun"/>
          <w:sz w:val="24"/>
          <w:szCs w:val="24"/>
          <w:lang w:val="zh-CN"/>
        </w:rPr>
        <w:t>担任共同主席</w:t>
      </w:r>
      <w:r w:rsidRPr="009B423C">
        <w:rPr>
          <w:rFonts w:eastAsia="SimSun"/>
          <w:sz w:val="24"/>
          <w:szCs w:val="24"/>
        </w:rPr>
        <w:t>，</w:t>
      </w:r>
      <w:r w:rsidRPr="009B423C">
        <w:rPr>
          <w:rFonts w:eastAsia="SimSun"/>
          <w:sz w:val="24"/>
          <w:szCs w:val="24"/>
          <w:lang w:val="zh-CN"/>
        </w:rPr>
        <w:t>以更深入地讨论</w:t>
      </w:r>
      <w:r w:rsidRPr="009B423C">
        <w:rPr>
          <w:rFonts w:eastAsia="SimSun"/>
          <w:sz w:val="24"/>
          <w:szCs w:val="24"/>
        </w:rPr>
        <w:lastRenderedPageBreak/>
        <w:t>UNEP/OzL.Pro.WG.1/48/4</w:t>
      </w:r>
      <w:r w:rsidRPr="009B423C">
        <w:rPr>
          <w:rFonts w:eastAsia="SimSun"/>
          <w:sz w:val="24"/>
          <w:szCs w:val="24"/>
          <w:lang w:val="zh-CN"/>
        </w:rPr>
        <w:t>号和</w:t>
      </w:r>
      <w:r w:rsidRPr="009B423C">
        <w:rPr>
          <w:rFonts w:eastAsia="SimSun"/>
          <w:sz w:val="24"/>
          <w:szCs w:val="24"/>
        </w:rPr>
        <w:t>UNEP/OzL.Pro.WG.1/48/4/Add.1</w:t>
      </w:r>
      <w:r w:rsidRPr="009B423C">
        <w:rPr>
          <w:rFonts w:eastAsia="SimSun"/>
          <w:sz w:val="24"/>
          <w:szCs w:val="24"/>
          <w:lang w:val="zh-CN"/>
        </w:rPr>
        <w:t>号文件以及全体讨论期间提出的提案。</w:t>
      </w:r>
    </w:p>
    <w:p w14:paraId="363C9D4C" w14:textId="450586C2" w:rsidR="002150BE" w:rsidRPr="009B423C" w:rsidRDefault="002150BE">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随后，联络小组共同主持人报告称，小组已结束讨论。秘书处汇编了与会者在讨论期间提出的所有问题的清单，并表示愿意在</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8</w:t>
      </w:r>
      <w:r w:rsidRPr="009B423C">
        <w:rPr>
          <w:rFonts w:eastAsia="SimSun"/>
          <w:sz w:val="24"/>
          <w:szCs w:val="24"/>
          <w:lang w:val="zh-CN"/>
        </w:rPr>
        <w:t>月</w:t>
      </w:r>
      <w:r w:rsidRPr="009B423C">
        <w:rPr>
          <w:rFonts w:eastAsia="SimSun"/>
          <w:sz w:val="24"/>
          <w:szCs w:val="24"/>
          <w:lang w:val="zh-CN"/>
        </w:rPr>
        <w:t>31</w:t>
      </w:r>
      <w:r w:rsidRPr="009B423C">
        <w:rPr>
          <w:rFonts w:eastAsia="SimSun"/>
          <w:sz w:val="24"/>
          <w:szCs w:val="24"/>
          <w:lang w:val="zh-CN"/>
        </w:rPr>
        <w:t>日之前继续通过电子邮件</w:t>
      </w:r>
      <w:r w:rsidRPr="009B423C">
        <w:rPr>
          <w:rStyle w:val="FootnoteReference"/>
          <w:spacing w:val="0"/>
          <w:w w:val="100"/>
          <w:position w:val="0"/>
          <w:sz w:val="24"/>
          <w:szCs w:val="24"/>
          <w:lang w:val="zh-CN"/>
        </w:rPr>
        <w:footnoteReference w:id="2"/>
      </w:r>
      <w:r w:rsidRPr="009B423C">
        <w:rPr>
          <w:rFonts w:eastAsia="SimSun"/>
          <w:sz w:val="24"/>
          <w:szCs w:val="24"/>
          <w:lang w:val="zh-CN"/>
        </w:rPr>
        <w:t>接收问题，将以此为基础补充其报告中提供的信息。问题汇编载于本报告附件二第二节。</w:t>
      </w:r>
    </w:p>
    <w:p w14:paraId="4E6B4E8A" w14:textId="70A36AE5" w:rsidR="002150BE" w:rsidRPr="009B423C" w:rsidRDefault="002150BE">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因此，工作组商定邀请缔约方至迟于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8</w:t>
      </w:r>
      <w:r w:rsidRPr="009B423C">
        <w:rPr>
          <w:rFonts w:eastAsia="SimSun"/>
          <w:sz w:val="24"/>
          <w:szCs w:val="24"/>
          <w:lang w:val="zh-CN"/>
        </w:rPr>
        <w:t>月</w:t>
      </w:r>
      <w:r w:rsidRPr="009B423C">
        <w:rPr>
          <w:rFonts w:eastAsia="SimSun"/>
          <w:sz w:val="24"/>
          <w:szCs w:val="24"/>
          <w:lang w:val="zh-CN"/>
        </w:rPr>
        <w:t>31</w:t>
      </w:r>
      <w:r w:rsidRPr="009B423C">
        <w:rPr>
          <w:rFonts w:eastAsia="SimSun"/>
          <w:sz w:val="24"/>
          <w:szCs w:val="24"/>
          <w:lang w:val="zh-CN"/>
        </w:rPr>
        <w:t>日提交更多问题，并</w:t>
      </w:r>
      <w:r w:rsidR="00703FC0">
        <w:rPr>
          <w:rFonts w:eastAsia="SimSun" w:hint="eastAsia"/>
          <w:sz w:val="24"/>
          <w:szCs w:val="24"/>
          <w:lang w:val="zh-CN"/>
        </w:rPr>
        <w:t>参考</w:t>
      </w:r>
      <w:r w:rsidRPr="009B423C">
        <w:rPr>
          <w:rFonts w:eastAsia="SimSun"/>
          <w:sz w:val="24"/>
          <w:szCs w:val="24"/>
          <w:lang w:val="zh-CN"/>
        </w:rPr>
        <w:t>臭氧秘书处拟编写的补充报告，在缔约方第三十八次会议上继续讨论确保《蒙特利尔议定书》业务的可行性。</w:t>
      </w:r>
    </w:p>
    <w:p w14:paraId="4BC4115C" w14:textId="1C5EEBA4"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lang w:eastAsia="zh-CN"/>
        </w:rPr>
      </w:pPr>
      <w:r w:rsidRPr="009B423C">
        <w:rPr>
          <w:rFonts w:eastAsia="SimHei"/>
          <w:bCs/>
          <w:sz w:val="32"/>
          <w:szCs w:val="32"/>
          <w:lang w:val="zh-CN" w:eastAsia="zh-CN"/>
        </w:rPr>
        <w:t>进一步加强蒙特利尔议定书各机构（</w:t>
      </w:r>
      <w:r w:rsidRPr="009B423C">
        <w:rPr>
          <w:rFonts w:eastAsia="SimHei"/>
          <w:bCs/>
          <w:sz w:val="32"/>
          <w:szCs w:val="32"/>
          <w:lang w:val="zh-CN" w:eastAsia="zh-CN"/>
        </w:rPr>
        <w:t>UNEP/OzL.Pro.37/9</w:t>
      </w:r>
      <w:r w:rsidRPr="009B423C">
        <w:rPr>
          <w:rFonts w:eastAsia="SimHei"/>
          <w:bCs/>
          <w:sz w:val="32"/>
          <w:szCs w:val="32"/>
          <w:lang w:val="zh-CN" w:eastAsia="zh-CN"/>
        </w:rPr>
        <w:t>，第</w:t>
      </w:r>
      <w:r w:rsidRPr="009B423C">
        <w:rPr>
          <w:rFonts w:eastAsia="SimHei"/>
          <w:bCs/>
          <w:sz w:val="32"/>
          <w:szCs w:val="32"/>
          <w:lang w:val="zh-CN" w:eastAsia="zh-CN"/>
        </w:rPr>
        <w:t>166</w:t>
      </w:r>
      <w:r w:rsidRPr="009B423C">
        <w:rPr>
          <w:rFonts w:eastAsia="SimHei"/>
          <w:bCs/>
          <w:sz w:val="32"/>
          <w:szCs w:val="32"/>
          <w:lang w:val="zh-CN" w:eastAsia="zh-CN"/>
        </w:rPr>
        <w:t>段）</w:t>
      </w:r>
    </w:p>
    <w:p w14:paraId="567BAEEE"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0C7C3F">
        <w:rPr>
          <w:rFonts w:eastAsia="SimSun"/>
          <w:spacing w:val="4"/>
          <w:sz w:val="24"/>
          <w:szCs w:val="24"/>
          <w:lang w:val="zh-CN"/>
        </w:rPr>
        <w:t>共同主席在介绍该项目时回顾说，缔约方第三十七次会议设立了一个非正式小组，负责澄清该次会议提出的一项决定草案以及在缔约方第三十七</w:t>
      </w:r>
      <w:r w:rsidRPr="009B423C">
        <w:rPr>
          <w:rFonts w:eastAsia="SimSun"/>
          <w:sz w:val="24"/>
          <w:szCs w:val="24"/>
          <w:lang w:val="zh-CN"/>
        </w:rPr>
        <w:t>次会议之前召开的关于促进执行《蒙特利尔议定书》的缔约方非正式会议期间提出的其他关键问题，并就此交流意见。代表们表示有意就非正式会议的成果继续进行对话，且缔约方商定将该事项纳入本次会议的议程。</w:t>
      </w:r>
    </w:p>
    <w:p w14:paraId="61F2C9E2" w14:textId="2F883650"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除了非正式会议成果摘要（</w:t>
      </w:r>
      <w:r w:rsidRPr="009B423C">
        <w:rPr>
          <w:rFonts w:eastAsia="SimSun"/>
          <w:sz w:val="24"/>
          <w:szCs w:val="24"/>
          <w:lang w:val="zh-CN"/>
        </w:rPr>
        <w:t>UNEP/OzL.Pro.37/7</w:t>
      </w:r>
      <w:r w:rsidRPr="009B423C">
        <w:rPr>
          <w:rFonts w:eastAsia="SimSun"/>
          <w:sz w:val="24"/>
          <w:szCs w:val="24"/>
          <w:lang w:val="zh-CN"/>
        </w:rPr>
        <w:t>）外，缔约方还收到了缔约方提供的关于非法贸易行为以及各国主管部门为查明和处理此类案件而采取的办法的信息汇编（</w:t>
      </w:r>
      <w:r w:rsidRPr="009B423C">
        <w:rPr>
          <w:rFonts w:eastAsia="SimSun"/>
          <w:sz w:val="24"/>
          <w:szCs w:val="24"/>
          <w:lang w:val="zh-CN"/>
        </w:rPr>
        <w:t>UNEP/OzL.</w:t>
      </w:r>
      <w:r w:rsidR="00703FC0">
        <w:rPr>
          <w:rFonts w:eastAsia="SimSun" w:hint="eastAsia"/>
          <w:sz w:val="24"/>
          <w:szCs w:val="24"/>
          <w:lang w:val="zh-CN"/>
        </w:rPr>
        <w:t>Pro.</w:t>
      </w:r>
      <w:r w:rsidRPr="009B423C">
        <w:rPr>
          <w:rFonts w:eastAsia="SimSun"/>
          <w:sz w:val="24"/>
          <w:szCs w:val="24"/>
          <w:lang w:val="zh-CN"/>
        </w:rPr>
        <w:t>WG.1/48/3</w:t>
      </w:r>
      <w:r w:rsidRPr="009B423C">
        <w:rPr>
          <w:rFonts w:eastAsia="SimSun"/>
          <w:sz w:val="24"/>
          <w:szCs w:val="24"/>
          <w:lang w:val="zh-CN"/>
        </w:rPr>
        <w:t>），其中更新了提供给不限成员名额工作组第四十七次会议的类似汇编，并纳入了自</w:t>
      </w:r>
      <w:r w:rsidRPr="009B423C">
        <w:rPr>
          <w:rFonts w:eastAsia="SimSun"/>
          <w:sz w:val="24"/>
          <w:szCs w:val="24"/>
          <w:lang w:val="zh-CN"/>
        </w:rPr>
        <w:t>2025</w:t>
      </w:r>
      <w:r w:rsidRPr="009B423C">
        <w:rPr>
          <w:rFonts w:eastAsia="SimSun"/>
          <w:sz w:val="24"/>
          <w:szCs w:val="24"/>
          <w:lang w:val="zh-CN"/>
        </w:rPr>
        <w:t>年</w:t>
      </w:r>
      <w:r w:rsidRPr="009B423C">
        <w:rPr>
          <w:rFonts w:eastAsia="SimSun"/>
          <w:sz w:val="24"/>
          <w:szCs w:val="24"/>
          <w:lang w:val="zh-CN"/>
        </w:rPr>
        <w:t>4</w:t>
      </w:r>
      <w:r w:rsidRPr="009B423C">
        <w:rPr>
          <w:rFonts w:eastAsia="SimSun"/>
          <w:sz w:val="24"/>
          <w:szCs w:val="24"/>
          <w:lang w:val="zh-CN"/>
        </w:rPr>
        <w:t>月</w:t>
      </w:r>
      <w:r w:rsidRPr="009B423C">
        <w:rPr>
          <w:rFonts w:eastAsia="SimSun"/>
          <w:sz w:val="24"/>
          <w:szCs w:val="24"/>
          <w:lang w:val="zh-CN"/>
        </w:rPr>
        <w:t>22</w:t>
      </w:r>
      <w:r w:rsidRPr="009B423C">
        <w:rPr>
          <w:rFonts w:eastAsia="SimSun"/>
          <w:sz w:val="24"/>
          <w:szCs w:val="24"/>
          <w:lang w:val="zh-CN"/>
        </w:rPr>
        <w:t>日以来从缔约方收到的信息。自该说明编写以来，又有</w:t>
      </w:r>
      <w:r w:rsidRPr="009B423C">
        <w:rPr>
          <w:rFonts w:eastAsia="SimSun"/>
          <w:sz w:val="24"/>
          <w:szCs w:val="24"/>
          <w:lang w:val="zh-CN"/>
        </w:rPr>
        <w:t>27</w:t>
      </w:r>
      <w:r w:rsidRPr="009B423C">
        <w:rPr>
          <w:rFonts w:eastAsia="SimSun"/>
          <w:sz w:val="24"/>
          <w:szCs w:val="24"/>
          <w:lang w:val="zh-CN"/>
        </w:rPr>
        <w:t>个案件的相关信息提交至秘书处。</w:t>
      </w:r>
    </w:p>
    <w:p w14:paraId="3A37D2BF" w14:textId="68F6141A"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喀麦隆代表介绍了一份会议室文件，其中载有其代表团代表非洲国家组提交的关于加强《蒙特利尔议定书》业务的决定草案。他解释说，根据臭氧秘书处汇编的自</w:t>
      </w:r>
      <w:r w:rsidRPr="009B423C">
        <w:rPr>
          <w:rFonts w:eastAsia="SimSun"/>
          <w:sz w:val="24"/>
          <w:szCs w:val="24"/>
          <w:lang w:val="zh-CN"/>
        </w:rPr>
        <w:t>2002</w:t>
      </w:r>
      <w:r w:rsidRPr="009B423C">
        <w:rPr>
          <w:rFonts w:eastAsia="SimSun"/>
          <w:sz w:val="24"/>
          <w:szCs w:val="24"/>
          <w:lang w:val="zh-CN"/>
        </w:rPr>
        <w:t>年以来收集的关于非法贸易的资料，非洲国家组认为有必要采取比汇编文件中所提出的更为具体的行动。因此，该决定草案的内容包括请秘书处：编写一份关于可用于加强跟踪非法贸易的工具的报告，包括在线市场和电子商务平台；制定标准作业程序，以支持在发现非法贸易、处理案件、管理缴获品、报告和制裁方面采取统一办法；编写一份界定有效许可证制度核心特点的核对表；探讨开发可纳入海关和单一窗口系统的开源许可证软件的可行性和成本。此外，将请执行委员会酌情与国家臭氧干事、履约援助方案和世界海关组织协商，评估第</w:t>
      </w:r>
      <w:r w:rsidRPr="009B423C">
        <w:rPr>
          <w:rFonts w:eastAsia="SimSun"/>
          <w:sz w:val="24"/>
          <w:szCs w:val="24"/>
          <w:lang w:val="zh-CN"/>
        </w:rPr>
        <w:t>5</w:t>
      </w:r>
      <w:r w:rsidRPr="009B423C">
        <w:rPr>
          <w:rFonts w:eastAsia="SimSun"/>
          <w:sz w:val="24"/>
          <w:szCs w:val="24"/>
          <w:lang w:val="zh-CN"/>
        </w:rPr>
        <w:t>条缔约方在非法贸易、许可证制度和数据报告方面的额外培训和能力需求。</w:t>
      </w:r>
    </w:p>
    <w:p w14:paraId="0A9CB598" w14:textId="1320AA3E"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加拿大代表（还代表澳大利亚、欧洲联盟、挪威和瑞士发言）介绍了一份会议室文件，其中载有一项关于加强许可证制度和数据报告以防止非法贸易的决定草案。他指出，与非洲国家组的决定草案很相似，其国家组提交的材料旨在应对近年来发现的关键问题，主要是通过加强缔约方的</w:t>
      </w:r>
      <w:r w:rsidRPr="009B423C">
        <w:rPr>
          <w:rFonts w:eastAsia="SimSun"/>
          <w:sz w:val="24"/>
          <w:szCs w:val="24"/>
          <w:lang w:val="zh-CN"/>
        </w:rPr>
        <w:lastRenderedPageBreak/>
        <w:t>受控物质进出口许可证制度和加强数据报告，不过还重申了可能被遗忘或未得到缔约方系统性执行的决定。该决定草案首先请臭氧秘书处编写一份关于许可证制度核心特点的核对表，供参考使用。该国家组还提议敦促尚未采取行动的缔约方尽快通知臭氧秘书处其进出口许可证制度，除了新物质外，是否还涵盖使用过的、再循环的和再生的受控物质，这是《议定书》第</w:t>
      </w:r>
      <w:r w:rsidRPr="009B423C">
        <w:rPr>
          <w:rFonts w:eastAsia="SimSun"/>
          <w:sz w:val="24"/>
          <w:szCs w:val="24"/>
          <w:lang w:val="zh-CN"/>
        </w:rPr>
        <w:t>4B</w:t>
      </w:r>
      <w:r w:rsidRPr="009B423C">
        <w:rPr>
          <w:rFonts w:eastAsia="SimSun"/>
          <w:sz w:val="24"/>
          <w:szCs w:val="24"/>
          <w:lang w:val="zh-CN"/>
        </w:rPr>
        <w:t>条规定的义务。还将鼓励或请缔约方确保其许可证制度涵盖转运中的受控物质，包括再出口物质和自由贸易区中的物质；加强进出口核查做法，并考虑在可行的情况下建立自动化系统和标准化程序；报告受控物质的进口来源和出口目的地；使用在线报告系统报告第</w:t>
      </w:r>
      <w:r w:rsidRPr="009B423C">
        <w:rPr>
          <w:rFonts w:eastAsia="SimSun"/>
          <w:sz w:val="24"/>
          <w:szCs w:val="24"/>
          <w:lang w:val="zh-CN"/>
        </w:rPr>
        <w:t>7</w:t>
      </w:r>
      <w:r w:rsidRPr="009B423C">
        <w:rPr>
          <w:rFonts w:eastAsia="SimSun"/>
          <w:sz w:val="24"/>
          <w:szCs w:val="24"/>
          <w:lang w:val="zh-CN"/>
        </w:rPr>
        <w:t>条数据。此外，将鼓励国家臭氧机构和海关官员共享数据，以更好地跟踪和监测受控物质的进口。该决定草案还提醒，履约援助方案可用于支持第</w:t>
      </w:r>
      <w:r w:rsidRPr="009B423C">
        <w:rPr>
          <w:rFonts w:eastAsia="SimSun"/>
          <w:sz w:val="24"/>
          <w:szCs w:val="24"/>
          <w:lang w:val="zh-CN"/>
        </w:rPr>
        <w:t>5</w:t>
      </w:r>
      <w:r w:rsidRPr="009B423C">
        <w:rPr>
          <w:rFonts w:eastAsia="SimSun"/>
          <w:sz w:val="24"/>
          <w:szCs w:val="24"/>
          <w:lang w:val="zh-CN"/>
        </w:rPr>
        <w:t>条缔约方设计和执行其国家许可证制度。最后，该决定草案还请臭氧秘书处向缔约方通报未在</w:t>
      </w:r>
      <w:r w:rsidRPr="009B423C">
        <w:rPr>
          <w:rFonts w:eastAsia="SimSun"/>
          <w:sz w:val="24"/>
          <w:szCs w:val="24"/>
          <w:lang w:val="zh-CN"/>
        </w:rPr>
        <w:t>9</w:t>
      </w:r>
      <w:r w:rsidRPr="009B423C">
        <w:rPr>
          <w:rFonts w:eastAsia="SimSun"/>
          <w:sz w:val="24"/>
          <w:szCs w:val="24"/>
          <w:lang w:val="zh-CN"/>
        </w:rPr>
        <w:t>月</w:t>
      </w:r>
      <w:r w:rsidRPr="009B423C">
        <w:rPr>
          <w:rFonts w:eastAsia="SimSun"/>
          <w:sz w:val="24"/>
          <w:szCs w:val="24"/>
          <w:lang w:val="zh-CN"/>
        </w:rPr>
        <w:t>30</w:t>
      </w:r>
      <w:r w:rsidRPr="009B423C">
        <w:rPr>
          <w:rFonts w:eastAsia="SimSun"/>
          <w:sz w:val="24"/>
          <w:szCs w:val="24"/>
          <w:lang w:val="zh-CN"/>
        </w:rPr>
        <w:t>日截止日期之前报告第</w:t>
      </w:r>
      <w:r w:rsidRPr="009B423C">
        <w:rPr>
          <w:rFonts w:eastAsia="SimSun"/>
          <w:sz w:val="24"/>
          <w:szCs w:val="24"/>
          <w:lang w:val="zh-CN"/>
        </w:rPr>
        <w:t>7</w:t>
      </w:r>
      <w:r w:rsidRPr="009B423C">
        <w:rPr>
          <w:rFonts w:eastAsia="SimSun"/>
          <w:sz w:val="24"/>
          <w:szCs w:val="24"/>
          <w:lang w:val="zh-CN"/>
        </w:rPr>
        <w:t>条所要求数据的缔约方，并与多边基金秘书处联络，讨论制定协调一致的数据报告办法的可能备选方案。</w:t>
      </w:r>
    </w:p>
    <w:p w14:paraId="38EF3148" w14:textId="3999F24C"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在随后的讨论中，几位代表（包括一位代表某组缔约方发言的代表）感谢秘书处汇编缔约方提供的关于非法贸易行为以及各国主管部门为查明和处理此类案件而采取的办法的信息。</w:t>
      </w:r>
    </w:p>
    <w:p w14:paraId="4B425F50"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对这两份会议室文件的提案方表示感谢，赞赏其为提出如何在《蒙特利尔议定书》进程下加强许可证制度、加强海关合作和打击受控物质非法贸易所作的努力，并表示欢迎有机会进一步讨论这两项决定草案。</w:t>
      </w:r>
    </w:p>
    <w:p w14:paraId="4C4F56D4" w14:textId="103F3B22"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指出，已就该事项提交了两份会议室文件，这两份文件均以先前的讨论和在缔约方第三十七次会议上提交的一份会议室文件中的决定草案为基础，这表明缔约方有必要且愿意进一步讨论加强蒙特利尔议定书各机构的问题。</w:t>
      </w:r>
    </w:p>
    <w:p w14:paraId="1AC2E9E5" w14:textId="7DEBC240"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几位代表强调，任何拟议措施都需尊重国家法律、国情和机构任务规定。鉴于各国在执行《蒙特利尔议定书》第</w:t>
      </w:r>
      <w:r w:rsidRPr="009B423C">
        <w:rPr>
          <w:rFonts w:eastAsia="SimSun"/>
          <w:sz w:val="24"/>
          <w:szCs w:val="24"/>
          <w:lang w:val="zh-CN"/>
        </w:rPr>
        <w:t>4B</w:t>
      </w:r>
      <w:r w:rsidRPr="009B423C">
        <w:rPr>
          <w:rFonts w:eastAsia="SimSun"/>
          <w:sz w:val="24"/>
          <w:szCs w:val="24"/>
          <w:lang w:val="zh-CN"/>
        </w:rPr>
        <w:t>条各项规定的立法方面存在差异，因此必须认识到，国家许可证制度将必然存在差异，并且在缔约方履行《议定书》所规定义务的方式上，必须采取灵活的办法。在这方面，一位代表指出，其缔约方的国家许可证制度已实施超过</w:t>
      </w:r>
      <w:r w:rsidRPr="009B423C">
        <w:rPr>
          <w:rFonts w:eastAsia="SimSun"/>
          <w:sz w:val="24"/>
          <w:szCs w:val="24"/>
          <w:lang w:val="zh-CN"/>
        </w:rPr>
        <w:t>25</w:t>
      </w:r>
      <w:r w:rsidRPr="009B423C">
        <w:rPr>
          <w:rFonts w:eastAsia="SimSun"/>
          <w:sz w:val="24"/>
          <w:szCs w:val="24"/>
          <w:lang w:val="zh-CN"/>
        </w:rPr>
        <w:t>年，她表示，至关重要的是，不应提出任何要求缔约方对其许可证制度进行重大修改的提案，尤其是此类修改对履行《蒙特利尔议定书》并无必要的情况下。</w:t>
      </w:r>
    </w:p>
    <w:p w14:paraId="4293B8BA" w14:textId="13F62D33"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强调，有效的许可证制度是缔约方确保履行《蒙特利尔议定书》及其《基加利修正》所规定义务的最重要工具之一。她欢迎强调通过改进核查做法、加强国家臭氧机构与海关之间的协调以及更多地使用自动化和数字系统来加强许可证制度。她指出，她尤其认为制定关于有效许可证制度核心特点的指导意见具有重要价值，并表示推广切实可行、可互操作且具有成本效益的许可证解决方案，将为许多第</w:t>
      </w:r>
      <w:r w:rsidRPr="009B423C">
        <w:rPr>
          <w:rFonts w:eastAsia="SimSun"/>
          <w:sz w:val="24"/>
          <w:szCs w:val="24"/>
          <w:lang w:val="zh-CN"/>
        </w:rPr>
        <w:t>5</w:t>
      </w:r>
      <w:r w:rsidRPr="009B423C">
        <w:rPr>
          <w:rFonts w:eastAsia="SimSun"/>
          <w:sz w:val="24"/>
          <w:szCs w:val="24"/>
          <w:lang w:val="zh-CN"/>
        </w:rPr>
        <w:t>条缔约方带来巨大裨益。另一位代表强调，任何许可证核对表都应是自愿的，并反映国家法律和行政框架。</w:t>
      </w:r>
    </w:p>
    <w:p w14:paraId="38229CCD" w14:textId="2B41CE44"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一些代表强调，</w:t>
      </w:r>
      <w:r w:rsidR="0098503C" w:rsidRPr="009B423C">
        <w:rPr>
          <w:rFonts w:eastAsia="SimSun" w:hint="eastAsia"/>
          <w:sz w:val="24"/>
          <w:szCs w:val="24"/>
          <w:lang w:val="zh-CN"/>
        </w:rPr>
        <w:t>所</w:t>
      </w:r>
      <w:r w:rsidRPr="009B423C">
        <w:rPr>
          <w:rFonts w:eastAsia="SimSun"/>
          <w:sz w:val="24"/>
          <w:szCs w:val="24"/>
          <w:lang w:val="zh-CN"/>
        </w:rPr>
        <w:t>制定的任何指导意见、软件工具或标准作业程序</w:t>
      </w:r>
      <w:r w:rsidR="003B7F0B" w:rsidRPr="009B423C">
        <w:rPr>
          <w:rFonts w:eastAsia="SimSun" w:hint="eastAsia"/>
          <w:sz w:val="24"/>
          <w:szCs w:val="24"/>
          <w:lang w:val="zh-CN"/>
        </w:rPr>
        <w:t>仍</w:t>
      </w:r>
      <w:r w:rsidRPr="009B423C">
        <w:rPr>
          <w:rFonts w:eastAsia="SimSun"/>
          <w:sz w:val="24"/>
          <w:szCs w:val="24"/>
          <w:lang w:val="zh-CN"/>
        </w:rPr>
        <w:t>应保持足够的灵活度，以适应不同的国情</w:t>
      </w:r>
      <w:r w:rsidR="00703FC0">
        <w:rPr>
          <w:rFonts w:eastAsia="SimSun" w:hint="eastAsia"/>
          <w:sz w:val="24"/>
          <w:szCs w:val="24"/>
          <w:lang w:val="zh-CN"/>
        </w:rPr>
        <w:t>和</w:t>
      </w:r>
      <w:r w:rsidRPr="009B423C">
        <w:rPr>
          <w:rFonts w:eastAsia="SimSun"/>
          <w:sz w:val="24"/>
          <w:szCs w:val="24"/>
          <w:lang w:val="zh-CN"/>
        </w:rPr>
        <w:t>能力</w:t>
      </w:r>
      <w:r w:rsidR="00703FC0">
        <w:rPr>
          <w:rFonts w:eastAsia="SimSun" w:hint="eastAsia"/>
          <w:sz w:val="24"/>
          <w:szCs w:val="24"/>
          <w:lang w:val="zh-CN"/>
        </w:rPr>
        <w:t>以及</w:t>
      </w:r>
      <w:r w:rsidRPr="009B423C">
        <w:rPr>
          <w:rFonts w:eastAsia="SimSun"/>
          <w:sz w:val="24"/>
          <w:szCs w:val="24"/>
          <w:lang w:val="zh-CN"/>
        </w:rPr>
        <w:t>现有系统，并应向</w:t>
      </w:r>
      <w:r w:rsidRPr="009B423C">
        <w:rPr>
          <w:rFonts w:eastAsia="SimSun"/>
          <w:sz w:val="24"/>
          <w:szCs w:val="24"/>
          <w:lang w:val="zh-CN"/>
        </w:rPr>
        <w:lastRenderedPageBreak/>
        <w:t>寻求加强其许可证和执法框架的缔约方提供切实支持。一位代表指出，应通过执行委员会开展许可证软件方面的工作，并应解决软件与现有系统的网络安全兼容性问题，以及数据的国家所有权和控制权问题。</w:t>
      </w:r>
    </w:p>
    <w:p w14:paraId="22E62729"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许多代表强调，任何新措施，包括报告要求、操作程序和执行安排，都应保持自愿性和促进性，并特别考虑到第</w:t>
      </w:r>
      <w:r w:rsidRPr="009B423C">
        <w:rPr>
          <w:rFonts w:eastAsia="SimSun"/>
          <w:sz w:val="24"/>
          <w:szCs w:val="24"/>
          <w:lang w:val="zh-CN"/>
        </w:rPr>
        <w:t>5</w:t>
      </w:r>
      <w:r w:rsidRPr="009B423C">
        <w:rPr>
          <w:rFonts w:eastAsia="SimSun"/>
          <w:sz w:val="24"/>
          <w:szCs w:val="24"/>
          <w:lang w:val="zh-CN"/>
        </w:rPr>
        <w:t>条缔约方的国家能力。许多代表强调，不应给缔约方，尤其是第</w:t>
      </w:r>
      <w:r w:rsidRPr="009B423C">
        <w:rPr>
          <w:rFonts w:eastAsia="SimSun"/>
          <w:sz w:val="24"/>
          <w:szCs w:val="24"/>
          <w:lang w:val="zh-CN"/>
        </w:rPr>
        <w:t>5</w:t>
      </w:r>
      <w:r w:rsidRPr="009B423C">
        <w:rPr>
          <w:rFonts w:eastAsia="SimSun"/>
          <w:sz w:val="24"/>
          <w:szCs w:val="24"/>
          <w:lang w:val="zh-CN"/>
        </w:rPr>
        <w:t>条缔约方带来额外负担，任何加强的活动都应通过多边基金提供充分的技术和资金支持。</w:t>
      </w:r>
    </w:p>
    <w:p w14:paraId="72791CB1" w14:textId="4D343F8B"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几位代表表示，任何关于进一步加强蒙特利尔议定书各机构的讨论都应侧重于支持缔约方，特别是第</w:t>
      </w:r>
      <w:r w:rsidRPr="009B423C">
        <w:rPr>
          <w:rFonts w:eastAsia="SimSun"/>
          <w:sz w:val="24"/>
          <w:szCs w:val="24"/>
          <w:lang w:val="zh-CN"/>
        </w:rPr>
        <w:t>5</w:t>
      </w:r>
      <w:r w:rsidRPr="009B423C">
        <w:rPr>
          <w:rFonts w:eastAsia="SimSun"/>
          <w:sz w:val="24"/>
          <w:szCs w:val="24"/>
          <w:lang w:val="zh-CN"/>
        </w:rPr>
        <w:t>条缔约方履行《蒙特利尔议定书》规定的现有义务，而非引入任何新的义务。一些代表表示不支持关于自由贸易区进出口数据的拟议规定，指出这些数据已包含在国家报告数据中，无需单独报告。一位代表强调，关于使用过的、再循环的和再生的物质以及转运、再出口和进口来源的信息的报告，应保持自愿性。另一位代表强调，加拿大代表在决定草案中提出的关于强制要求所有缔约方报告受控物质进口来源的提议，将给第</w:t>
      </w:r>
      <w:r w:rsidRPr="009B423C">
        <w:rPr>
          <w:rFonts w:eastAsia="SimSun"/>
          <w:sz w:val="24"/>
          <w:szCs w:val="24"/>
          <w:lang w:val="zh-CN"/>
        </w:rPr>
        <w:t>5</w:t>
      </w:r>
      <w:r w:rsidRPr="009B423C">
        <w:rPr>
          <w:rFonts w:eastAsia="SimSun"/>
          <w:sz w:val="24"/>
          <w:szCs w:val="24"/>
          <w:lang w:val="zh-CN"/>
        </w:rPr>
        <w:t>条缔约方带来沉重的行政和报告负担。一位代表表示，决定草案提议的一些行动似乎超出了《蒙特利尔议定书》的范围。</w:t>
      </w:r>
    </w:p>
    <w:p w14:paraId="2B4EB979" w14:textId="55A3BC78"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一位代表强调，必须考虑到确保遵守任何新措施将给秘书处带来的负担，特别是鉴于秘书处目前在人力资源方面已面临巨大压力。</w:t>
      </w:r>
    </w:p>
    <w:p w14:paraId="062E2483" w14:textId="1B52AAF5"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指出，已通过区域网络和环境署臭氧行动倡议开展了分析和协助定制许可证制度的工作，并强调必须避免重复这些工作。另一位代表提请注意必须考虑到环境署及联合国毒品和犯罪问题办公室正在开展的工作，即编写一份《蒙特利尔议定书》下非法贸易方面的综合报告。</w:t>
      </w:r>
    </w:p>
    <w:p w14:paraId="333B68FE"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工作组商定设立一个联络小组，由</w:t>
      </w:r>
      <w:r w:rsidRPr="009B423C">
        <w:rPr>
          <w:rFonts w:eastAsia="SimSun"/>
          <w:sz w:val="24"/>
          <w:szCs w:val="24"/>
          <w:lang w:val="zh-CN"/>
        </w:rPr>
        <w:t>Liana Ghahramanyan</w:t>
      </w:r>
      <w:r w:rsidRPr="009B423C">
        <w:rPr>
          <w:rFonts w:eastAsia="SimSun"/>
          <w:sz w:val="24"/>
          <w:szCs w:val="24"/>
          <w:lang w:val="zh-CN"/>
        </w:rPr>
        <w:t>（亚美尼亚）和</w:t>
      </w:r>
      <w:r w:rsidRPr="009B423C">
        <w:rPr>
          <w:rFonts w:eastAsia="SimSun"/>
          <w:sz w:val="24"/>
          <w:szCs w:val="24"/>
          <w:lang w:val="zh-CN"/>
        </w:rPr>
        <w:t>Paul Krajnik</w:t>
      </w:r>
      <w:r w:rsidRPr="009B423C">
        <w:rPr>
          <w:rFonts w:eastAsia="SimSun"/>
          <w:sz w:val="24"/>
          <w:szCs w:val="24"/>
          <w:lang w:val="zh-CN"/>
        </w:rPr>
        <w:t>（奥地利）担任共同主席，负责进一步讨论该事项，包括审议会议室文件所载的两项决定草案。</w:t>
      </w:r>
    </w:p>
    <w:p w14:paraId="2F78F822" w14:textId="4D752B0E"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1146BF">
        <w:rPr>
          <w:rFonts w:eastAsia="SimSun"/>
          <w:spacing w:val="-4"/>
          <w:sz w:val="24"/>
          <w:szCs w:val="24"/>
          <w:lang w:val="zh-CN"/>
        </w:rPr>
        <w:t>在会议稍后阶段，联络小组共同主席报告称，联络小组在审议这两项决定草案提案方面取得了良好进展，并得出结论认为应在缔约方第三十八次</w:t>
      </w:r>
      <w:r w:rsidRPr="009B423C">
        <w:rPr>
          <w:rFonts w:eastAsia="SimSun"/>
          <w:sz w:val="24"/>
          <w:szCs w:val="24"/>
          <w:lang w:val="zh-CN"/>
        </w:rPr>
        <w:t>会议上进一步审议</w:t>
      </w:r>
      <w:r w:rsidR="00703FC0">
        <w:rPr>
          <w:rFonts w:eastAsia="SimSun" w:hint="eastAsia"/>
          <w:sz w:val="24"/>
          <w:szCs w:val="24"/>
          <w:lang w:val="zh-CN"/>
        </w:rPr>
        <w:t>这</w:t>
      </w:r>
      <w:r w:rsidR="002A08C3">
        <w:rPr>
          <w:rFonts w:eastAsia="SimSun" w:hint="eastAsia"/>
          <w:sz w:val="24"/>
          <w:szCs w:val="24"/>
          <w:lang w:val="zh-CN"/>
        </w:rPr>
        <w:t>两项</w:t>
      </w:r>
      <w:r w:rsidR="00703FC0">
        <w:rPr>
          <w:rFonts w:eastAsia="SimSun" w:hint="eastAsia"/>
          <w:sz w:val="24"/>
          <w:szCs w:val="24"/>
          <w:lang w:val="zh-CN"/>
        </w:rPr>
        <w:t>提案</w:t>
      </w:r>
      <w:r w:rsidRPr="009B423C">
        <w:rPr>
          <w:rFonts w:eastAsia="SimSun"/>
          <w:sz w:val="24"/>
          <w:szCs w:val="24"/>
          <w:lang w:val="zh-CN"/>
        </w:rPr>
        <w:t>。他表示希望相关缔约方在闭会期间就这两项提案开展工作。</w:t>
      </w:r>
      <w:bookmarkStart w:id="29" w:name="_Hlk235156823"/>
      <w:bookmarkEnd w:id="29"/>
    </w:p>
    <w:p w14:paraId="4ED3F895" w14:textId="556199C0"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指出，如果秘书处能够就两项提案中执行段落所涉及的已采取或正在进行的行动提供信息，或者在适当时表明不存在此类信息，将会有所帮助。其中一位代表特别要求就缔约方与海关和其他主管部门合作方面的经验和良好做法提供信息。</w:t>
      </w:r>
      <w:bookmarkStart w:id="30" w:name="_Hlk235156689"/>
      <w:bookmarkEnd w:id="30"/>
    </w:p>
    <w:p w14:paraId="34F449DD" w14:textId="4589F86E" w:rsidR="001421F7" w:rsidRPr="009B423C" w:rsidRDefault="001421F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工作组商定请秘书处在缔约方第三十八次会议之前提供上述信息，并将两项决定草案提案递交缔约方第三十八次会议进一步审议。这两项决定草案载于本报告附件一第二</w:t>
      </w:r>
      <w:r w:rsidRPr="009B423C">
        <w:rPr>
          <w:rFonts w:eastAsia="SimSun"/>
          <w:sz w:val="24"/>
          <w:szCs w:val="24"/>
          <w:lang w:val="zh-CN"/>
        </w:rPr>
        <w:t>.A</w:t>
      </w:r>
      <w:r w:rsidRPr="009B423C">
        <w:rPr>
          <w:rFonts w:eastAsia="SimSun"/>
          <w:sz w:val="24"/>
          <w:szCs w:val="24"/>
          <w:lang w:val="zh-CN"/>
        </w:rPr>
        <w:t>和第二</w:t>
      </w:r>
      <w:r w:rsidRPr="009B423C">
        <w:rPr>
          <w:rFonts w:eastAsia="SimSun"/>
          <w:sz w:val="24"/>
          <w:szCs w:val="24"/>
          <w:lang w:val="zh-CN"/>
        </w:rPr>
        <w:t>.B</w:t>
      </w:r>
      <w:r w:rsidRPr="009B423C">
        <w:rPr>
          <w:rFonts w:eastAsia="SimSun"/>
          <w:sz w:val="24"/>
          <w:szCs w:val="24"/>
          <w:lang w:val="zh-CN"/>
        </w:rPr>
        <w:t>节。</w:t>
      </w:r>
    </w:p>
    <w:p w14:paraId="3BDAC266" w14:textId="11857800"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lang w:eastAsia="zh-CN"/>
        </w:rPr>
      </w:pPr>
      <w:r w:rsidRPr="009B423C">
        <w:rPr>
          <w:rFonts w:eastAsia="SimHei"/>
          <w:bCs/>
          <w:sz w:val="32"/>
          <w:szCs w:val="32"/>
          <w:lang w:val="zh-CN" w:eastAsia="zh-CN"/>
        </w:rPr>
        <w:t>将在基加利举行的缔约方第三十八次会议的筹备情况</w:t>
      </w:r>
    </w:p>
    <w:p w14:paraId="2A5617B3"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共同主席在介绍该项目时回顾说，缔约方第三十七次会议在第</w:t>
      </w:r>
      <w:r w:rsidRPr="009B423C">
        <w:rPr>
          <w:rFonts w:eastAsia="SimSun"/>
          <w:sz w:val="24"/>
          <w:szCs w:val="24"/>
          <w:lang w:val="zh-CN"/>
        </w:rPr>
        <w:t>XXXVII/22</w:t>
      </w:r>
      <w:r w:rsidRPr="009B423C">
        <w:rPr>
          <w:rFonts w:eastAsia="SimSun"/>
          <w:sz w:val="24"/>
          <w:szCs w:val="24"/>
          <w:lang w:val="zh-CN"/>
        </w:rPr>
        <w:t>号决定中决定于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11</w:t>
      </w:r>
      <w:r w:rsidRPr="009B423C">
        <w:rPr>
          <w:rFonts w:eastAsia="SimSun"/>
          <w:sz w:val="24"/>
          <w:szCs w:val="24"/>
          <w:lang w:val="zh-CN"/>
        </w:rPr>
        <w:t>月</w:t>
      </w:r>
      <w:r w:rsidRPr="009B423C">
        <w:rPr>
          <w:rFonts w:eastAsia="SimSun"/>
          <w:sz w:val="24"/>
          <w:szCs w:val="24"/>
          <w:lang w:val="zh-CN"/>
        </w:rPr>
        <w:t>2</w:t>
      </w:r>
      <w:r w:rsidRPr="009B423C">
        <w:rPr>
          <w:rFonts w:eastAsia="SimSun"/>
          <w:sz w:val="24"/>
          <w:szCs w:val="24"/>
          <w:lang w:val="zh-CN"/>
        </w:rPr>
        <w:t>日至</w:t>
      </w:r>
      <w:r w:rsidRPr="009B423C">
        <w:rPr>
          <w:rFonts w:eastAsia="SimSun"/>
          <w:sz w:val="24"/>
          <w:szCs w:val="24"/>
          <w:lang w:val="zh-CN"/>
        </w:rPr>
        <w:t>6</w:t>
      </w:r>
      <w:r w:rsidRPr="009B423C">
        <w:rPr>
          <w:rFonts w:eastAsia="SimSun"/>
          <w:sz w:val="24"/>
          <w:szCs w:val="24"/>
          <w:lang w:val="zh-CN"/>
        </w:rPr>
        <w:t>日在基加利召开缔约方</w:t>
      </w:r>
      <w:r w:rsidRPr="009B423C">
        <w:rPr>
          <w:rFonts w:eastAsia="SimSun"/>
          <w:sz w:val="24"/>
          <w:szCs w:val="24"/>
          <w:lang w:val="zh-CN"/>
        </w:rPr>
        <w:lastRenderedPageBreak/>
        <w:t>第三十八次会议，同时举行履行委员会第七十七次会议和缔约方第三十七次会议主席团会议以及其他有关活动。</w:t>
      </w:r>
      <w:bookmarkStart w:id="31" w:name="_Hlk235091908"/>
      <w:bookmarkEnd w:id="31"/>
    </w:p>
    <w:p w14:paraId="43D7E985" w14:textId="23019ED1"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缔约方第三十七次会议在第</w:t>
      </w:r>
      <w:r w:rsidRPr="009B423C">
        <w:rPr>
          <w:rFonts w:eastAsia="SimSun"/>
          <w:sz w:val="24"/>
          <w:szCs w:val="24"/>
          <w:lang w:val="zh-CN"/>
        </w:rPr>
        <w:t>XXXVII/5</w:t>
      </w:r>
      <w:r w:rsidRPr="009B423C">
        <w:rPr>
          <w:rFonts w:eastAsia="SimSun"/>
          <w:sz w:val="24"/>
          <w:szCs w:val="24"/>
          <w:lang w:val="zh-CN"/>
        </w:rPr>
        <w:t>号决定中邀请缔约方向秘书处提交与执行《基加利修正》有关的、可持续制冷英才中心和能效测试中心方面的信息。秘书处汇编了</w:t>
      </w:r>
      <w:r w:rsidRPr="009B423C">
        <w:rPr>
          <w:rFonts w:eastAsia="SimSun"/>
          <w:sz w:val="24"/>
          <w:szCs w:val="24"/>
          <w:lang w:val="zh-CN"/>
        </w:rPr>
        <w:t>23</w:t>
      </w:r>
      <w:r w:rsidRPr="009B423C">
        <w:rPr>
          <w:rFonts w:eastAsia="SimSun"/>
          <w:sz w:val="24"/>
          <w:szCs w:val="24"/>
          <w:lang w:val="zh-CN"/>
        </w:rPr>
        <w:t>个缔约方提供的信息，并公布在其网站上。</w:t>
      </w:r>
    </w:p>
    <w:p w14:paraId="4D2675B2" w14:textId="053CF9B1"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bCs/>
          <w:sz w:val="24"/>
          <w:szCs w:val="24"/>
        </w:rPr>
      </w:pPr>
      <w:r w:rsidRPr="009B423C">
        <w:rPr>
          <w:rFonts w:eastAsia="SimSun"/>
          <w:sz w:val="24"/>
          <w:szCs w:val="24"/>
          <w:lang w:val="zh-CN"/>
        </w:rPr>
        <w:t>卢旺达代表报告了缔约方第三十八次会议的筹备进展情况，她表示卢旺达很荣幸主办这次会议。将利用此次会议提供的契机庆祝《蒙特利尔议定书》所取得的成就，并在《基加利修正》十周年之际加强缔约方对履约的集体承诺。将于</w:t>
      </w:r>
      <w:r w:rsidRPr="009B423C">
        <w:rPr>
          <w:rFonts w:eastAsia="SimSun"/>
          <w:sz w:val="24"/>
          <w:szCs w:val="24"/>
          <w:lang w:val="zh-CN"/>
        </w:rPr>
        <w:t>11</w:t>
      </w:r>
      <w:r w:rsidRPr="009B423C">
        <w:rPr>
          <w:rFonts w:eastAsia="SimSun"/>
          <w:sz w:val="24"/>
          <w:szCs w:val="24"/>
          <w:lang w:val="zh-CN"/>
        </w:rPr>
        <w:t>月</w:t>
      </w:r>
      <w:r w:rsidRPr="009B423C">
        <w:rPr>
          <w:rFonts w:eastAsia="SimSun"/>
          <w:sz w:val="24"/>
          <w:szCs w:val="24"/>
          <w:lang w:val="zh-CN"/>
        </w:rPr>
        <w:t>1</w:t>
      </w:r>
      <w:r w:rsidRPr="009B423C">
        <w:rPr>
          <w:rFonts w:eastAsia="SimSun"/>
          <w:sz w:val="24"/>
          <w:szCs w:val="24"/>
          <w:lang w:val="zh-CN"/>
        </w:rPr>
        <w:t>日举办一场讲习班，以纪念《基加利修正》通过十周年；还将举办一场行业展览，展示支持可持续制冷和冷链发展的实用技术、方案及伙伴关系。这两项活动均将在非洲可持续制冷和冷链</w:t>
      </w:r>
      <w:r w:rsidR="001806F5">
        <w:rPr>
          <w:rFonts w:eastAsia="SimSun" w:hint="eastAsia"/>
          <w:sz w:val="24"/>
          <w:szCs w:val="24"/>
          <w:lang w:val="zh-CN"/>
        </w:rPr>
        <w:t>系统</w:t>
      </w:r>
      <w:r w:rsidRPr="009B423C">
        <w:rPr>
          <w:rFonts w:eastAsia="SimSun"/>
          <w:sz w:val="24"/>
          <w:szCs w:val="24"/>
          <w:lang w:val="zh-CN"/>
        </w:rPr>
        <w:t>英才中心举行。</w:t>
      </w:r>
    </w:p>
    <w:p w14:paraId="577E1A75" w14:textId="10366C8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bCs/>
          <w:sz w:val="24"/>
          <w:szCs w:val="24"/>
        </w:rPr>
      </w:pPr>
      <w:r w:rsidRPr="009B423C">
        <w:rPr>
          <w:rFonts w:eastAsia="SimSun"/>
          <w:sz w:val="24"/>
          <w:szCs w:val="24"/>
          <w:lang w:val="zh-CN"/>
        </w:rPr>
        <w:t>秘书处正在编写一份简报，概述与《基加利修正》第一个十年有关的成就、挑战和未来机遇；简报草案已公布在专门的会议网站上。</w:t>
      </w:r>
      <w:r w:rsidR="00B6681E" w:rsidRPr="009B423C">
        <w:rPr>
          <w:rStyle w:val="FootnoteReference"/>
          <w:spacing w:val="0"/>
          <w:w w:val="100"/>
          <w:position w:val="0"/>
          <w:sz w:val="24"/>
          <w:szCs w:val="24"/>
          <w:lang w:val="zh-CN"/>
        </w:rPr>
        <w:footnoteReference w:id="3"/>
      </w:r>
      <w:r w:rsidR="008B545D" w:rsidRPr="009B423C">
        <w:rPr>
          <w:rFonts w:eastAsia="SimSun" w:hint="eastAsia"/>
          <w:sz w:val="24"/>
          <w:szCs w:val="24"/>
          <w:lang w:val="zh-CN"/>
        </w:rPr>
        <w:t xml:space="preserve"> </w:t>
      </w:r>
      <w:r w:rsidRPr="009B423C">
        <w:rPr>
          <w:rFonts w:eastAsia="SimSun"/>
          <w:sz w:val="24"/>
          <w:szCs w:val="24"/>
          <w:lang w:val="zh-CN"/>
        </w:rPr>
        <w:t>邀请缔约方和利益攸关方提交案例研究，庆祝过去十年在《基加利修正》下取得的成就，从而激励在未来十年继续保持雄心。非洲国家组正在编写一份宣言，旨在庆祝《基加利修正》、加强多边基金、推进可持续和高能效制冷并加强履约能力。</w:t>
      </w:r>
    </w:p>
    <w:p w14:paraId="1BC9F0D1" w14:textId="12EE3E2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bCs/>
          <w:sz w:val="24"/>
          <w:szCs w:val="24"/>
        </w:rPr>
      </w:pPr>
      <w:r w:rsidRPr="009B423C">
        <w:rPr>
          <w:rFonts w:eastAsia="SimSun"/>
          <w:sz w:val="24"/>
          <w:szCs w:val="24"/>
          <w:lang w:val="zh-CN"/>
        </w:rPr>
        <w:t>代表非洲国家组发言的塞内加尔代表强调，发表宣言以纪念《基加利修正》执行十周年的提案十分重要。他欢迎该</w:t>
      </w:r>
      <w:r w:rsidR="001806F5">
        <w:rPr>
          <w:rFonts w:eastAsia="SimSun" w:hint="eastAsia"/>
          <w:sz w:val="24"/>
          <w:szCs w:val="24"/>
          <w:lang w:val="zh-CN"/>
        </w:rPr>
        <w:t>案文</w:t>
      </w:r>
      <w:r w:rsidRPr="009B423C">
        <w:rPr>
          <w:rFonts w:eastAsia="SimSun"/>
          <w:sz w:val="24"/>
          <w:szCs w:val="24"/>
          <w:lang w:val="zh-CN"/>
        </w:rPr>
        <w:t>重点关注《修正》的普遍批准和执行，加强多边基金，采取措施打击非法贸易、提高能效、促进可持续制冷和扩大负担得起的气候友好型技术的获取渠道。对非洲来说，可持续制冷既是环境优先事项，也是发展的当务之急，对公众健康、粮食安全、经济韧性和适应气候变化至关重要。他重申必须确保提供适当和可预测的资金和技术支持，以便第</w:t>
      </w:r>
      <w:r w:rsidRPr="009B423C">
        <w:rPr>
          <w:rFonts w:eastAsia="SimSun"/>
          <w:sz w:val="24"/>
          <w:szCs w:val="24"/>
          <w:lang w:val="zh-CN"/>
        </w:rPr>
        <w:t>5</w:t>
      </w:r>
      <w:r w:rsidRPr="009B423C">
        <w:rPr>
          <w:rFonts w:eastAsia="SimSun"/>
          <w:sz w:val="24"/>
          <w:szCs w:val="24"/>
          <w:lang w:val="zh-CN"/>
        </w:rPr>
        <w:t>条缔约方能够充分履行其在《基加利修正》下的承诺。他鼓励所有缔约方支持该宣言。</w:t>
      </w:r>
    </w:p>
    <w:p w14:paraId="2D285480" w14:textId="58D3201B"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bCs/>
          <w:sz w:val="24"/>
          <w:szCs w:val="24"/>
        </w:rPr>
      </w:pPr>
      <w:r w:rsidRPr="009B423C">
        <w:rPr>
          <w:rFonts w:eastAsia="SimSun"/>
          <w:sz w:val="24"/>
          <w:szCs w:val="24"/>
          <w:lang w:val="zh-CN"/>
        </w:rPr>
        <w:t>所有发言的代表都对卢旺达为本次会议所作的筹备工作表示祝贺，并表示期待再次造访</w:t>
      </w:r>
      <w:r w:rsidR="001806F5">
        <w:rPr>
          <w:rFonts w:eastAsia="SimSun" w:hint="eastAsia"/>
          <w:sz w:val="24"/>
          <w:szCs w:val="24"/>
          <w:lang w:val="zh-CN"/>
        </w:rPr>
        <w:t>通过</w:t>
      </w:r>
      <w:r w:rsidRPr="009B423C">
        <w:rPr>
          <w:rFonts w:eastAsia="SimSun"/>
          <w:sz w:val="24"/>
          <w:szCs w:val="24"/>
          <w:lang w:val="zh-CN"/>
        </w:rPr>
        <w:t>《基加利修正》的会场。许多代表分享了当时进行密集谈判时的美好回忆。</w:t>
      </w:r>
    </w:p>
    <w:p w14:paraId="7F3E6C6B" w14:textId="77777777" w:rsidR="002053E4" w:rsidRPr="009B423C" w:rsidRDefault="002053E4">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bCs/>
          <w:sz w:val="24"/>
          <w:szCs w:val="24"/>
        </w:rPr>
      </w:pPr>
      <w:r w:rsidRPr="009B423C">
        <w:rPr>
          <w:rFonts w:eastAsia="SimSun"/>
          <w:sz w:val="24"/>
          <w:szCs w:val="24"/>
          <w:lang w:val="zh-CN"/>
        </w:rPr>
        <w:t>在回答问题时，卢旺达的代表说，其缔约方正在与秘书处合作编写一份关于后勤的情况说明，包括签证和差旅安排。卢旺达政府正在采取一切必要措施，确保没有任何因素阻碍本次会议的召开。她还承诺与缔约方分享宣言草案，并表示将就其内容与各方进行磋商。</w:t>
      </w:r>
    </w:p>
    <w:p w14:paraId="5260A3F0" w14:textId="6AD80655"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lang w:eastAsia="zh-CN"/>
        </w:rPr>
      </w:pPr>
      <w:r w:rsidRPr="009B423C">
        <w:rPr>
          <w:rFonts w:eastAsia="SimHei"/>
          <w:bCs/>
          <w:sz w:val="32"/>
          <w:szCs w:val="32"/>
          <w:lang w:val="zh-CN" w:eastAsia="zh-CN"/>
        </w:rPr>
        <w:t>其他事项</w:t>
      </w:r>
    </w:p>
    <w:p w14:paraId="5E6C45ED" w14:textId="36363307" w:rsidR="000C6027" w:rsidRPr="009B423C" w:rsidRDefault="000C6027">
      <w:pPr>
        <w:pStyle w:val="CH2"/>
        <w:numPr>
          <w:ilvl w:val="1"/>
          <w:numId w:val="33"/>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9B423C">
        <w:rPr>
          <w:rFonts w:eastAsia="SimHei"/>
          <w:bCs/>
          <w:sz w:val="28"/>
          <w:szCs w:val="28"/>
          <w:lang w:val="zh-CN" w:eastAsia="zh-CN"/>
        </w:rPr>
        <w:t>中亚国家参加东欧国家组</w:t>
      </w:r>
    </w:p>
    <w:p w14:paraId="7AC389C2" w14:textId="05C584D6"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哈萨克斯坦代表（还代表吉尔吉斯斯坦、塔吉克斯坦、土库曼斯坦和乌兹别克斯坦发言）在介绍该分项目时介绍了一份会议文件，其中载有关于这些国家继续参加东欧国家组的决定草案。根据该决定草案，缔约方</w:t>
      </w:r>
      <w:r w:rsidRPr="009B423C">
        <w:rPr>
          <w:rFonts w:eastAsia="SimSun"/>
          <w:sz w:val="24"/>
          <w:szCs w:val="24"/>
          <w:lang w:val="zh-CN"/>
        </w:rPr>
        <w:lastRenderedPageBreak/>
        <w:t>第三十八次会议将邀请缔约方继续在东欧国家组内承认这些中亚国家并与之接触，并请秘书处将该决定通知各缔约方。</w:t>
      </w:r>
    </w:p>
    <w:p w14:paraId="3A88D090" w14:textId="3A2AFAB9"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他回顾说，在缔约方第三十七次会议上，一些缔约方提议将中亚国家排除在东欧国家组之外，他指出这种排除没有法律依据，且违背了《蒙特利尔议定书》下的既定做法、联合国的原则和国际法。没有任何一方对继续承认中亚国家为东欧国家组成员提出过任何正式异议。此外，这些国家自</w:t>
      </w:r>
      <w:r w:rsidRPr="009B423C">
        <w:rPr>
          <w:rFonts w:eastAsia="SimSun"/>
          <w:sz w:val="24"/>
          <w:szCs w:val="24"/>
          <w:lang w:val="zh-CN"/>
        </w:rPr>
        <w:t>1991</w:t>
      </w:r>
      <w:r w:rsidRPr="009B423C">
        <w:rPr>
          <w:rFonts w:eastAsia="SimSun"/>
          <w:sz w:val="24"/>
          <w:szCs w:val="24"/>
          <w:lang w:val="zh-CN"/>
        </w:rPr>
        <w:t>年一直参加东欧国家组，这意味着它们已获得相应权利并形成了合理预期，根据国际法，这些权利和预期应得到应有尊重。任何改变《蒙特利尔议定书》下区域组构成安排的举措都将构成对联合国会员国平等权利的明显侵犯，且不符合长期以来指导《蒙特利尔议定书》工作的公正、包容和协商一致原则。</w:t>
      </w:r>
    </w:p>
    <w:p w14:paraId="2DB5EC2C"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他强调该决定草案并非为了开创先例，而只是为了确保当前问题能一劳永逸地得到解决。</w:t>
      </w:r>
    </w:p>
    <w:p w14:paraId="37320EE1"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几位代表对该决定草案表示支持。一位代表指出，该决定的通过将加强《蒙特利尔议定书》，因为它将确保所有缔约方的持续有效参与，并强调基于协商一致的决策、公平参与和机构连续性的重要性。</w:t>
      </w:r>
    </w:p>
    <w:p w14:paraId="16719EBD" w14:textId="3C0553F3"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强调，中亚国家在东欧国家组内作出了富有成果的积极贡献，包括被提名代表东欧国家组参加《蒙特利尔议定书》下的各个机构。几位代表表示，未经中亚国家同意就将其排除在区域组之外，可能会限制这些国家参与蒙特利尔议定书各机构代表提名和选举的能力，这不符合主权平等、包容性以及所有国家平等代表权的原则。在这方面，一些代表提请注意，中亚国家为确保东欧国家组能够就最近提名阿塞拜疆担任履行委员会成员（任期至</w:t>
      </w:r>
      <w:r w:rsidRPr="009B423C">
        <w:rPr>
          <w:rFonts w:eastAsia="SimSun"/>
          <w:sz w:val="24"/>
          <w:szCs w:val="24"/>
          <w:lang w:val="zh-CN"/>
        </w:rPr>
        <w:t>2027</w:t>
      </w:r>
      <w:r w:rsidRPr="009B423C">
        <w:rPr>
          <w:rFonts w:eastAsia="SimSun"/>
          <w:sz w:val="24"/>
          <w:szCs w:val="24"/>
          <w:lang w:val="zh-CN"/>
        </w:rPr>
        <w:t>年</w:t>
      </w:r>
      <w:r w:rsidRPr="009B423C">
        <w:rPr>
          <w:rFonts w:eastAsia="SimSun"/>
          <w:sz w:val="24"/>
          <w:szCs w:val="24"/>
          <w:lang w:val="zh-CN"/>
        </w:rPr>
        <w:t>12</w:t>
      </w:r>
      <w:r w:rsidRPr="009B423C">
        <w:rPr>
          <w:rFonts w:eastAsia="SimSun"/>
          <w:sz w:val="24"/>
          <w:szCs w:val="24"/>
          <w:lang w:val="zh-CN"/>
        </w:rPr>
        <w:t>月</w:t>
      </w:r>
      <w:r w:rsidRPr="009B423C">
        <w:rPr>
          <w:rFonts w:eastAsia="SimSun"/>
          <w:sz w:val="24"/>
          <w:szCs w:val="24"/>
          <w:lang w:val="zh-CN"/>
        </w:rPr>
        <w:t>31</w:t>
      </w:r>
      <w:r w:rsidRPr="009B423C">
        <w:rPr>
          <w:rFonts w:eastAsia="SimSun"/>
          <w:sz w:val="24"/>
          <w:szCs w:val="24"/>
          <w:lang w:val="zh-CN"/>
        </w:rPr>
        <w:t>日）一事达成协商一致作出了重要贡献。</w:t>
      </w:r>
    </w:p>
    <w:p w14:paraId="1FE379B3" w14:textId="478FAF0E"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对于那些提议改变东欧国家组构成的人，唯一需要问的问题是，这一改变将如何有助于更有效地履行缔约方在《蒙特利尔议定书》及其《基加利修正》下的义务。关于该国家组构成的任何地理考虑因素都无关紧要。此外，一些代表告诫不要将区域代表性问题政治化。几位代表表示，任何影响国家参与区域组的改变均需在透明对话和协商一致的基础上进行，同时考虑到所有相关缔约方的利益。</w:t>
      </w:r>
    </w:p>
    <w:p w14:paraId="74C094FA" w14:textId="67AAEC84"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强调了东欧国家组现有成员所涵盖区域的地理情况，以及长期的历史、经济和环境联系，包括中亚和南高加索地区之间的密切联系，并分享了执行《蒙特利尔议定书》的经验；她表示，这些因素均支持该国家组目前的构成。</w:t>
      </w:r>
    </w:p>
    <w:p w14:paraId="1B202991"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强调，中亚国家是蒙特利尔议定书欧洲和中亚网络中积极且富有建设性的成员，该网络为该区域的合作，特别是技术专家之间的合作提供了有力的体制框架。这种合作促进了专门知识的交流，加强了区域能力，并为该地区有效执行《蒙特利尔议定书》及其《基加利修正》作出了重大贡献。</w:t>
      </w:r>
    </w:p>
    <w:p w14:paraId="3BE764FC" w14:textId="58E65673"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其他几位代表（包括一位代表某组缔约方发言的代表）表示，不限成员名额工作组讨论区域组的构成或缔约方会议就此作出任何决定均不适宜。在联合国范围内，区域组在非正式的基础上运作；每个区域组应确定</w:t>
      </w:r>
      <w:r w:rsidRPr="009B423C">
        <w:rPr>
          <w:rFonts w:eastAsia="SimSun"/>
          <w:sz w:val="24"/>
          <w:szCs w:val="24"/>
          <w:lang w:val="zh-CN"/>
        </w:rPr>
        <w:lastRenderedPageBreak/>
        <w:t>自己的成员构成、开会时间及其提名程序。但一位代表指出，根据公正原则，所有缔约方均应隶属于某个区域组，东欧国家组和亚太国家组应继续就确保中亚国家属于《蒙特利尔议定书》下某个区域组的问题进行磋商。</w:t>
      </w:r>
    </w:p>
    <w:p w14:paraId="3719F210" w14:textId="21EDB9CA"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一些代表（包括一位代表某组缔约方发言的代表）表示，缔约方会议就区域组成员构成作出决定不符合联合国的惯例和做法，可能会开创先例，对多边环境协定下其他区域组产生难以预见的影响。</w:t>
      </w:r>
    </w:p>
    <w:p w14:paraId="79681378" w14:textId="71707B98"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澄清说，在联合国范围内，未曾有任何缔约方试图改变区域组的成员构成。他表示，其缔约方一直谨慎地根据秘书处提供的中立建议采取行动。在这方面，他提请注意秘书处的说明，其中载有关于东欧国家组成员构成的背景资料摘要（</w:t>
      </w:r>
      <w:r w:rsidRPr="009B423C">
        <w:rPr>
          <w:rFonts w:eastAsia="SimSun"/>
          <w:sz w:val="24"/>
          <w:szCs w:val="24"/>
          <w:lang w:val="zh-CN"/>
        </w:rPr>
        <w:t>UNEP/OzL.Pro.WG.1/48/INF/4/Rev.1–UNEP/OzL.Pro.ExMOP.6/INF/1/Rev.1</w:t>
      </w:r>
      <w:r w:rsidRPr="009B423C">
        <w:rPr>
          <w:rFonts w:eastAsia="SimSun"/>
          <w:sz w:val="24"/>
          <w:szCs w:val="24"/>
          <w:lang w:val="zh-CN"/>
        </w:rPr>
        <w:t>），并强调该文件载有东欧国家组的完整名单。</w:t>
      </w:r>
    </w:p>
    <w:p w14:paraId="28BFE39F" w14:textId="5D178823"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强调，联合国大会下各区域组的构成不应影响《蒙特利尔议定书》和《维也纳公约》下各区域组的构成。一些代表还提请注意秘书处说明中的资料汇编，并表示秘书处的结论之一是，其他多边环境协定和论坛有各自的区域组分类，并在其条约机构的成员资格方面有不同的规则；有些采用了联合国五个区域组，而有些则没有采用。鉴于这一事实，应参照《蒙特利尔议定书》下的惯例来审议此事。</w:t>
      </w:r>
    </w:p>
    <w:p w14:paraId="648C1C5B" w14:textId="2C282D50"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以下两种观点都是有道理的：一是中亚国家历来是《蒙特利尔议定书》下东欧国家组的积极成员，应当继续如此；二是这些国家位于亚洲，在联合国其他论坛中是亚太国家组的一部分，因此在《蒙特利尔议定书》下也应该属于该国家组。他重申，该问题需要通过相关缔约方之间的对话和协商来解决。</w:t>
      </w:r>
    </w:p>
    <w:p w14:paraId="6E28C7D7" w14:textId="3636CAE8"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其缔约方（不是东欧国家组成员）愿意应东欧国家组的邀请协助推动目前就该问题进行的讨论。另一位代表某组缔约方发言的代表表示，由并非该国家组成员的缔约方在本次会议间隙参与讨论将会有所帮助。该国家组内部已进行了广泛的讨论，但各方立场均未出现改变迹象。</w:t>
      </w:r>
    </w:p>
    <w:p w14:paraId="2D877BD1" w14:textId="44C51048"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是否留在某个区域组或转入另一区域组的决定是一个国家的主权决定，中亚五国均已明确表示希望留在东欧国家组内。因此，无需就此事进行进一步讨论。在这方面，另一位代表表示，鉴于会员国主权权利的重要性，允许一个根据国际法而言重要性次于会员国的区域组剥夺会员国加入其所选择的区域组的主权权利，似乎是错误的。</w:t>
      </w:r>
    </w:p>
    <w:p w14:paraId="41A5CC61" w14:textId="60C9CC34"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几位代表告诫说不应允许改变该国家组的成员构成，因为这可能会为许多类似的改变开创先例。</w:t>
      </w:r>
    </w:p>
    <w:p w14:paraId="109E7BB5" w14:textId="32693C73"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高级法律干事在回答一位代表的问题时指出，秘书处没有参加各区域组的会议，也没有保留任何会议记录。除其他外，每个区域组都有责任确定哪些国家是其成员，关于加入区域组的决定是在协商一致的基础上作出的。他澄清说，不能迫使缔约方退出区域组。鉴于这一回应，一些代表表示，显然中亚国家应继续是东欧国家组的成员，应结束对此事的讨论。</w:t>
      </w:r>
    </w:p>
    <w:p w14:paraId="2AFC99C2" w14:textId="72D4E1D5"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一位代表某组缔约方发言的代表建议可就该事项开展进一步磋商。一位代表提议将东欧国家组的名称改为东欧、高加索和中亚国家组。</w:t>
      </w:r>
    </w:p>
    <w:p w14:paraId="37A37A7F" w14:textId="53E3988D"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工作组商定，东欧国家组成员和其他相关缔约方将在本次会议间隙继续进行非正式讨论，会议室文件的一名提案方将在全体会议上报告所取得的进展。</w:t>
      </w:r>
    </w:p>
    <w:p w14:paraId="4942ADD5" w14:textId="1D85706C"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随后，亚美尼亚代表</w:t>
      </w:r>
      <w:r w:rsidR="00B6681E" w:rsidRPr="009B423C">
        <w:rPr>
          <w:rStyle w:val="FootnoteReference"/>
          <w:spacing w:val="0"/>
          <w:w w:val="100"/>
          <w:position w:val="0"/>
          <w:sz w:val="24"/>
          <w:szCs w:val="24"/>
          <w:lang w:val="zh-CN"/>
        </w:rPr>
        <w:footnoteReference w:id="4"/>
      </w:r>
      <w:r w:rsidRPr="009B423C">
        <w:rPr>
          <w:rFonts w:eastAsia="SimSun"/>
          <w:sz w:val="24"/>
          <w:szCs w:val="24"/>
          <w:lang w:val="zh-CN"/>
        </w:rPr>
        <w:t>就她主持的关于该问题的非正式磋商作了汇报，并表示尽管在磋商期间提出了几项建议并得到了与会缔约方的审议，但尚未就会议室文件所载的决定草案或该问题的整体解决方案上达成协商一致。</w:t>
      </w:r>
    </w:p>
    <w:p w14:paraId="71AF5BC1" w14:textId="3634F61A" w:rsidR="006331F9" w:rsidRPr="009B423C" w:rsidRDefault="00ED3D3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哈萨克斯坦代表（还代表吉尔吉斯斯坦、塔吉克斯坦、土库曼斯坦和乌兹别克斯坦发言）重申这些国家致力于根据国际法和联合国原则，本着相互尊重、包容和建设性对话的精神，继续与《蒙特利尔议定书》的所有缔约方合作。此外，他重申这些国家意在作为东欧国家组成员继续积极参与。他指出，这些国家作为该决定草案的提案方，一旦确定其作为东欧国家组成员的惯例得到尊重，便愿意撤回该决定草案，不寻求进一步审议。</w:t>
      </w:r>
    </w:p>
    <w:p w14:paraId="4EEBB32C" w14:textId="77777777"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几位代表（包括一些代表某组缔约方发言的代表）对非正式磋商中所有参与者作出的努力表示赞赏；尽管遗憾的是未能达成协商一致，但参与者本着合作精神，努力寻求能够获得协商一致的解决方案。</w:t>
      </w:r>
    </w:p>
    <w:p w14:paraId="5EDC5E6C" w14:textId="080F1B45"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几位代表重申了贯彻主权平等和所有缔约方权利平等原则的重要性，包括缔约方有权自行选择所属的区域组。一些代表回顾了中亚国家多年来对东欧国家组作出的积极贡献，以及该国家组当前成员构成的历史背景和实际原因。</w:t>
      </w:r>
    </w:p>
    <w:p w14:paraId="136BF16C" w14:textId="7D20C2AA"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重申，关于区域组成员构成的决定应在该区域组内部作出，且成员构成的任何变动均需在区域组内达成协商一致。他说，鉴于目前的讨论情况，他的印象是东欧国家组内部尚未达成这种协商一致。</w:t>
      </w:r>
    </w:p>
    <w:p w14:paraId="7D3E7207" w14:textId="733CE4E9"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某组缔约方发言的代表对非正式讨论中作出的所有贡献表示赞赏。他指出，这些缔约方提出了一项务实的提案，即根据东欧缔约方和中亚缔约方之间的协商一致提名中亚缔约方作为东欧国家组的代表。他们认为该提案是平衡的，能够照顾到所有人表达的关切，这在很大程度上符合《蒙特利尔议定书》大家庭内的合作精神和传统。遗憾的是，该提案没有被接受。无论结果如何，该代表对所有参与讨论的缔约方表示感谢。另一位代表指出，如果对该提案的措辞稍作修改，以确保中亚国家享有与东欧国家组内所有其他参与方相同的权利，其缔约方本可以接受该提案。</w:t>
      </w:r>
    </w:p>
    <w:p w14:paraId="03430EE1" w14:textId="6DE9B026"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回顾说，东欧国家组的另一缔约方曾在缔约方第三十七次会议上提出过中亚国家在该国家组的成员资格问题，他表示不理解为什么东欧国家组中的几个缔约方现在采取了这种破坏性做法。针对这一发言，另一位代表表示，他必须明确驳回某一缔约方针对其缔约方作出的不公正指称，并澄清称，其缔约方从未试图改变联合国区域组的成员构成，而是</w:t>
      </w:r>
      <w:r w:rsidRPr="009B423C">
        <w:rPr>
          <w:rFonts w:eastAsia="SimSun"/>
          <w:sz w:val="24"/>
          <w:szCs w:val="24"/>
          <w:lang w:val="zh-CN"/>
        </w:rPr>
        <w:lastRenderedPageBreak/>
        <w:t>始终谨慎地依据秘书处提供的中立建议采取行动，并始终本着合作精神行事。</w:t>
      </w:r>
    </w:p>
    <w:p w14:paraId="618DCFA1" w14:textId="48D02C44"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提议将该国家组的名称改为东欧和中亚国家组，因为这将更准确地反映该国家组的成员构成，既可避免今后出现任何误解，也不会对该国家组内任何一方的权利产生负面影响。他回顾说，这种名称变更是有先例的，在联合国系统范围内，亚洲国家组于</w:t>
      </w:r>
      <w:r w:rsidRPr="009B423C">
        <w:rPr>
          <w:rFonts w:eastAsia="SimSun"/>
          <w:sz w:val="24"/>
          <w:szCs w:val="24"/>
          <w:lang w:val="zh-CN"/>
        </w:rPr>
        <w:t>2011</w:t>
      </w:r>
      <w:r w:rsidRPr="009B423C">
        <w:rPr>
          <w:rFonts w:eastAsia="SimSun"/>
          <w:sz w:val="24"/>
          <w:szCs w:val="24"/>
          <w:lang w:val="zh-CN"/>
        </w:rPr>
        <w:t>年将其名称改为亚太国家组，以更准确地反映其成员构成。此次更名过程十分顺利，在讨论该决定期间未提及任何政治化问题，且此次更名是为了维护各国之间的平等以及符合常识。因此，他别无选择，只能得出这样的结论：一些缔约方不愿意接受中亚国家作为东欧国家组成员的主权权利，也不愿意考虑变更该国家组的名称，这是双重标准和歧视性做法的体现。在这方面，他请高级法律干事从法律和纪律的角度对该情况进行评估。</w:t>
      </w:r>
    </w:p>
    <w:p w14:paraId="3024FD4F" w14:textId="77777777"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一位代表表示，应在未来的会议上继续就此事进行磋商。然而，一些代表表示，鉴于高级法律干事此前已解释称，任何缔约方均无权将另一缔约方排除在区域组之外，此事应被视为已解决，应结束讨论。</w:t>
      </w:r>
    </w:p>
    <w:p w14:paraId="7AB42452" w14:textId="20236A9F" w:rsidR="006331F9" w:rsidRPr="009B423C" w:rsidRDefault="006331F9">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工作组商定将此事列入缔约方第三十八次会议临时议程。</w:t>
      </w:r>
    </w:p>
    <w:p w14:paraId="19153E6D" w14:textId="41EBC34A" w:rsidR="000C6027" w:rsidRPr="009B423C" w:rsidRDefault="000C6027">
      <w:pPr>
        <w:pStyle w:val="CH2"/>
        <w:numPr>
          <w:ilvl w:val="1"/>
          <w:numId w:val="33"/>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proofErr w:type="spellStart"/>
      <w:r w:rsidRPr="009B423C">
        <w:rPr>
          <w:rFonts w:eastAsia="SimHei"/>
          <w:bCs/>
          <w:sz w:val="28"/>
          <w:szCs w:val="28"/>
          <w:lang w:val="zh-CN"/>
        </w:rPr>
        <w:t>一氧化二氮</w:t>
      </w:r>
      <w:proofErr w:type="spellEnd"/>
    </w:p>
    <w:p w14:paraId="5F0887BB" w14:textId="0C558668"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莱索托代表表示，他关于讨论一氧化二氮的提案源于《维也纳公约》附件一，其中将一氧化二氮定义为一种消耗臭氧层物质；还源于科学评估小组</w:t>
      </w:r>
      <w:r w:rsidRPr="009B423C">
        <w:rPr>
          <w:rFonts w:eastAsia="SimSun"/>
          <w:sz w:val="24"/>
          <w:szCs w:val="24"/>
          <w:lang w:val="zh-CN"/>
        </w:rPr>
        <w:t>2022</w:t>
      </w:r>
      <w:r w:rsidRPr="009B423C">
        <w:rPr>
          <w:rFonts w:eastAsia="SimSun"/>
          <w:sz w:val="24"/>
          <w:szCs w:val="24"/>
          <w:lang w:val="zh-CN"/>
        </w:rPr>
        <w:t>年四年度评估报告，其中指出一氧化二氮浓度大幅上升，对平流层臭氧构成威胁。然而，在非洲国家组成员在本次会议间隙进行讨论后，他撤回了该提案，以便进行进一步磋商，以期在未来的会议上提交一份提案。</w:t>
      </w:r>
    </w:p>
    <w:p w14:paraId="654BEA3F" w14:textId="3279F128"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许多代表告诫说，不应作出任何可能扩大《蒙特利尔议定书》范围和加重第</w:t>
      </w:r>
      <w:r w:rsidRPr="009B423C">
        <w:rPr>
          <w:rFonts w:eastAsia="SimSun"/>
          <w:sz w:val="24"/>
          <w:szCs w:val="24"/>
          <w:lang w:val="zh-CN"/>
        </w:rPr>
        <w:t>5</w:t>
      </w:r>
      <w:r w:rsidRPr="009B423C">
        <w:rPr>
          <w:rFonts w:eastAsia="SimSun"/>
          <w:sz w:val="24"/>
          <w:szCs w:val="24"/>
          <w:lang w:val="zh-CN"/>
        </w:rPr>
        <w:t>条缔约方本已极其繁重工作负担的决定，此类决定可能会分散资源，削弱逐步削减氢氟碳化物和逐步淘汰含氢氯氟烃的努力。这些任务的资源和能力建设已严重不足。一位代表表示，尽管一氧化二氮可能对环境产生影响，但主要来源基本是农业，因此不属于《议定书》的范围。限制一氧化二氮的使用可能会对肥料生产产生影响，并增加农业生产成本，影响粮食安全和国家经济能力。他说，他绝不会同意那些在《蒙特利尔议定书》范围之外产生新承诺的提案；此类问题可通过其他多边环境协定解决。另一位代表回顾说存在《远距离越境空气污染公约》及其《关于控制</w:t>
      </w:r>
      <w:r w:rsidR="001F0CBB" w:rsidRPr="001F0CBB">
        <w:rPr>
          <w:rFonts w:eastAsia="SimSun"/>
          <w:sz w:val="24"/>
          <w:szCs w:val="24"/>
          <w:lang w:val="zh-CN"/>
        </w:rPr>
        <w:t>氮氧化物</w:t>
      </w:r>
      <w:r w:rsidRPr="009B423C">
        <w:rPr>
          <w:rFonts w:eastAsia="SimSun"/>
          <w:sz w:val="24"/>
          <w:szCs w:val="24"/>
          <w:lang w:val="zh-CN"/>
        </w:rPr>
        <w:t>排放量或其越境流量的议定书》。与其增加《蒙特利尔议定书》专家的负担，不如利用其他进程下的专家已收集到的资料。</w:t>
      </w:r>
    </w:p>
    <w:p w14:paraId="2C666082"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其他代表（包括一位代表某组缔约方发言的代表）感谢莱索托提出该事项，并强调必须采取以科学为主导的循证办法，及时了解新出现的问题，并研究如何借鉴《蒙特利尔议定书》下积累的经验来解决这些问题。代表某组缔约方发言的代表回顾说，科学评估小组下一份四年期评估报告可能会介绍一氧化二氮，这意味着届时将获得更多信息。</w:t>
      </w:r>
    </w:p>
    <w:p w14:paraId="6E912B19"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lastRenderedPageBreak/>
        <w:t>一位代表表示，他期待非洲国家代表之间进行进一步磋商，以期未来提交一份新的提案。</w:t>
      </w:r>
    </w:p>
    <w:p w14:paraId="522F500C"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工作组结束了对该分项目的讨论，但有一项谅解，即可根据议事规则将该问题列入不限成员名额工作组今后会议或缔约方今后会议的议程中。</w:t>
      </w:r>
    </w:p>
    <w:p w14:paraId="7C1EC0D6" w14:textId="173604CF" w:rsidR="000C6027" w:rsidRPr="009B423C" w:rsidRDefault="000C6027">
      <w:pPr>
        <w:pStyle w:val="CH2"/>
        <w:numPr>
          <w:ilvl w:val="1"/>
          <w:numId w:val="33"/>
        </w:numPr>
        <w:tabs>
          <w:tab w:val="clear" w:pos="851"/>
          <w:tab w:val="clear" w:pos="1247"/>
          <w:tab w:val="clear" w:pos="1871"/>
          <w:tab w:val="clear" w:pos="2495"/>
          <w:tab w:val="clear" w:pos="3119"/>
          <w:tab w:val="clear" w:pos="3742"/>
          <w:tab w:val="clear" w:pos="4366"/>
          <w:tab w:val="clear" w:pos="4990"/>
        </w:tabs>
        <w:ind w:left="1276" w:right="0" w:hanging="709"/>
        <w:rPr>
          <w:rFonts w:eastAsia="SimHei"/>
          <w:sz w:val="28"/>
          <w:szCs w:val="28"/>
          <w:lang w:eastAsia="zh-CN"/>
        </w:rPr>
      </w:pPr>
      <w:r w:rsidRPr="009B423C">
        <w:rPr>
          <w:rFonts w:eastAsia="SimHei"/>
          <w:bCs/>
          <w:sz w:val="28"/>
          <w:szCs w:val="28"/>
          <w:lang w:val="zh-CN" w:eastAsia="zh-CN"/>
        </w:rPr>
        <w:t>阿塞拜疆执行《蒙特利尔议定书》第</w:t>
      </w:r>
      <w:r w:rsidRPr="009B423C">
        <w:rPr>
          <w:rFonts w:eastAsia="SimHei"/>
          <w:bCs/>
          <w:sz w:val="28"/>
          <w:szCs w:val="28"/>
          <w:lang w:val="zh-CN" w:eastAsia="zh-CN"/>
        </w:rPr>
        <w:t>2J</w:t>
      </w:r>
      <w:r w:rsidRPr="009B423C">
        <w:rPr>
          <w:rFonts w:eastAsia="SimHei"/>
          <w:bCs/>
          <w:sz w:val="28"/>
          <w:szCs w:val="28"/>
          <w:lang w:val="zh-CN" w:eastAsia="zh-CN"/>
        </w:rPr>
        <w:t>条第</w:t>
      </w:r>
      <w:r w:rsidRPr="009B423C">
        <w:rPr>
          <w:rFonts w:eastAsia="SimHei"/>
          <w:bCs/>
          <w:sz w:val="28"/>
          <w:szCs w:val="28"/>
          <w:lang w:val="zh-CN" w:eastAsia="zh-CN"/>
        </w:rPr>
        <w:t>2</w:t>
      </w:r>
      <w:r w:rsidRPr="009B423C">
        <w:rPr>
          <w:rFonts w:eastAsia="SimHei"/>
          <w:bCs/>
          <w:sz w:val="28"/>
          <w:szCs w:val="28"/>
          <w:lang w:val="zh-CN" w:eastAsia="zh-CN"/>
        </w:rPr>
        <w:t>和第</w:t>
      </w:r>
      <w:r w:rsidRPr="009B423C">
        <w:rPr>
          <w:rFonts w:eastAsia="SimHei"/>
          <w:bCs/>
          <w:sz w:val="28"/>
          <w:szCs w:val="28"/>
          <w:lang w:val="zh-CN" w:eastAsia="zh-CN"/>
        </w:rPr>
        <w:t>4</w:t>
      </w:r>
      <w:r w:rsidRPr="009B423C">
        <w:rPr>
          <w:rFonts w:eastAsia="SimHei"/>
          <w:bCs/>
          <w:sz w:val="28"/>
          <w:szCs w:val="28"/>
          <w:lang w:val="zh-CN" w:eastAsia="zh-CN"/>
        </w:rPr>
        <w:t>款的情况</w:t>
      </w:r>
    </w:p>
    <w:p w14:paraId="42D8C1D6"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共同主席在介绍该项目时提请注意秘书处说明的增编，其中载有关于审议阿塞拜疆执行《蒙特利尔议定书》第</w:t>
      </w:r>
      <w:r w:rsidRPr="009B423C">
        <w:rPr>
          <w:rFonts w:eastAsia="SimSun"/>
          <w:sz w:val="24"/>
          <w:szCs w:val="24"/>
          <w:lang w:val="zh-CN"/>
        </w:rPr>
        <w:t>2J</w:t>
      </w:r>
      <w:r w:rsidRPr="009B423C">
        <w:rPr>
          <w:rFonts w:eastAsia="SimSun"/>
          <w:sz w:val="24"/>
          <w:szCs w:val="24"/>
          <w:lang w:val="zh-CN"/>
        </w:rPr>
        <w:t>款条第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款情况的提交材料（</w:t>
      </w:r>
      <w:r w:rsidRPr="009B423C">
        <w:rPr>
          <w:rFonts w:eastAsia="SimSun"/>
          <w:sz w:val="24"/>
          <w:szCs w:val="24"/>
          <w:lang w:val="zh-CN"/>
        </w:rPr>
        <w:t>UNEP/OzL.Pro.WG.1/48/2/Add.2</w:t>
      </w:r>
      <w:r w:rsidRPr="009B423C">
        <w:rPr>
          <w:rFonts w:eastAsia="SimSun"/>
          <w:sz w:val="24"/>
          <w:szCs w:val="24"/>
          <w:lang w:val="zh-CN"/>
        </w:rPr>
        <w:t>），该文件已应阿塞拜疆的要求分发。</w:t>
      </w:r>
    </w:p>
    <w:p w14:paraId="1090FE65" w14:textId="037DE30A"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阿塞拜疆代表介绍了一份会议室文件，其中载有拟议决定草案的案文。她解释说，阿塞拜疆最近批准了《基加利修正》，这引发了一些实际执行问题，这些问题源于新的氢氟碳化物控制措施需要与现有含氢氯氟烃（旨在到</w:t>
      </w:r>
      <w:r w:rsidRPr="009B423C">
        <w:rPr>
          <w:rFonts w:eastAsia="SimSun"/>
          <w:sz w:val="24"/>
          <w:szCs w:val="24"/>
          <w:lang w:val="zh-CN"/>
        </w:rPr>
        <w:t>2030</w:t>
      </w:r>
      <w:r w:rsidRPr="009B423C">
        <w:rPr>
          <w:rFonts w:eastAsia="SimSun"/>
          <w:sz w:val="24"/>
          <w:szCs w:val="24"/>
          <w:lang w:val="zh-CN"/>
        </w:rPr>
        <w:t>年淘汰）控制措施同时执行。这包括设立氢氟碳化物基线、制定监管框架和许可证制度、开展部门过渡规划和技术选择等。</w:t>
      </w:r>
    </w:p>
    <w:p w14:paraId="257C1F64" w14:textId="0DF3FA24"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她说，她认识到《蒙特利尔议定书》第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款针对氢氟碳化物逐步削减承诺确立了有区别的执行途径，目的是在缔约方完成其含氢氯氟烃逐步淘汰义务的同时支持实现平稳过渡。缔约方会议已通过各项决定，包括缔约方第二十八次会议第</w:t>
      </w:r>
      <w:r w:rsidRPr="009B423C">
        <w:rPr>
          <w:rFonts w:eastAsia="SimSun"/>
          <w:sz w:val="24"/>
          <w:szCs w:val="24"/>
          <w:lang w:val="zh-CN"/>
        </w:rPr>
        <w:t>XXVIII/2</w:t>
      </w:r>
      <w:r w:rsidRPr="009B423C">
        <w:rPr>
          <w:rFonts w:eastAsia="SimSun"/>
          <w:sz w:val="24"/>
          <w:szCs w:val="24"/>
          <w:lang w:val="zh-CN"/>
        </w:rPr>
        <w:t>号决定，在实践中对这些条款的适用作出了规定。阿塞拜疆认为，其自身情况中出现的执行因素与《蒙特利尔议定书》第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款所设立的机制相关。</w:t>
      </w:r>
    </w:p>
    <w:p w14:paraId="25CD09BC"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一些代表表示同意该提案。然而，另一些代表虽然未必反对，但要求提供更详细的理由说明。他们表示对该提案持开放态度，但希望获得更多关于其理由的信息。</w:t>
      </w:r>
    </w:p>
    <w:p w14:paraId="45FB32EF" w14:textId="0939C0D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一位代表指出，缔约方从未制定适用第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的标准；希望适用这些条款的缔约方是自行表明意愿的。因此，很难判断阿塞拜疆能否也适用这些条款中规定的、略有不同的基线计算公式和逐步削减时间表。他指出，虽然适用这些条款的其他缔约方的情况与阿塞拜疆类似，即它们是非第</w:t>
      </w:r>
      <w:r w:rsidRPr="009B423C">
        <w:rPr>
          <w:rFonts w:eastAsia="SimSun"/>
          <w:sz w:val="24"/>
          <w:szCs w:val="24"/>
          <w:lang w:val="zh-CN"/>
        </w:rPr>
        <w:t>5</w:t>
      </w:r>
      <w:r w:rsidRPr="009B423C">
        <w:rPr>
          <w:rFonts w:eastAsia="SimSun"/>
          <w:sz w:val="24"/>
          <w:szCs w:val="24"/>
          <w:lang w:val="zh-CN"/>
        </w:rPr>
        <w:t>条缔约方，且通过全球环境基金获得了执行方面的支持，但他不确定这一点本身能够构成充分的理由。</w:t>
      </w:r>
    </w:p>
    <w:p w14:paraId="50DDD929"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另一位代表补充说，处于类似状况的缔约方可通过其他方式请求援助，例如通过履行委员会请求支持。他还指出，由于从</w:t>
      </w:r>
      <w:r w:rsidRPr="009B423C">
        <w:rPr>
          <w:rFonts w:eastAsia="SimSun"/>
          <w:sz w:val="24"/>
          <w:szCs w:val="24"/>
          <w:lang w:val="zh-CN"/>
        </w:rPr>
        <w:t>2029</w:t>
      </w:r>
      <w:r w:rsidRPr="009B423C">
        <w:rPr>
          <w:rFonts w:eastAsia="SimSun"/>
          <w:sz w:val="24"/>
          <w:szCs w:val="24"/>
          <w:lang w:val="zh-CN"/>
        </w:rPr>
        <w:t>年起第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款中的氢氟碳化物逐步削减时间表与第</w:t>
      </w:r>
      <w:r w:rsidRPr="009B423C">
        <w:rPr>
          <w:rFonts w:eastAsia="SimSun"/>
          <w:sz w:val="24"/>
          <w:szCs w:val="24"/>
          <w:lang w:val="zh-CN"/>
        </w:rPr>
        <w:t>2J</w:t>
      </w:r>
      <w:r w:rsidRPr="009B423C">
        <w:rPr>
          <w:rFonts w:eastAsia="SimSun"/>
          <w:sz w:val="24"/>
          <w:szCs w:val="24"/>
          <w:lang w:val="zh-CN"/>
        </w:rPr>
        <w:t>条其余部分的时间表趋于一致，因此尚不清楚该决定实际上会产生多大影响。</w:t>
      </w:r>
    </w:p>
    <w:p w14:paraId="69E0C7AB" w14:textId="77777777" w:rsidR="000C6027" w:rsidRPr="009B423C" w:rsidRDefault="000C6027">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共同主席请阿塞拜疆向提出请求的代表提供更多信息，以帮助他们更深入地了解情况。然后，工作组可以在稍后阶段继续讨论。</w:t>
      </w:r>
    </w:p>
    <w:p w14:paraId="7AE2FDC6" w14:textId="4811FC80" w:rsidR="002150BE" w:rsidRPr="009B423C" w:rsidRDefault="002150BE">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随后，阿塞拜疆代表报告说，她已与相关代表进行了磋商，这些代表表示为了更好地理解阿塞拜疆代表团提交的材料，还需要进一步的澄清和信息。因此，工作组商定在缔约方第三十八次会议上，根据本报告附件一第二</w:t>
      </w:r>
      <w:r w:rsidRPr="009B423C">
        <w:rPr>
          <w:rFonts w:eastAsia="SimSun"/>
          <w:sz w:val="24"/>
          <w:szCs w:val="24"/>
          <w:lang w:val="zh-CN"/>
        </w:rPr>
        <w:t>.C</w:t>
      </w:r>
      <w:r w:rsidRPr="009B423C">
        <w:rPr>
          <w:rFonts w:eastAsia="SimSun"/>
          <w:sz w:val="24"/>
          <w:szCs w:val="24"/>
          <w:lang w:val="zh-CN"/>
        </w:rPr>
        <w:t>节所载的决定草案，继续讨论阿塞拜疆执行《蒙特利尔议定书》第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款的情况。</w:t>
      </w:r>
    </w:p>
    <w:p w14:paraId="607E02B4" w14:textId="3BC1F96C" w:rsidR="001F1F39" w:rsidRPr="009B423C" w:rsidRDefault="000704E6">
      <w:pPr>
        <w:pStyle w:val="CH1"/>
        <w:numPr>
          <w:ilvl w:val="0"/>
          <w:numId w:val="28"/>
        </w:numPr>
        <w:tabs>
          <w:tab w:val="clear" w:pos="851"/>
          <w:tab w:val="clear" w:pos="1247"/>
          <w:tab w:val="clear" w:pos="1871"/>
          <w:tab w:val="clear" w:pos="2495"/>
          <w:tab w:val="clear" w:pos="3119"/>
          <w:tab w:val="clear" w:pos="3742"/>
          <w:tab w:val="clear" w:pos="4366"/>
          <w:tab w:val="clear" w:pos="4990"/>
        </w:tabs>
        <w:ind w:left="1276" w:hanging="851"/>
        <w:rPr>
          <w:rFonts w:eastAsia="SimHei"/>
          <w:sz w:val="32"/>
          <w:szCs w:val="32"/>
        </w:rPr>
      </w:pPr>
      <w:proofErr w:type="spellStart"/>
      <w:r w:rsidRPr="009B423C">
        <w:rPr>
          <w:rFonts w:eastAsia="SimHei"/>
          <w:bCs/>
          <w:sz w:val="32"/>
          <w:szCs w:val="32"/>
          <w:lang w:val="zh-CN"/>
        </w:rPr>
        <w:lastRenderedPageBreak/>
        <w:t>通过会议报告</w:t>
      </w:r>
      <w:proofErr w:type="spellEnd"/>
    </w:p>
    <w:p w14:paraId="2F64F885" w14:textId="5DFF6261" w:rsidR="002150BE" w:rsidRPr="009B423C" w:rsidRDefault="002150BE">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pPr>
      <w:r w:rsidRPr="009B423C">
        <w:rPr>
          <w:rFonts w:eastAsia="SimSun"/>
          <w:sz w:val="24"/>
          <w:szCs w:val="24"/>
          <w:lang w:val="zh-CN"/>
        </w:rPr>
        <w:t>缔约方在已分发的报告草案基础上通过了经口头修正的本报告。臭氧秘书处受托为报告定稿。</w:t>
      </w:r>
    </w:p>
    <w:p w14:paraId="5D3AAF65" w14:textId="19AB34F2" w:rsidR="001F1F39" w:rsidRPr="009B423C" w:rsidRDefault="000704E6" w:rsidP="00CE038E">
      <w:pPr>
        <w:pStyle w:val="CH1"/>
        <w:tabs>
          <w:tab w:val="clear" w:pos="851"/>
          <w:tab w:val="clear" w:pos="1247"/>
          <w:tab w:val="clear" w:pos="1871"/>
          <w:tab w:val="clear" w:pos="2495"/>
          <w:tab w:val="clear" w:pos="3119"/>
          <w:tab w:val="clear" w:pos="3742"/>
          <w:tab w:val="clear" w:pos="4366"/>
          <w:tab w:val="clear" w:pos="4990"/>
        </w:tabs>
        <w:ind w:left="1248" w:hanging="1106"/>
        <w:rPr>
          <w:rFonts w:eastAsia="SimHei"/>
          <w:sz w:val="32"/>
          <w:szCs w:val="32"/>
        </w:rPr>
      </w:pPr>
      <w:proofErr w:type="spellStart"/>
      <w:r w:rsidRPr="009B423C">
        <w:rPr>
          <w:rFonts w:eastAsia="SimHei"/>
          <w:bCs/>
          <w:sz w:val="32"/>
          <w:szCs w:val="32"/>
          <w:lang w:val="zh-CN"/>
        </w:rPr>
        <w:t>十一</w:t>
      </w:r>
      <w:proofErr w:type="spellEnd"/>
      <w:r w:rsidRPr="009B423C">
        <w:rPr>
          <w:rFonts w:eastAsia="SimHei"/>
          <w:bCs/>
          <w:sz w:val="32"/>
          <w:szCs w:val="32"/>
          <w:lang w:val="zh-CN"/>
        </w:rPr>
        <w:t>、</w:t>
      </w:r>
      <w:r w:rsidRPr="009B423C">
        <w:rPr>
          <w:rFonts w:eastAsia="SimHei"/>
          <w:sz w:val="32"/>
          <w:szCs w:val="32"/>
          <w:lang w:val="zh-CN"/>
        </w:rPr>
        <w:tab/>
      </w:r>
      <w:proofErr w:type="spellStart"/>
      <w:r w:rsidRPr="009B423C">
        <w:rPr>
          <w:rFonts w:eastAsia="SimHei"/>
          <w:bCs/>
          <w:sz w:val="32"/>
          <w:szCs w:val="32"/>
          <w:lang w:val="zh-CN"/>
        </w:rPr>
        <w:t>会议闭幕</w:t>
      </w:r>
      <w:proofErr w:type="spellEnd"/>
    </w:p>
    <w:p w14:paraId="740F7018" w14:textId="782021B4" w:rsidR="001C6E4C" w:rsidRPr="009B423C" w:rsidRDefault="002150BE">
      <w:pPr>
        <w:pStyle w:val="Normalnumber"/>
        <w:numPr>
          <w:ilvl w:val="0"/>
          <w:numId w:val="18"/>
        </w:numPr>
        <w:tabs>
          <w:tab w:val="clear" w:pos="1247"/>
          <w:tab w:val="clear" w:pos="1814"/>
          <w:tab w:val="clear" w:pos="2381"/>
          <w:tab w:val="clear" w:pos="2948"/>
          <w:tab w:val="clear" w:pos="3515"/>
          <w:tab w:val="left" w:pos="624"/>
        </w:tabs>
        <w:spacing w:line="240" w:lineRule="auto"/>
        <w:ind w:left="1247" w:firstLine="0"/>
        <w:rPr>
          <w:rFonts w:eastAsia="SimSun"/>
          <w:sz w:val="24"/>
          <w:szCs w:val="24"/>
        </w:rPr>
        <w:sectPr w:rsidR="001C6E4C" w:rsidRPr="009B423C" w:rsidSect="00B66F8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135" w:footer="1013" w:gutter="0"/>
          <w:cols w:space="708"/>
          <w:titlePg/>
          <w:docGrid w:linePitch="360"/>
        </w:sectPr>
      </w:pPr>
      <w:r w:rsidRPr="009B423C">
        <w:rPr>
          <w:rFonts w:eastAsia="SimSun"/>
          <w:sz w:val="24"/>
          <w:szCs w:val="24"/>
          <w:lang w:val="zh-CN"/>
        </w:rPr>
        <w:t>按惯例相互致意后，会议于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7</w:t>
      </w:r>
      <w:r w:rsidRPr="009B423C">
        <w:rPr>
          <w:rFonts w:eastAsia="SimSun"/>
          <w:sz w:val="24"/>
          <w:szCs w:val="24"/>
          <w:lang w:val="zh-CN"/>
        </w:rPr>
        <w:t>月</w:t>
      </w:r>
      <w:r w:rsidRPr="009B423C">
        <w:rPr>
          <w:rFonts w:eastAsia="SimSun"/>
          <w:sz w:val="24"/>
          <w:szCs w:val="24"/>
          <w:lang w:val="zh-CN"/>
        </w:rPr>
        <w:t>17</w:t>
      </w:r>
      <w:r w:rsidRPr="009B423C">
        <w:rPr>
          <w:rFonts w:eastAsia="SimSun"/>
          <w:sz w:val="24"/>
          <w:szCs w:val="24"/>
          <w:lang w:val="zh-CN"/>
        </w:rPr>
        <w:t>日星期五晚上</w:t>
      </w:r>
      <w:r w:rsidRPr="009B423C">
        <w:rPr>
          <w:rFonts w:eastAsia="SimSun"/>
          <w:sz w:val="24"/>
          <w:szCs w:val="24"/>
          <w:lang w:val="zh-CN"/>
        </w:rPr>
        <w:t>8</w:t>
      </w:r>
      <w:r w:rsidRPr="009B423C">
        <w:rPr>
          <w:rFonts w:eastAsia="SimSun"/>
          <w:sz w:val="24"/>
          <w:szCs w:val="24"/>
          <w:lang w:val="zh-CN"/>
        </w:rPr>
        <w:t>时</w:t>
      </w:r>
      <w:r w:rsidRPr="009B423C">
        <w:rPr>
          <w:rFonts w:eastAsia="SimSun"/>
          <w:sz w:val="24"/>
          <w:szCs w:val="24"/>
          <w:lang w:val="zh-CN"/>
        </w:rPr>
        <w:t>40</w:t>
      </w:r>
      <w:r w:rsidRPr="009B423C">
        <w:rPr>
          <w:rFonts w:eastAsia="SimSun"/>
          <w:sz w:val="24"/>
          <w:szCs w:val="24"/>
          <w:lang w:val="zh-CN"/>
        </w:rPr>
        <w:t>分宣布闭幕。</w:t>
      </w:r>
    </w:p>
    <w:p w14:paraId="478AFC41" w14:textId="77777777" w:rsidR="00604540" w:rsidRPr="009B423C" w:rsidRDefault="00604540" w:rsidP="009B423C">
      <w:pPr>
        <w:tabs>
          <w:tab w:val="clear" w:pos="1247"/>
          <w:tab w:val="clear" w:pos="1814"/>
          <w:tab w:val="clear" w:pos="2381"/>
          <w:tab w:val="clear" w:pos="2948"/>
          <w:tab w:val="clear" w:pos="3515"/>
        </w:tabs>
        <w:spacing w:line="240" w:lineRule="auto"/>
      </w:pPr>
      <w:r w:rsidRPr="009B423C">
        <w:br w:type="page"/>
      </w:r>
    </w:p>
    <w:p w14:paraId="16733EA6" w14:textId="5C4FCD6C" w:rsidR="00604540" w:rsidRPr="009B423C" w:rsidRDefault="00604540" w:rsidP="009B423C">
      <w:pPr>
        <w:pStyle w:val="ZZAnxheader"/>
        <w:rPr>
          <w:rFonts w:eastAsia="SimHei"/>
          <w:sz w:val="32"/>
          <w:szCs w:val="32"/>
          <w:lang w:eastAsia="zh-CN"/>
        </w:rPr>
      </w:pPr>
      <w:r w:rsidRPr="009B423C">
        <w:rPr>
          <w:rFonts w:eastAsia="SimHei"/>
          <w:sz w:val="32"/>
          <w:szCs w:val="32"/>
          <w:lang w:val="zh-CN" w:eastAsia="zh-CN"/>
        </w:rPr>
        <w:lastRenderedPageBreak/>
        <w:t>附件一</w:t>
      </w:r>
      <w:r w:rsidR="00B6681E" w:rsidRPr="009B423C">
        <w:rPr>
          <w:rStyle w:val="FootnoteReference"/>
          <w:rFonts w:eastAsia="SimHei"/>
          <w:b w:val="0"/>
          <w:bCs w:val="0"/>
          <w:spacing w:val="0"/>
          <w:w w:val="100"/>
          <w:position w:val="0"/>
          <w:sz w:val="32"/>
          <w:szCs w:val="32"/>
          <w:vertAlign w:val="baseline"/>
          <w:lang w:val="zh-CN" w:eastAsia="zh-CN"/>
        </w:rPr>
        <w:footnoteReference w:customMarkFollows="1" w:id="5"/>
        <w:t>*</w:t>
      </w:r>
    </w:p>
    <w:p w14:paraId="7B5F4885" w14:textId="533302B9" w:rsidR="002150BE" w:rsidRPr="009B423C" w:rsidRDefault="00604540" w:rsidP="00D35A3C">
      <w:pPr>
        <w:pStyle w:val="Normalnumber"/>
        <w:spacing w:before="360" w:line="240" w:lineRule="auto"/>
        <w:ind w:left="1247"/>
        <w:jc w:val="left"/>
        <w:rPr>
          <w:rFonts w:eastAsia="SimHei"/>
          <w:b/>
          <w:bCs/>
          <w:sz w:val="32"/>
          <w:szCs w:val="32"/>
        </w:rPr>
      </w:pPr>
      <w:r w:rsidRPr="009B423C">
        <w:rPr>
          <w:rFonts w:eastAsia="SimHei"/>
          <w:b/>
          <w:bCs/>
          <w:sz w:val="32"/>
          <w:szCs w:val="32"/>
          <w:lang w:val="zh-CN"/>
        </w:rPr>
        <w:t>拟递交缔约方第三十八次会议的决定草案</w:t>
      </w:r>
    </w:p>
    <w:p w14:paraId="6D463F60" w14:textId="3AB87D48" w:rsidR="008B41A5" w:rsidRPr="009B423C" w:rsidRDefault="008B41A5" w:rsidP="009B423C">
      <w:pPr>
        <w:pStyle w:val="NormalNonumber"/>
        <w:jc w:val="both"/>
        <w:rPr>
          <w:rFonts w:eastAsia="SimSun"/>
          <w:sz w:val="24"/>
          <w:szCs w:val="24"/>
          <w:lang w:eastAsia="zh-CN"/>
        </w:rPr>
      </w:pPr>
      <w:r w:rsidRPr="009B423C">
        <w:rPr>
          <w:rFonts w:eastAsia="SimSun"/>
          <w:sz w:val="24"/>
          <w:szCs w:val="24"/>
          <w:lang w:val="zh-CN" w:eastAsia="zh-CN"/>
        </w:rPr>
        <w:t>工作组商定向缔约方第三十八次会议递交第一节所载的决定草案供其酌情通过，以及第二节所载的各项决定草案供其进一步审议，但有一项谅解，即第二节所载的各项决定草案不构成商定案文，草案全文须经进一步谈判。</w:t>
      </w:r>
    </w:p>
    <w:p w14:paraId="197864AC" w14:textId="22AB1920" w:rsidR="000141C8" w:rsidRPr="009B423C" w:rsidRDefault="009C12FA">
      <w:pPr>
        <w:pStyle w:val="CH1"/>
        <w:numPr>
          <w:ilvl w:val="1"/>
          <w:numId w:val="34"/>
        </w:numPr>
        <w:tabs>
          <w:tab w:val="clear" w:pos="851"/>
          <w:tab w:val="clear" w:pos="1247"/>
          <w:tab w:val="clear" w:pos="1871"/>
          <w:tab w:val="clear" w:pos="2495"/>
          <w:tab w:val="clear" w:pos="3119"/>
          <w:tab w:val="clear" w:pos="3742"/>
          <w:tab w:val="clear" w:pos="4366"/>
          <w:tab w:val="clear" w:pos="4990"/>
        </w:tabs>
        <w:ind w:left="1276" w:hanging="850"/>
        <w:rPr>
          <w:rFonts w:eastAsia="SimHei"/>
          <w:sz w:val="32"/>
          <w:szCs w:val="32"/>
          <w:lang w:eastAsia="zh-CN"/>
        </w:rPr>
      </w:pPr>
      <w:r w:rsidRPr="009B423C">
        <w:rPr>
          <w:rFonts w:eastAsia="SimHei"/>
          <w:bCs/>
          <w:sz w:val="32"/>
          <w:szCs w:val="32"/>
          <w:lang w:val="zh-CN" w:eastAsia="zh-CN"/>
        </w:rPr>
        <w:t>供缔约方第三十八次会议酌情通过的决定草案</w:t>
      </w:r>
    </w:p>
    <w:p w14:paraId="3ABAD59A" w14:textId="77777777" w:rsidR="000141C8" w:rsidRPr="009B423C" w:rsidRDefault="000141C8" w:rsidP="009B423C">
      <w:pPr>
        <w:pStyle w:val="CH2"/>
        <w:rPr>
          <w:rFonts w:ascii="SimHei" w:eastAsia="SimHei" w:hAnsi="SimHei"/>
          <w:sz w:val="28"/>
          <w:szCs w:val="28"/>
          <w:lang w:eastAsia="zh-CN"/>
        </w:rPr>
      </w:pPr>
      <w:r w:rsidRPr="009B423C">
        <w:rPr>
          <w:lang w:val="zh-CN" w:eastAsia="zh-CN"/>
        </w:rPr>
        <w:tab/>
      </w:r>
      <w:r w:rsidRPr="009B423C">
        <w:rPr>
          <w:rFonts w:ascii="SimHei" w:eastAsia="SimHei" w:hAnsi="SimHei"/>
          <w:sz w:val="28"/>
          <w:szCs w:val="28"/>
          <w:lang w:val="zh-CN" w:eastAsia="zh-CN"/>
        </w:rPr>
        <w:tab/>
      </w:r>
      <w:r w:rsidRPr="009B423C">
        <w:rPr>
          <w:rFonts w:ascii="SimHei" w:eastAsia="SimHei" w:hAnsi="SimHei"/>
          <w:bCs/>
          <w:sz w:val="28"/>
          <w:szCs w:val="28"/>
          <w:lang w:val="zh-CN" w:eastAsia="zh-CN"/>
        </w:rPr>
        <w:t>关于受控物质销毁技术的决定草案</w:t>
      </w:r>
    </w:p>
    <w:p w14:paraId="2CA15AD9" w14:textId="77777777" w:rsidR="000141C8" w:rsidRPr="009B423C" w:rsidRDefault="000141C8" w:rsidP="009B423C">
      <w:pPr>
        <w:tabs>
          <w:tab w:val="clear" w:pos="1247"/>
          <w:tab w:val="clear" w:pos="1814"/>
          <w:tab w:val="clear" w:pos="2381"/>
          <w:tab w:val="clear" w:pos="2948"/>
          <w:tab w:val="clear" w:pos="3515"/>
          <w:tab w:val="left" w:pos="624"/>
        </w:tabs>
        <w:spacing w:line="240" w:lineRule="auto"/>
        <w:ind w:left="1247" w:firstLine="624"/>
        <w:rPr>
          <w:rFonts w:ascii="KaiTi" w:eastAsia="KaiTi" w:hAnsi="KaiTi"/>
          <w:sz w:val="24"/>
          <w:szCs w:val="24"/>
        </w:rPr>
      </w:pPr>
      <w:r w:rsidRPr="009B423C">
        <w:rPr>
          <w:rFonts w:ascii="KaiTi" w:eastAsia="KaiTi" w:hAnsi="KaiTi"/>
          <w:sz w:val="24"/>
          <w:szCs w:val="24"/>
          <w:lang w:val="zh-CN"/>
        </w:rPr>
        <w:t>缔约方第三十八次会议，</w:t>
      </w:r>
    </w:p>
    <w:p w14:paraId="452711DF" w14:textId="77777777" w:rsidR="000141C8" w:rsidRPr="009B423C" w:rsidRDefault="000141C8"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回顾</w:t>
      </w:r>
      <w:r w:rsidRPr="009B423C">
        <w:rPr>
          <w:rFonts w:eastAsia="SimSun"/>
          <w:sz w:val="24"/>
          <w:szCs w:val="24"/>
          <w:lang w:val="zh-CN"/>
        </w:rPr>
        <w:t>第</w:t>
      </w:r>
      <w:r w:rsidRPr="009B423C">
        <w:rPr>
          <w:rFonts w:eastAsia="SimSun"/>
          <w:sz w:val="24"/>
          <w:szCs w:val="24"/>
          <w:lang w:val="zh-CN"/>
        </w:rPr>
        <w:t>IV/11</w:t>
      </w:r>
      <w:r w:rsidRPr="009B423C">
        <w:rPr>
          <w:rFonts w:eastAsia="SimSun"/>
          <w:sz w:val="24"/>
          <w:szCs w:val="24"/>
          <w:lang w:val="zh-CN"/>
        </w:rPr>
        <w:t>号决定请技术和经济评估小组评价提交的新兴技术，并编写建议供关于消耗臭氧层物质的蒙特利尔议定书缔约方年度会议审议，</w:t>
      </w:r>
    </w:p>
    <w:p w14:paraId="06E56617" w14:textId="77777777" w:rsidR="000141C8" w:rsidRPr="009B423C" w:rsidRDefault="000141C8"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表示赞赏地注意到</w:t>
      </w:r>
      <w:r w:rsidRPr="009B423C">
        <w:rPr>
          <w:rFonts w:eastAsia="SimSun"/>
          <w:sz w:val="24"/>
          <w:szCs w:val="24"/>
          <w:lang w:val="zh-CN"/>
        </w:rPr>
        <w:t>技术和经济评估小组医疗和化学品技术选择委员会</w:t>
      </w:r>
      <w:r w:rsidRPr="009B423C">
        <w:rPr>
          <w:rFonts w:eastAsia="SimSun"/>
          <w:sz w:val="24"/>
          <w:szCs w:val="24"/>
          <w:lang w:val="zh-CN"/>
        </w:rPr>
        <w:t>2026</w:t>
      </w:r>
      <w:r w:rsidRPr="009B423C">
        <w:rPr>
          <w:rFonts w:eastAsia="SimSun"/>
          <w:sz w:val="24"/>
          <w:szCs w:val="24"/>
          <w:lang w:val="zh-CN"/>
        </w:rPr>
        <w:t>年进度报告，其中载有加拿大提交的关于一项销毁技术的评价，</w:t>
      </w:r>
    </w:p>
    <w:p w14:paraId="298A3E2C" w14:textId="77777777" w:rsidR="000141C8" w:rsidRPr="009B423C" w:rsidRDefault="000141C8" w:rsidP="009B423C">
      <w:pPr>
        <w:tabs>
          <w:tab w:val="clear" w:pos="1247"/>
          <w:tab w:val="clear" w:pos="1814"/>
          <w:tab w:val="clear" w:pos="2381"/>
          <w:tab w:val="clear" w:pos="2948"/>
          <w:tab w:val="clear" w:pos="3515"/>
          <w:tab w:val="left" w:pos="624"/>
        </w:tabs>
        <w:spacing w:line="240" w:lineRule="auto"/>
        <w:ind w:left="1247" w:firstLine="624"/>
        <w:rPr>
          <w:rFonts w:eastAsia="SimSun"/>
          <w:i/>
          <w:iCs/>
          <w:sz w:val="24"/>
          <w:szCs w:val="24"/>
        </w:rPr>
      </w:pPr>
      <w:r w:rsidRPr="009B423C">
        <w:rPr>
          <w:rFonts w:ascii="KaiTi" w:eastAsia="KaiTi" w:hAnsi="KaiTi"/>
          <w:sz w:val="24"/>
          <w:szCs w:val="24"/>
          <w:lang w:val="zh-CN"/>
        </w:rPr>
        <w:t>又表示赞赏地注意到</w:t>
      </w:r>
      <w:r w:rsidRPr="009B423C">
        <w:rPr>
          <w:rFonts w:eastAsia="SimSun"/>
          <w:sz w:val="24"/>
          <w:szCs w:val="24"/>
          <w:lang w:val="zh-CN"/>
        </w:rPr>
        <w:t>技术和经济评估小组对该销毁技术在销毁去除率方面的评价及其关于将该技术列入缔约方已核准销毁技术清单的建议，</w:t>
      </w:r>
    </w:p>
    <w:p w14:paraId="427B9506" w14:textId="77777777" w:rsidR="000141C8" w:rsidRPr="009B423C" w:rsidRDefault="000141C8" w:rsidP="009B423C">
      <w:pPr>
        <w:tabs>
          <w:tab w:val="clear" w:pos="1247"/>
          <w:tab w:val="clear" w:pos="1814"/>
          <w:tab w:val="clear" w:pos="2381"/>
          <w:tab w:val="clear" w:pos="2948"/>
          <w:tab w:val="clear" w:pos="3515"/>
          <w:tab w:val="left" w:pos="624"/>
        </w:tabs>
        <w:spacing w:line="240" w:lineRule="auto"/>
        <w:ind w:left="1247" w:firstLine="624"/>
        <w:rPr>
          <w:rFonts w:ascii="KaiTi" w:eastAsia="KaiTi" w:hAnsi="KaiTi"/>
          <w:bCs/>
          <w:sz w:val="24"/>
          <w:szCs w:val="24"/>
        </w:rPr>
      </w:pPr>
      <w:r w:rsidRPr="009B423C">
        <w:rPr>
          <w:rFonts w:ascii="KaiTi" w:eastAsia="KaiTi" w:hAnsi="KaiTi"/>
          <w:sz w:val="24"/>
          <w:szCs w:val="24"/>
          <w:lang w:val="zh-CN"/>
        </w:rPr>
        <w:t>决定：</w:t>
      </w:r>
    </w:p>
    <w:p w14:paraId="1A10E2BF" w14:textId="77777777" w:rsidR="000141C8" w:rsidRPr="009B423C" w:rsidRDefault="000141C8">
      <w:pPr>
        <w:numPr>
          <w:ilvl w:val="0"/>
          <w:numId w:val="22"/>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eastAsia="SimSun"/>
          <w:sz w:val="24"/>
          <w:szCs w:val="24"/>
          <w:lang w:val="zh-CN"/>
        </w:rPr>
        <w:t>为《蒙特利尔议定书》第</w:t>
      </w:r>
      <w:r w:rsidRPr="009B423C">
        <w:rPr>
          <w:rFonts w:eastAsia="SimSun"/>
          <w:sz w:val="24"/>
          <w:szCs w:val="24"/>
          <w:lang w:val="zh-CN"/>
        </w:rPr>
        <w:t>1</w:t>
      </w:r>
      <w:r w:rsidRPr="009B423C">
        <w:rPr>
          <w:rFonts w:eastAsia="SimSun"/>
          <w:sz w:val="24"/>
          <w:szCs w:val="24"/>
          <w:lang w:val="zh-CN"/>
        </w:rPr>
        <w:t>条第</w:t>
      </w:r>
      <w:r w:rsidRPr="009B423C">
        <w:rPr>
          <w:rFonts w:eastAsia="SimSun"/>
          <w:sz w:val="24"/>
          <w:szCs w:val="24"/>
          <w:lang w:val="zh-CN"/>
        </w:rPr>
        <w:t>5</w:t>
      </w:r>
      <w:r w:rsidRPr="009B423C">
        <w:rPr>
          <w:rFonts w:eastAsia="SimSun"/>
          <w:sz w:val="24"/>
          <w:szCs w:val="24"/>
          <w:lang w:val="zh-CN"/>
        </w:rPr>
        <w:t>款之目的，核准本决定附件中所载的以下销毁技术，作为缔约方第四次会议报告附件六</w:t>
      </w:r>
      <w:r w:rsidRPr="009B423C">
        <w:rPr>
          <w:rFonts w:eastAsia="SimSun"/>
          <w:sz w:val="24"/>
          <w:szCs w:val="24"/>
          <w:vertAlign w:val="superscript"/>
          <w:lang w:val="zh-CN"/>
        </w:rPr>
        <w:footnoteReference w:id="6"/>
      </w:r>
      <w:r w:rsidRPr="009B423C">
        <w:rPr>
          <w:rFonts w:eastAsia="SimSun"/>
          <w:sz w:val="24"/>
          <w:szCs w:val="24"/>
          <w:lang w:val="zh-CN"/>
        </w:rPr>
        <w:t>所列并经第</w:t>
      </w:r>
      <w:r w:rsidRPr="009B423C">
        <w:rPr>
          <w:rFonts w:eastAsia="SimSun"/>
          <w:sz w:val="24"/>
          <w:szCs w:val="24"/>
          <w:lang w:val="zh-CN"/>
        </w:rPr>
        <w:t>V/26</w:t>
      </w:r>
      <w:r w:rsidRPr="009B423C">
        <w:rPr>
          <w:rFonts w:eastAsia="SimSun"/>
          <w:sz w:val="24"/>
          <w:szCs w:val="24"/>
          <w:lang w:val="zh-CN"/>
        </w:rPr>
        <w:t>、</w:t>
      </w:r>
      <w:r w:rsidRPr="009B423C">
        <w:rPr>
          <w:rFonts w:eastAsia="SimSun"/>
          <w:sz w:val="24"/>
          <w:szCs w:val="24"/>
          <w:lang w:val="zh-CN"/>
        </w:rPr>
        <w:t>VII/35</w:t>
      </w:r>
      <w:r w:rsidRPr="009B423C">
        <w:rPr>
          <w:rFonts w:eastAsia="SimSun"/>
          <w:sz w:val="24"/>
          <w:szCs w:val="24"/>
          <w:lang w:val="zh-CN"/>
        </w:rPr>
        <w:t>、</w:t>
      </w:r>
      <w:r w:rsidRPr="009B423C">
        <w:rPr>
          <w:rFonts w:eastAsia="SimSun"/>
          <w:sz w:val="24"/>
          <w:szCs w:val="24"/>
          <w:lang w:val="zh-CN"/>
        </w:rPr>
        <w:t>XIV/6</w:t>
      </w:r>
      <w:r w:rsidRPr="009B423C">
        <w:rPr>
          <w:rFonts w:eastAsia="SimSun"/>
          <w:sz w:val="24"/>
          <w:szCs w:val="24"/>
          <w:lang w:val="zh-CN"/>
        </w:rPr>
        <w:t>、</w:t>
      </w:r>
      <w:r w:rsidRPr="009B423C">
        <w:rPr>
          <w:rFonts w:eastAsia="SimSun"/>
          <w:sz w:val="24"/>
          <w:szCs w:val="24"/>
          <w:lang w:val="zh-CN"/>
        </w:rPr>
        <w:t>XXIX/4</w:t>
      </w:r>
      <w:r w:rsidRPr="009B423C">
        <w:rPr>
          <w:rFonts w:eastAsia="SimSun"/>
          <w:sz w:val="24"/>
          <w:szCs w:val="24"/>
          <w:lang w:val="zh-CN"/>
        </w:rPr>
        <w:t>、</w:t>
      </w:r>
      <w:r w:rsidRPr="009B423C">
        <w:rPr>
          <w:rFonts w:eastAsia="SimSun"/>
          <w:sz w:val="24"/>
          <w:szCs w:val="24"/>
          <w:lang w:val="zh-CN"/>
        </w:rPr>
        <w:t>XXX/6</w:t>
      </w:r>
      <w:r w:rsidRPr="009B423C">
        <w:rPr>
          <w:rFonts w:eastAsia="SimSun"/>
          <w:sz w:val="24"/>
          <w:szCs w:val="24"/>
          <w:lang w:val="zh-CN"/>
        </w:rPr>
        <w:t>和</w:t>
      </w:r>
      <w:r w:rsidRPr="009B423C">
        <w:rPr>
          <w:rFonts w:eastAsia="SimSun"/>
          <w:sz w:val="24"/>
          <w:szCs w:val="24"/>
          <w:lang w:val="zh-CN"/>
        </w:rPr>
        <w:t>XXXV/5</w:t>
      </w:r>
      <w:r w:rsidRPr="009B423C">
        <w:rPr>
          <w:rFonts w:eastAsia="SimSun"/>
          <w:sz w:val="24"/>
          <w:szCs w:val="24"/>
          <w:lang w:val="zh-CN"/>
        </w:rPr>
        <w:t>号决定修正的、用于附件</w:t>
      </w:r>
      <w:r w:rsidRPr="009B423C">
        <w:rPr>
          <w:rFonts w:eastAsia="SimSun"/>
          <w:sz w:val="24"/>
          <w:szCs w:val="24"/>
          <w:lang w:val="zh-CN"/>
        </w:rPr>
        <w:t>A</w:t>
      </w:r>
      <w:r w:rsidRPr="009B423C">
        <w:rPr>
          <w:rFonts w:eastAsia="SimSun"/>
          <w:sz w:val="24"/>
          <w:szCs w:val="24"/>
          <w:lang w:val="zh-CN"/>
        </w:rPr>
        <w:t>第一类、附件</w:t>
      </w:r>
      <w:r w:rsidRPr="009B423C">
        <w:rPr>
          <w:rFonts w:eastAsia="SimSun"/>
          <w:sz w:val="24"/>
          <w:szCs w:val="24"/>
          <w:lang w:val="zh-CN"/>
        </w:rPr>
        <w:t>C</w:t>
      </w:r>
      <w:r w:rsidRPr="009B423C">
        <w:rPr>
          <w:rFonts w:eastAsia="SimSun"/>
          <w:sz w:val="24"/>
          <w:szCs w:val="24"/>
          <w:lang w:val="zh-CN"/>
        </w:rPr>
        <w:t>第一类和附件</w:t>
      </w:r>
      <w:r w:rsidRPr="009B423C">
        <w:rPr>
          <w:rFonts w:eastAsia="SimSun"/>
          <w:sz w:val="24"/>
          <w:szCs w:val="24"/>
          <w:lang w:val="zh-CN"/>
        </w:rPr>
        <w:t>F</w:t>
      </w:r>
      <w:r w:rsidRPr="009B423C">
        <w:rPr>
          <w:rFonts w:eastAsia="SimSun"/>
          <w:sz w:val="24"/>
          <w:szCs w:val="24"/>
          <w:lang w:val="zh-CN"/>
        </w:rPr>
        <w:t>第一类受控物质浓缩来源的技术的补充：蒸汽等离子弧；</w:t>
      </w:r>
    </w:p>
    <w:p w14:paraId="14D76B84" w14:textId="77777777" w:rsidR="000141C8" w:rsidRPr="009B423C" w:rsidRDefault="000141C8">
      <w:pPr>
        <w:numPr>
          <w:ilvl w:val="0"/>
          <w:numId w:val="22"/>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sectPr w:rsidR="000141C8" w:rsidRPr="009B423C" w:rsidSect="000A22D9">
          <w:footnotePr>
            <w:numRestart w:val="eachSect"/>
          </w:footnotePr>
          <w:type w:val="continuous"/>
          <w:pgSz w:w="11906" w:h="16838"/>
          <w:pgMar w:top="1440" w:right="1440" w:bottom="1440" w:left="1440" w:header="708" w:footer="708" w:gutter="0"/>
          <w:cols w:space="708"/>
          <w:docGrid w:linePitch="360"/>
        </w:sectPr>
      </w:pPr>
      <w:r w:rsidRPr="009B423C">
        <w:rPr>
          <w:rFonts w:eastAsia="SimSun"/>
          <w:sz w:val="24"/>
          <w:szCs w:val="24"/>
          <w:lang w:val="zh-CN"/>
        </w:rPr>
        <w:t>邀请缔约方继续向臭氧秘书处提交与销毁技术审查相关的资料。</w:t>
      </w:r>
    </w:p>
    <w:p w14:paraId="27446E49" w14:textId="77777777" w:rsidR="000141C8" w:rsidRPr="009B423C" w:rsidRDefault="000141C8" w:rsidP="009B423C">
      <w:pPr>
        <w:pStyle w:val="ZZAnxheader"/>
        <w:rPr>
          <w:rFonts w:ascii="SimHei" w:eastAsia="SimHei" w:hAnsi="SimHei"/>
          <w:sz w:val="32"/>
          <w:szCs w:val="32"/>
          <w:lang w:eastAsia="zh-CN"/>
        </w:rPr>
      </w:pPr>
      <w:r w:rsidRPr="009B423C">
        <w:rPr>
          <w:rFonts w:ascii="SimHei" w:eastAsia="SimHei" w:hAnsi="SimHei"/>
          <w:sz w:val="32"/>
          <w:szCs w:val="32"/>
          <w:lang w:val="zh-CN" w:eastAsia="zh-CN"/>
        </w:rPr>
        <w:lastRenderedPageBreak/>
        <w:t>附录</w:t>
      </w:r>
    </w:p>
    <w:p w14:paraId="0747BD5D" w14:textId="77777777" w:rsidR="000141C8" w:rsidRPr="009B423C" w:rsidRDefault="000141C8" w:rsidP="009B423C">
      <w:pPr>
        <w:pStyle w:val="ZZAnxtitle"/>
        <w:rPr>
          <w:rFonts w:ascii="SimHei" w:eastAsia="SimHei" w:hAnsi="SimHei"/>
          <w:sz w:val="32"/>
          <w:szCs w:val="32"/>
          <w:lang w:eastAsia="zh-CN"/>
        </w:rPr>
      </w:pPr>
      <w:r w:rsidRPr="009B423C">
        <w:rPr>
          <w:rFonts w:ascii="SimHei" w:eastAsia="SimHei" w:hAnsi="SimHei"/>
          <w:sz w:val="32"/>
          <w:szCs w:val="32"/>
          <w:lang w:val="zh-CN" w:eastAsia="zh-CN"/>
        </w:rPr>
        <w:t>销毁技术和核准状况</w:t>
      </w:r>
    </w:p>
    <w:tbl>
      <w:tblPr>
        <w:tblW w:w="5000" w:type="pct"/>
        <w:jc w:val="right"/>
        <w:tblLayout w:type="fixed"/>
        <w:tblLook w:val="06A0" w:firstRow="1" w:lastRow="0" w:firstColumn="1" w:lastColumn="0" w:noHBand="1" w:noVBand="1"/>
      </w:tblPr>
      <w:tblGrid>
        <w:gridCol w:w="2245"/>
        <w:gridCol w:w="1396"/>
        <w:gridCol w:w="838"/>
        <w:gridCol w:w="1396"/>
        <w:gridCol w:w="980"/>
        <w:gridCol w:w="926"/>
        <w:gridCol w:w="1255"/>
        <w:gridCol w:w="880"/>
        <w:gridCol w:w="1122"/>
        <w:gridCol w:w="971"/>
        <w:gridCol w:w="1287"/>
        <w:gridCol w:w="1132"/>
      </w:tblGrid>
      <w:tr w:rsidR="000141C8" w:rsidRPr="002D629B" w14:paraId="60C35549" w14:textId="77777777" w:rsidTr="00330D93">
        <w:trPr>
          <w:trHeight w:val="302"/>
          <w:tblHeader/>
          <w:jc w:val="right"/>
        </w:trPr>
        <w:tc>
          <w:tcPr>
            <w:tcW w:w="2250" w:type="dxa"/>
            <w:vMerge w:val="restart"/>
            <w:tcBorders>
              <w:top w:val="single" w:sz="4" w:space="0" w:color="auto"/>
            </w:tcBorders>
            <w:tcMar>
              <w:left w:w="108" w:type="dxa"/>
              <w:right w:w="108" w:type="dxa"/>
            </w:tcMar>
            <w:vAlign w:val="bottom"/>
          </w:tcPr>
          <w:p w14:paraId="6638604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技术</w:t>
            </w:r>
          </w:p>
        </w:tc>
        <w:tc>
          <w:tcPr>
            <w:tcW w:w="12209" w:type="dxa"/>
            <w:gridSpan w:val="11"/>
            <w:tcBorders>
              <w:top w:val="single" w:sz="4" w:space="0" w:color="auto"/>
              <w:bottom w:val="single" w:sz="4" w:space="0" w:color="auto"/>
            </w:tcBorders>
            <w:tcMar>
              <w:left w:w="108" w:type="dxa"/>
              <w:right w:w="108" w:type="dxa"/>
            </w:tcMar>
            <w:vAlign w:val="bottom"/>
          </w:tcPr>
          <w:p w14:paraId="1BD1F57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适用性</w:t>
            </w:r>
          </w:p>
        </w:tc>
      </w:tr>
      <w:tr w:rsidR="000141C8" w:rsidRPr="002D629B" w14:paraId="46BC5407" w14:textId="77777777" w:rsidTr="00330D93">
        <w:trPr>
          <w:trHeight w:val="300"/>
          <w:tblHeader/>
          <w:jc w:val="right"/>
        </w:trPr>
        <w:tc>
          <w:tcPr>
            <w:tcW w:w="2250" w:type="dxa"/>
            <w:vMerge/>
            <w:vAlign w:val="bottom"/>
          </w:tcPr>
          <w:p w14:paraId="40ABB70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p>
        </w:tc>
        <w:tc>
          <w:tcPr>
            <w:tcW w:w="9785" w:type="dxa"/>
            <w:gridSpan w:val="9"/>
            <w:tcBorders>
              <w:top w:val="single" w:sz="4" w:space="0" w:color="auto"/>
              <w:bottom w:val="single" w:sz="4" w:space="0" w:color="auto"/>
            </w:tcBorders>
            <w:tcMar>
              <w:left w:w="108" w:type="dxa"/>
              <w:right w:w="108" w:type="dxa"/>
            </w:tcMar>
            <w:vAlign w:val="bottom"/>
          </w:tcPr>
          <w:p w14:paraId="169A25E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浓缩来源</w:t>
            </w:r>
          </w:p>
        </w:tc>
        <w:tc>
          <w:tcPr>
            <w:tcW w:w="2424" w:type="dxa"/>
            <w:gridSpan w:val="2"/>
            <w:tcBorders>
              <w:top w:val="single" w:sz="4" w:space="0" w:color="auto"/>
              <w:bottom w:val="single" w:sz="4" w:space="0" w:color="auto"/>
            </w:tcBorders>
            <w:tcMar>
              <w:left w:w="108" w:type="dxa"/>
              <w:right w:w="108" w:type="dxa"/>
            </w:tcMar>
            <w:vAlign w:val="bottom"/>
          </w:tcPr>
          <w:p w14:paraId="32AD8B0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稀释来源</w:t>
            </w:r>
          </w:p>
        </w:tc>
      </w:tr>
      <w:tr w:rsidR="000141C8" w:rsidRPr="002D629B" w14:paraId="57947401" w14:textId="77777777" w:rsidTr="00330D93">
        <w:trPr>
          <w:trHeight w:val="300"/>
          <w:tblHeader/>
          <w:jc w:val="right"/>
        </w:trPr>
        <w:tc>
          <w:tcPr>
            <w:tcW w:w="2250" w:type="dxa"/>
            <w:vMerge/>
            <w:vAlign w:val="bottom"/>
          </w:tcPr>
          <w:p w14:paraId="41F0765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p>
        </w:tc>
        <w:tc>
          <w:tcPr>
            <w:tcW w:w="2239" w:type="dxa"/>
            <w:gridSpan w:val="2"/>
            <w:tcBorders>
              <w:top w:val="single" w:sz="4" w:space="0" w:color="auto"/>
              <w:bottom w:val="single" w:sz="4" w:space="0" w:color="auto"/>
            </w:tcBorders>
            <w:tcMar>
              <w:left w:w="108" w:type="dxa"/>
              <w:right w:w="108" w:type="dxa"/>
            </w:tcMar>
            <w:vAlign w:val="bottom"/>
          </w:tcPr>
          <w:p w14:paraId="40F9EE9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附件</w:t>
            </w:r>
            <w:r w:rsidRPr="002D629B">
              <w:rPr>
                <w:rFonts w:eastAsia="KaiTi"/>
                <w:color w:val="000000"/>
                <w:sz w:val="20"/>
                <w:szCs w:val="20"/>
                <w:lang w:val="zh-CN"/>
              </w:rPr>
              <w:t>A</w:t>
            </w:r>
          </w:p>
        </w:tc>
        <w:tc>
          <w:tcPr>
            <w:tcW w:w="3309" w:type="dxa"/>
            <w:gridSpan w:val="3"/>
            <w:tcBorders>
              <w:top w:val="single" w:sz="4" w:space="0" w:color="auto"/>
              <w:bottom w:val="single" w:sz="4" w:space="0" w:color="auto"/>
            </w:tcBorders>
            <w:tcMar>
              <w:left w:w="108" w:type="dxa"/>
              <w:right w:w="108" w:type="dxa"/>
            </w:tcMar>
            <w:vAlign w:val="bottom"/>
          </w:tcPr>
          <w:p w14:paraId="4F429C5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附件</w:t>
            </w:r>
            <w:r w:rsidRPr="002D629B">
              <w:rPr>
                <w:rFonts w:eastAsia="KaiTi"/>
                <w:color w:val="000000"/>
                <w:sz w:val="20"/>
                <w:szCs w:val="20"/>
                <w:lang w:val="zh-CN"/>
              </w:rPr>
              <w:t>B</w:t>
            </w:r>
          </w:p>
        </w:tc>
        <w:tc>
          <w:tcPr>
            <w:tcW w:w="1258" w:type="dxa"/>
            <w:tcBorders>
              <w:top w:val="single" w:sz="4" w:space="0" w:color="auto"/>
              <w:bottom w:val="single" w:sz="4" w:space="0" w:color="auto"/>
            </w:tcBorders>
            <w:tcMar>
              <w:left w:w="108" w:type="dxa"/>
              <w:right w:w="108" w:type="dxa"/>
            </w:tcMar>
            <w:vAlign w:val="bottom"/>
          </w:tcPr>
          <w:p w14:paraId="4973FFF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附件</w:t>
            </w:r>
            <w:r w:rsidRPr="002D629B">
              <w:rPr>
                <w:rFonts w:eastAsia="KaiTi"/>
                <w:color w:val="000000"/>
                <w:sz w:val="20"/>
                <w:szCs w:val="20"/>
                <w:lang w:val="zh-CN"/>
              </w:rPr>
              <w:t>C</w:t>
            </w:r>
          </w:p>
        </w:tc>
        <w:tc>
          <w:tcPr>
            <w:tcW w:w="882" w:type="dxa"/>
            <w:tcBorders>
              <w:top w:val="single" w:sz="4" w:space="0" w:color="auto"/>
              <w:bottom w:val="single" w:sz="4" w:space="0" w:color="auto"/>
            </w:tcBorders>
            <w:tcMar>
              <w:left w:w="108" w:type="dxa"/>
              <w:right w:w="108" w:type="dxa"/>
            </w:tcMar>
            <w:vAlign w:val="bottom"/>
          </w:tcPr>
          <w:p w14:paraId="022F31C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附件</w:t>
            </w:r>
            <w:r w:rsidRPr="002D629B">
              <w:rPr>
                <w:rFonts w:eastAsia="KaiTi"/>
                <w:color w:val="000000"/>
                <w:sz w:val="20"/>
                <w:szCs w:val="20"/>
                <w:lang w:val="zh-CN"/>
              </w:rPr>
              <w:t>E</w:t>
            </w:r>
          </w:p>
        </w:tc>
        <w:tc>
          <w:tcPr>
            <w:tcW w:w="2097" w:type="dxa"/>
            <w:gridSpan w:val="2"/>
            <w:tcBorders>
              <w:top w:val="single" w:sz="4" w:space="0" w:color="auto"/>
              <w:bottom w:val="single" w:sz="4" w:space="0" w:color="auto"/>
            </w:tcBorders>
            <w:tcMar>
              <w:left w:w="108" w:type="dxa"/>
              <w:right w:w="108" w:type="dxa"/>
            </w:tcMar>
            <w:vAlign w:val="bottom"/>
          </w:tcPr>
          <w:p w14:paraId="67943AC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center"/>
              <w:rPr>
                <w:rFonts w:eastAsia="KaiTi"/>
                <w:sz w:val="20"/>
                <w:szCs w:val="20"/>
              </w:rPr>
            </w:pPr>
            <w:r w:rsidRPr="002D629B">
              <w:rPr>
                <w:rFonts w:eastAsia="KaiTi"/>
                <w:color w:val="000000"/>
                <w:sz w:val="20"/>
                <w:szCs w:val="20"/>
                <w:lang w:val="zh-CN"/>
              </w:rPr>
              <w:t>附件</w:t>
            </w:r>
            <w:r w:rsidRPr="002D629B">
              <w:rPr>
                <w:rFonts w:eastAsia="KaiTi"/>
                <w:color w:val="000000"/>
                <w:sz w:val="20"/>
                <w:szCs w:val="20"/>
                <w:lang w:val="zh-CN"/>
              </w:rPr>
              <w:t>F</w:t>
            </w:r>
          </w:p>
        </w:tc>
        <w:tc>
          <w:tcPr>
            <w:tcW w:w="1290" w:type="dxa"/>
            <w:tcBorders>
              <w:top w:val="single" w:sz="4" w:space="0" w:color="auto"/>
              <w:bottom w:val="single" w:sz="4" w:space="0" w:color="auto"/>
            </w:tcBorders>
            <w:tcMar>
              <w:left w:w="108" w:type="dxa"/>
              <w:right w:w="108" w:type="dxa"/>
            </w:tcMar>
            <w:vAlign w:val="bottom"/>
          </w:tcPr>
          <w:p w14:paraId="3C9F248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rPr>
              <w:t xml:space="preserve"> </w:t>
            </w:r>
          </w:p>
        </w:tc>
        <w:tc>
          <w:tcPr>
            <w:tcW w:w="1134" w:type="dxa"/>
            <w:tcBorders>
              <w:top w:val="single" w:sz="4" w:space="0" w:color="auto"/>
              <w:bottom w:val="single" w:sz="4" w:space="0" w:color="auto"/>
            </w:tcBorders>
            <w:tcMar>
              <w:left w:w="108" w:type="dxa"/>
              <w:right w:w="108" w:type="dxa"/>
            </w:tcMar>
            <w:vAlign w:val="bottom"/>
          </w:tcPr>
          <w:p w14:paraId="4049502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附件</w:t>
            </w:r>
            <w:r w:rsidRPr="002D629B">
              <w:rPr>
                <w:rFonts w:eastAsia="KaiTi"/>
                <w:color w:val="000000"/>
                <w:sz w:val="20"/>
                <w:szCs w:val="20"/>
                <w:lang w:val="zh-CN"/>
              </w:rPr>
              <w:t>F</w:t>
            </w:r>
          </w:p>
        </w:tc>
      </w:tr>
      <w:tr w:rsidR="000141C8" w:rsidRPr="002D629B" w14:paraId="2AA7D44D" w14:textId="77777777" w:rsidTr="00330D93">
        <w:trPr>
          <w:trHeight w:val="300"/>
          <w:tblHeader/>
          <w:jc w:val="right"/>
        </w:trPr>
        <w:tc>
          <w:tcPr>
            <w:tcW w:w="2250" w:type="dxa"/>
            <w:vMerge/>
            <w:vAlign w:val="bottom"/>
          </w:tcPr>
          <w:p w14:paraId="75333F0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p>
        </w:tc>
        <w:tc>
          <w:tcPr>
            <w:tcW w:w="1399" w:type="dxa"/>
            <w:tcBorders>
              <w:top w:val="single" w:sz="4" w:space="0" w:color="auto"/>
              <w:bottom w:val="single" w:sz="4" w:space="0" w:color="auto"/>
            </w:tcBorders>
            <w:tcMar>
              <w:left w:w="108" w:type="dxa"/>
              <w:right w:w="108" w:type="dxa"/>
            </w:tcMar>
            <w:vAlign w:val="bottom"/>
          </w:tcPr>
          <w:p w14:paraId="4A05C24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第一类</w:t>
            </w:r>
          </w:p>
        </w:tc>
        <w:tc>
          <w:tcPr>
            <w:tcW w:w="840" w:type="dxa"/>
            <w:tcBorders>
              <w:top w:val="single" w:sz="4" w:space="0" w:color="auto"/>
              <w:bottom w:val="single" w:sz="4" w:space="0" w:color="auto"/>
            </w:tcBorders>
            <w:tcMar>
              <w:left w:w="108" w:type="dxa"/>
              <w:right w:w="108" w:type="dxa"/>
            </w:tcMar>
            <w:vAlign w:val="bottom"/>
          </w:tcPr>
          <w:p w14:paraId="59FA728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第二类</w:t>
            </w:r>
          </w:p>
        </w:tc>
        <w:tc>
          <w:tcPr>
            <w:tcW w:w="1399" w:type="dxa"/>
            <w:tcBorders>
              <w:top w:val="single" w:sz="4" w:space="0" w:color="auto"/>
              <w:bottom w:val="single" w:sz="4" w:space="0" w:color="auto"/>
            </w:tcBorders>
            <w:tcMar>
              <w:left w:w="108" w:type="dxa"/>
              <w:right w:w="108" w:type="dxa"/>
            </w:tcMar>
            <w:vAlign w:val="bottom"/>
          </w:tcPr>
          <w:p w14:paraId="7809B93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第一类</w:t>
            </w:r>
          </w:p>
        </w:tc>
        <w:tc>
          <w:tcPr>
            <w:tcW w:w="982" w:type="dxa"/>
            <w:tcBorders>
              <w:top w:val="single" w:sz="4" w:space="0" w:color="auto"/>
              <w:bottom w:val="single" w:sz="4" w:space="0" w:color="auto"/>
            </w:tcBorders>
            <w:tcMar>
              <w:left w:w="108" w:type="dxa"/>
              <w:right w:w="108" w:type="dxa"/>
            </w:tcMar>
            <w:vAlign w:val="bottom"/>
          </w:tcPr>
          <w:p w14:paraId="2812F74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第二类</w:t>
            </w:r>
          </w:p>
        </w:tc>
        <w:tc>
          <w:tcPr>
            <w:tcW w:w="928" w:type="dxa"/>
            <w:tcBorders>
              <w:top w:val="single" w:sz="4" w:space="0" w:color="auto"/>
              <w:bottom w:val="single" w:sz="4" w:space="0" w:color="auto"/>
            </w:tcBorders>
            <w:tcMar>
              <w:left w:w="108" w:type="dxa"/>
              <w:right w:w="108" w:type="dxa"/>
            </w:tcMar>
            <w:vAlign w:val="bottom"/>
          </w:tcPr>
          <w:p w14:paraId="7AA439B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第三类</w:t>
            </w:r>
          </w:p>
        </w:tc>
        <w:tc>
          <w:tcPr>
            <w:tcW w:w="1258" w:type="dxa"/>
            <w:tcBorders>
              <w:top w:val="single" w:sz="4" w:space="0" w:color="auto"/>
              <w:bottom w:val="single" w:sz="4" w:space="0" w:color="auto"/>
            </w:tcBorders>
            <w:tcMar>
              <w:left w:w="108" w:type="dxa"/>
              <w:right w:w="108" w:type="dxa"/>
            </w:tcMar>
            <w:vAlign w:val="bottom"/>
          </w:tcPr>
          <w:p w14:paraId="0947687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第一类</w:t>
            </w:r>
          </w:p>
        </w:tc>
        <w:tc>
          <w:tcPr>
            <w:tcW w:w="882" w:type="dxa"/>
            <w:tcBorders>
              <w:top w:val="single" w:sz="4" w:space="0" w:color="auto"/>
              <w:bottom w:val="single" w:sz="4" w:space="0" w:color="auto"/>
            </w:tcBorders>
            <w:tcMar>
              <w:left w:w="108" w:type="dxa"/>
              <w:right w:w="108" w:type="dxa"/>
            </w:tcMar>
            <w:vAlign w:val="bottom"/>
          </w:tcPr>
          <w:p w14:paraId="13806E0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第一类</w:t>
            </w:r>
          </w:p>
        </w:tc>
        <w:tc>
          <w:tcPr>
            <w:tcW w:w="1124" w:type="dxa"/>
            <w:tcBorders>
              <w:top w:val="single" w:sz="4" w:space="0" w:color="auto"/>
              <w:bottom w:val="single" w:sz="4" w:space="0" w:color="auto"/>
            </w:tcBorders>
            <w:tcMar>
              <w:left w:w="108" w:type="dxa"/>
              <w:right w:w="108" w:type="dxa"/>
            </w:tcMar>
            <w:vAlign w:val="bottom"/>
          </w:tcPr>
          <w:p w14:paraId="410A14F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第一类</w:t>
            </w:r>
          </w:p>
        </w:tc>
        <w:tc>
          <w:tcPr>
            <w:tcW w:w="973" w:type="dxa"/>
            <w:tcBorders>
              <w:top w:val="single" w:sz="4" w:space="0" w:color="auto"/>
              <w:bottom w:val="single" w:sz="4" w:space="0" w:color="auto"/>
            </w:tcBorders>
            <w:tcMar>
              <w:left w:w="108" w:type="dxa"/>
              <w:right w:w="108" w:type="dxa"/>
            </w:tcMar>
            <w:vAlign w:val="bottom"/>
          </w:tcPr>
          <w:p w14:paraId="3AD2ABA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第二类</w:t>
            </w:r>
          </w:p>
        </w:tc>
        <w:tc>
          <w:tcPr>
            <w:tcW w:w="1290" w:type="dxa"/>
            <w:tcBorders>
              <w:top w:val="single" w:sz="4" w:space="0" w:color="auto"/>
              <w:bottom w:val="single" w:sz="4" w:space="0" w:color="auto"/>
            </w:tcBorders>
            <w:tcMar>
              <w:left w:w="108" w:type="dxa"/>
              <w:right w:w="108" w:type="dxa"/>
            </w:tcMar>
            <w:vAlign w:val="bottom"/>
          </w:tcPr>
          <w:p w14:paraId="3F0F3B4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rPr>
              <w:t xml:space="preserve"> </w:t>
            </w:r>
          </w:p>
        </w:tc>
        <w:tc>
          <w:tcPr>
            <w:tcW w:w="1134" w:type="dxa"/>
            <w:tcBorders>
              <w:top w:val="single" w:sz="4" w:space="0" w:color="auto"/>
              <w:bottom w:val="single" w:sz="4" w:space="0" w:color="auto"/>
            </w:tcBorders>
            <w:tcMar>
              <w:left w:w="108" w:type="dxa"/>
              <w:right w:w="108" w:type="dxa"/>
            </w:tcMar>
            <w:vAlign w:val="bottom"/>
          </w:tcPr>
          <w:p w14:paraId="4661A29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r w:rsidRPr="002D629B">
              <w:rPr>
                <w:rFonts w:eastAsia="KaiTi"/>
                <w:color w:val="000000"/>
                <w:sz w:val="20"/>
                <w:szCs w:val="20"/>
                <w:lang w:val="zh-CN"/>
              </w:rPr>
              <w:t>第一类</w:t>
            </w:r>
          </w:p>
        </w:tc>
      </w:tr>
      <w:tr w:rsidR="000141C8" w:rsidRPr="002D629B" w14:paraId="60809E8B" w14:textId="77777777" w:rsidTr="00330D93">
        <w:trPr>
          <w:trHeight w:val="300"/>
          <w:tblHeader/>
          <w:jc w:val="right"/>
        </w:trPr>
        <w:tc>
          <w:tcPr>
            <w:tcW w:w="2250" w:type="dxa"/>
            <w:vMerge/>
            <w:tcBorders>
              <w:bottom w:val="single" w:sz="12" w:space="0" w:color="auto"/>
            </w:tcBorders>
            <w:vAlign w:val="bottom"/>
          </w:tcPr>
          <w:p w14:paraId="0388461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KaiTi"/>
                <w:sz w:val="20"/>
                <w:szCs w:val="20"/>
              </w:rPr>
            </w:pPr>
          </w:p>
        </w:tc>
        <w:tc>
          <w:tcPr>
            <w:tcW w:w="1399" w:type="dxa"/>
            <w:tcBorders>
              <w:top w:val="single" w:sz="4" w:space="0" w:color="auto"/>
              <w:bottom w:val="single" w:sz="12" w:space="0" w:color="auto"/>
            </w:tcBorders>
            <w:tcMar>
              <w:left w:w="108" w:type="dxa"/>
              <w:right w:w="108" w:type="dxa"/>
            </w:tcMar>
            <w:vAlign w:val="bottom"/>
          </w:tcPr>
          <w:p w14:paraId="1DF5E26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ind w:leftChars="-50" w:left="-105"/>
              <w:jc w:val="left"/>
              <w:rPr>
                <w:rFonts w:eastAsia="KaiTi"/>
                <w:sz w:val="20"/>
                <w:szCs w:val="20"/>
              </w:rPr>
            </w:pPr>
            <w:r w:rsidRPr="002D629B">
              <w:rPr>
                <w:rFonts w:eastAsia="KaiTi"/>
                <w:color w:val="000000"/>
                <w:sz w:val="20"/>
                <w:szCs w:val="20"/>
                <w:lang w:val="zh-CN"/>
              </w:rPr>
              <w:t>初级全氯氟烃</w:t>
            </w:r>
          </w:p>
        </w:tc>
        <w:tc>
          <w:tcPr>
            <w:tcW w:w="840" w:type="dxa"/>
            <w:tcBorders>
              <w:top w:val="single" w:sz="4" w:space="0" w:color="auto"/>
              <w:bottom w:val="single" w:sz="12" w:space="0" w:color="auto"/>
            </w:tcBorders>
            <w:tcMar>
              <w:left w:w="108" w:type="dxa"/>
              <w:right w:w="108" w:type="dxa"/>
            </w:tcMar>
            <w:vAlign w:val="bottom"/>
          </w:tcPr>
          <w:p w14:paraId="7CFC7C6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left"/>
              <w:rPr>
                <w:rFonts w:eastAsia="KaiTi"/>
                <w:sz w:val="20"/>
                <w:szCs w:val="20"/>
              </w:rPr>
            </w:pPr>
            <w:r w:rsidRPr="002D629B">
              <w:rPr>
                <w:rFonts w:eastAsia="KaiTi"/>
                <w:color w:val="000000"/>
                <w:sz w:val="20"/>
                <w:szCs w:val="20"/>
                <w:lang w:val="zh-CN"/>
              </w:rPr>
              <w:t>哈龙</w:t>
            </w:r>
          </w:p>
        </w:tc>
        <w:tc>
          <w:tcPr>
            <w:tcW w:w="1399" w:type="dxa"/>
            <w:tcBorders>
              <w:top w:val="single" w:sz="4" w:space="0" w:color="auto"/>
              <w:bottom w:val="single" w:sz="12" w:space="0" w:color="auto"/>
            </w:tcBorders>
            <w:tcMar>
              <w:left w:w="108" w:type="dxa"/>
              <w:right w:w="108" w:type="dxa"/>
            </w:tcMar>
            <w:vAlign w:val="bottom"/>
          </w:tcPr>
          <w:p w14:paraId="7D3CC76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ind w:leftChars="-42" w:left="-88"/>
              <w:jc w:val="left"/>
              <w:rPr>
                <w:rFonts w:eastAsia="KaiTi"/>
                <w:sz w:val="20"/>
                <w:szCs w:val="20"/>
              </w:rPr>
            </w:pPr>
            <w:r w:rsidRPr="002D629B">
              <w:rPr>
                <w:rFonts w:eastAsia="KaiTi"/>
                <w:color w:val="000000"/>
                <w:sz w:val="20"/>
                <w:szCs w:val="20"/>
                <w:lang w:val="zh-CN"/>
              </w:rPr>
              <w:t>其他全氯氟烃</w:t>
            </w:r>
          </w:p>
        </w:tc>
        <w:tc>
          <w:tcPr>
            <w:tcW w:w="982" w:type="dxa"/>
            <w:tcBorders>
              <w:top w:val="single" w:sz="4" w:space="0" w:color="auto"/>
              <w:bottom w:val="single" w:sz="12" w:space="0" w:color="auto"/>
            </w:tcBorders>
            <w:tcMar>
              <w:left w:w="108" w:type="dxa"/>
              <w:right w:w="108" w:type="dxa"/>
            </w:tcMar>
            <w:vAlign w:val="bottom"/>
          </w:tcPr>
          <w:p w14:paraId="1FBB2B9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ind w:rightChars="-52" w:right="-109"/>
              <w:jc w:val="left"/>
              <w:rPr>
                <w:rFonts w:eastAsia="KaiTi"/>
                <w:sz w:val="20"/>
                <w:szCs w:val="20"/>
              </w:rPr>
            </w:pPr>
            <w:r w:rsidRPr="002D629B">
              <w:rPr>
                <w:rFonts w:eastAsia="KaiTi"/>
                <w:color w:val="000000"/>
                <w:sz w:val="20"/>
                <w:szCs w:val="20"/>
                <w:lang w:val="zh-CN"/>
              </w:rPr>
              <w:t>四氯化碳</w:t>
            </w:r>
          </w:p>
        </w:tc>
        <w:tc>
          <w:tcPr>
            <w:tcW w:w="928" w:type="dxa"/>
            <w:tcBorders>
              <w:top w:val="single" w:sz="4" w:space="0" w:color="auto"/>
              <w:bottom w:val="single" w:sz="12" w:space="0" w:color="auto"/>
            </w:tcBorders>
            <w:tcMar>
              <w:left w:w="108" w:type="dxa"/>
              <w:right w:w="108" w:type="dxa"/>
            </w:tcMar>
            <w:vAlign w:val="bottom"/>
          </w:tcPr>
          <w:p w14:paraId="6A84F47C" w14:textId="77777777" w:rsidR="000141C8" w:rsidRPr="002D629B" w:rsidRDefault="000141C8" w:rsidP="0009017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ind w:rightChars="-65" w:right="-136"/>
              <w:jc w:val="left"/>
              <w:rPr>
                <w:rFonts w:eastAsia="KaiTi"/>
                <w:sz w:val="20"/>
                <w:szCs w:val="20"/>
              </w:rPr>
            </w:pPr>
            <w:r w:rsidRPr="002D629B">
              <w:rPr>
                <w:rFonts w:eastAsia="KaiTi"/>
                <w:color w:val="000000"/>
                <w:sz w:val="20"/>
                <w:szCs w:val="20"/>
                <w:lang w:val="zh-CN"/>
              </w:rPr>
              <w:t>甲基氯仿</w:t>
            </w:r>
          </w:p>
        </w:tc>
        <w:tc>
          <w:tcPr>
            <w:tcW w:w="1258" w:type="dxa"/>
            <w:tcBorders>
              <w:top w:val="single" w:sz="4" w:space="0" w:color="auto"/>
              <w:bottom w:val="single" w:sz="12" w:space="0" w:color="auto"/>
            </w:tcBorders>
            <w:tcMar>
              <w:left w:w="108" w:type="dxa"/>
              <w:right w:w="108" w:type="dxa"/>
            </w:tcMar>
            <w:vAlign w:val="bottom"/>
          </w:tcPr>
          <w:p w14:paraId="09A419B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left"/>
              <w:rPr>
                <w:rFonts w:eastAsia="KaiTi"/>
                <w:sz w:val="20"/>
                <w:szCs w:val="20"/>
              </w:rPr>
            </w:pPr>
            <w:r w:rsidRPr="002D629B">
              <w:rPr>
                <w:rFonts w:eastAsia="KaiTi"/>
                <w:color w:val="000000"/>
                <w:sz w:val="20"/>
                <w:szCs w:val="20"/>
                <w:lang w:val="zh-CN"/>
              </w:rPr>
              <w:t>含氢氟氯烃</w:t>
            </w:r>
          </w:p>
        </w:tc>
        <w:tc>
          <w:tcPr>
            <w:tcW w:w="882" w:type="dxa"/>
            <w:tcBorders>
              <w:top w:val="single" w:sz="4" w:space="0" w:color="auto"/>
              <w:bottom w:val="single" w:sz="12" w:space="0" w:color="auto"/>
            </w:tcBorders>
            <w:tcMar>
              <w:left w:w="108" w:type="dxa"/>
              <w:right w:w="108" w:type="dxa"/>
            </w:tcMar>
            <w:vAlign w:val="bottom"/>
          </w:tcPr>
          <w:p w14:paraId="777AF45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jc w:val="left"/>
              <w:rPr>
                <w:rFonts w:eastAsia="KaiTi"/>
                <w:sz w:val="20"/>
                <w:szCs w:val="20"/>
              </w:rPr>
            </w:pPr>
            <w:r w:rsidRPr="002D629B">
              <w:rPr>
                <w:rFonts w:eastAsia="KaiTi"/>
                <w:color w:val="000000"/>
                <w:sz w:val="20"/>
                <w:szCs w:val="20"/>
                <w:lang w:val="zh-CN"/>
              </w:rPr>
              <w:t>甲基溴</w:t>
            </w:r>
          </w:p>
        </w:tc>
        <w:tc>
          <w:tcPr>
            <w:tcW w:w="1124" w:type="dxa"/>
            <w:tcBorders>
              <w:top w:val="single" w:sz="4" w:space="0" w:color="auto"/>
              <w:bottom w:val="single" w:sz="12" w:space="0" w:color="auto"/>
            </w:tcBorders>
            <w:tcMar>
              <w:left w:w="108" w:type="dxa"/>
              <w:right w:w="108" w:type="dxa"/>
            </w:tcMar>
            <w:vAlign w:val="bottom"/>
          </w:tcPr>
          <w:p w14:paraId="42FD9C2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ind w:leftChars="-51" w:left="-107"/>
              <w:jc w:val="left"/>
              <w:rPr>
                <w:rFonts w:eastAsia="KaiTi"/>
                <w:sz w:val="20"/>
                <w:szCs w:val="20"/>
              </w:rPr>
            </w:pPr>
            <w:r w:rsidRPr="002D629B">
              <w:rPr>
                <w:rFonts w:eastAsia="KaiTi"/>
                <w:color w:val="000000"/>
                <w:sz w:val="20"/>
                <w:szCs w:val="20"/>
                <w:lang w:val="zh-CN"/>
              </w:rPr>
              <w:t>氢氟碳化物</w:t>
            </w:r>
          </w:p>
        </w:tc>
        <w:tc>
          <w:tcPr>
            <w:tcW w:w="973" w:type="dxa"/>
            <w:tcBorders>
              <w:top w:val="single" w:sz="4" w:space="0" w:color="auto"/>
              <w:bottom w:val="single" w:sz="12" w:space="0" w:color="auto"/>
            </w:tcBorders>
            <w:tcMar>
              <w:left w:w="108" w:type="dxa"/>
              <w:right w:w="108" w:type="dxa"/>
            </w:tcMar>
            <w:vAlign w:val="bottom"/>
          </w:tcPr>
          <w:p w14:paraId="165C747D" w14:textId="77777777" w:rsidR="000141C8" w:rsidRPr="002D629B" w:rsidRDefault="000141C8" w:rsidP="00D276F9">
            <w:pPr>
              <w:tabs>
                <w:tab w:val="clear" w:pos="1247"/>
                <w:tab w:val="clear" w:pos="1814"/>
                <w:tab w:val="clear" w:pos="2381"/>
                <w:tab w:val="clear" w:pos="2948"/>
                <w:tab w:val="clear" w:pos="3515"/>
              </w:tabs>
              <w:spacing w:before="40" w:after="20" w:line="240" w:lineRule="auto"/>
              <w:ind w:leftChars="-50" w:left="-105" w:rightChars="-50" w:right="-105"/>
              <w:jc w:val="left"/>
              <w:rPr>
                <w:rFonts w:eastAsia="KaiTi"/>
                <w:sz w:val="20"/>
                <w:szCs w:val="20"/>
              </w:rPr>
            </w:pPr>
            <w:r w:rsidRPr="002D629B">
              <w:rPr>
                <w:rFonts w:eastAsia="KaiTi"/>
                <w:color w:val="000000"/>
                <w:sz w:val="20"/>
                <w:szCs w:val="20"/>
                <w:lang w:val="zh-CN"/>
              </w:rPr>
              <w:t>三氟甲烷</w:t>
            </w:r>
          </w:p>
        </w:tc>
        <w:tc>
          <w:tcPr>
            <w:tcW w:w="1290" w:type="dxa"/>
            <w:tcBorders>
              <w:top w:val="single" w:sz="4" w:space="0" w:color="auto"/>
              <w:bottom w:val="single" w:sz="12" w:space="0" w:color="auto"/>
            </w:tcBorders>
            <w:tcMar>
              <w:left w:w="108" w:type="dxa"/>
              <w:right w:w="108" w:type="dxa"/>
            </w:tcMar>
            <w:vAlign w:val="bottom"/>
          </w:tcPr>
          <w:p w14:paraId="73ED9D99" w14:textId="77777777" w:rsidR="000141C8" w:rsidRPr="002D629B" w:rsidRDefault="000141C8" w:rsidP="008F3C8C">
            <w:pPr>
              <w:tabs>
                <w:tab w:val="clear" w:pos="1247"/>
                <w:tab w:val="clear" w:pos="1814"/>
                <w:tab w:val="clear" w:pos="2381"/>
                <w:tab w:val="clear" w:pos="2948"/>
                <w:tab w:val="clear" w:pos="3515"/>
              </w:tabs>
              <w:spacing w:before="40" w:after="20" w:line="240" w:lineRule="auto"/>
              <w:ind w:leftChars="-32" w:left="-67" w:rightChars="-79" w:right="-166"/>
              <w:jc w:val="left"/>
              <w:rPr>
                <w:rFonts w:eastAsia="KaiTi"/>
                <w:sz w:val="20"/>
                <w:szCs w:val="20"/>
              </w:rPr>
            </w:pPr>
            <w:r w:rsidRPr="002D629B">
              <w:rPr>
                <w:rFonts w:eastAsia="KaiTi"/>
                <w:color w:val="000000"/>
                <w:sz w:val="20"/>
                <w:szCs w:val="20"/>
                <w:lang w:val="zh-CN"/>
              </w:rPr>
              <w:t>臭氧消耗物质</w:t>
            </w:r>
          </w:p>
        </w:tc>
        <w:tc>
          <w:tcPr>
            <w:tcW w:w="1134" w:type="dxa"/>
            <w:tcBorders>
              <w:top w:val="single" w:sz="4" w:space="0" w:color="auto"/>
              <w:bottom w:val="single" w:sz="12" w:space="0" w:color="auto"/>
            </w:tcBorders>
            <w:tcMar>
              <w:left w:w="108" w:type="dxa"/>
              <w:right w:w="108" w:type="dxa"/>
            </w:tcMar>
            <w:vAlign w:val="bottom"/>
          </w:tcPr>
          <w:p w14:paraId="7DC3EDA4" w14:textId="77777777" w:rsidR="000141C8" w:rsidRPr="002D629B" w:rsidRDefault="000141C8" w:rsidP="00380986">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ind w:leftChars="-51" w:left="-107" w:rightChars="-107" w:right="-225"/>
              <w:jc w:val="left"/>
              <w:rPr>
                <w:rFonts w:eastAsia="KaiTi"/>
                <w:sz w:val="20"/>
                <w:szCs w:val="20"/>
              </w:rPr>
            </w:pPr>
            <w:r w:rsidRPr="002D629B">
              <w:rPr>
                <w:rFonts w:eastAsia="KaiTi"/>
                <w:color w:val="000000"/>
                <w:sz w:val="20"/>
                <w:szCs w:val="20"/>
                <w:lang w:val="zh-CN"/>
              </w:rPr>
              <w:t>氢氟碳化物</w:t>
            </w:r>
          </w:p>
        </w:tc>
      </w:tr>
      <w:tr w:rsidR="000141C8" w:rsidRPr="002D629B" w14:paraId="5307A991" w14:textId="77777777" w:rsidTr="00330D93">
        <w:trPr>
          <w:trHeight w:val="300"/>
          <w:jc w:val="right"/>
        </w:trPr>
        <w:tc>
          <w:tcPr>
            <w:tcW w:w="2250" w:type="dxa"/>
            <w:tcBorders>
              <w:top w:val="single" w:sz="12" w:space="0" w:color="auto"/>
            </w:tcBorders>
            <w:tcMar>
              <w:left w:w="108" w:type="dxa"/>
              <w:right w:w="108" w:type="dxa"/>
            </w:tcMar>
          </w:tcPr>
          <w:p w14:paraId="414F1EF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销毁去除率</w:t>
            </w:r>
          </w:p>
        </w:tc>
        <w:tc>
          <w:tcPr>
            <w:tcW w:w="1399" w:type="dxa"/>
            <w:tcBorders>
              <w:top w:val="single" w:sz="12" w:space="0" w:color="auto"/>
            </w:tcBorders>
            <w:tcMar>
              <w:left w:w="108" w:type="dxa"/>
              <w:right w:w="108" w:type="dxa"/>
            </w:tcMar>
          </w:tcPr>
          <w:p w14:paraId="1364268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840" w:type="dxa"/>
            <w:tcBorders>
              <w:top w:val="single" w:sz="12" w:space="0" w:color="auto"/>
            </w:tcBorders>
            <w:tcMar>
              <w:left w:w="108" w:type="dxa"/>
              <w:right w:w="108" w:type="dxa"/>
            </w:tcMar>
          </w:tcPr>
          <w:p w14:paraId="0427BEE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1399" w:type="dxa"/>
            <w:tcBorders>
              <w:top w:val="single" w:sz="12" w:space="0" w:color="auto"/>
            </w:tcBorders>
            <w:tcMar>
              <w:left w:w="108" w:type="dxa"/>
              <w:right w:w="108" w:type="dxa"/>
            </w:tcMar>
          </w:tcPr>
          <w:p w14:paraId="03D24E1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982" w:type="dxa"/>
            <w:tcBorders>
              <w:top w:val="single" w:sz="12" w:space="0" w:color="auto"/>
            </w:tcBorders>
            <w:tcMar>
              <w:left w:w="108" w:type="dxa"/>
              <w:right w:w="108" w:type="dxa"/>
            </w:tcMar>
          </w:tcPr>
          <w:p w14:paraId="3609F94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928" w:type="dxa"/>
            <w:tcBorders>
              <w:top w:val="single" w:sz="12" w:space="0" w:color="auto"/>
            </w:tcBorders>
            <w:tcMar>
              <w:left w:w="108" w:type="dxa"/>
              <w:right w:w="108" w:type="dxa"/>
            </w:tcMar>
          </w:tcPr>
          <w:p w14:paraId="37AE0D5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1258" w:type="dxa"/>
            <w:tcBorders>
              <w:top w:val="single" w:sz="12" w:space="0" w:color="auto"/>
            </w:tcBorders>
            <w:tcMar>
              <w:left w:w="108" w:type="dxa"/>
              <w:right w:w="108" w:type="dxa"/>
            </w:tcMar>
          </w:tcPr>
          <w:p w14:paraId="2B427A9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882" w:type="dxa"/>
            <w:tcBorders>
              <w:top w:val="single" w:sz="12" w:space="0" w:color="auto"/>
            </w:tcBorders>
            <w:tcMar>
              <w:left w:w="108" w:type="dxa"/>
              <w:right w:w="108" w:type="dxa"/>
            </w:tcMar>
          </w:tcPr>
          <w:p w14:paraId="30654D8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1124" w:type="dxa"/>
            <w:tcBorders>
              <w:top w:val="single" w:sz="12" w:space="0" w:color="auto"/>
            </w:tcBorders>
            <w:tcMar>
              <w:left w:w="108" w:type="dxa"/>
              <w:right w:w="108" w:type="dxa"/>
            </w:tcMar>
          </w:tcPr>
          <w:p w14:paraId="395C95C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973" w:type="dxa"/>
            <w:tcBorders>
              <w:top w:val="single" w:sz="12" w:space="0" w:color="auto"/>
            </w:tcBorders>
            <w:tcMar>
              <w:left w:w="108" w:type="dxa"/>
              <w:right w:w="108" w:type="dxa"/>
            </w:tcMar>
          </w:tcPr>
          <w:p w14:paraId="2FEBBE2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99.99%</w:t>
            </w:r>
          </w:p>
        </w:tc>
        <w:tc>
          <w:tcPr>
            <w:tcW w:w="1290" w:type="dxa"/>
            <w:tcBorders>
              <w:top w:val="single" w:sz="12" w:space="0" w:color="auto"/>
            </w:tcBorders>
            <w:tcMar>
              <w:left w:w="108" w:type="dxa"/>
              <w:right w:w="108" w:type="dxa"/>
            </w:tcMar>
          </w:tcPr>
          <w:p w14:paraId="01EBA2F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95%</w:t>
            </w:r>
          </w:p>
        </w:tc>
        <w:tc>
          <w:tcPr>
            <w:tcW w:w="1134" w:type="dxa"/>
            <w:tcBorders>
              <w:top w:val="single" w:sz="12" w:space="0" w:color="auto"/>
            </w:tcBorders>
            <w:tcMar>
              <w:left w:w="108" w:type="dxa"/>
              <w:right w:w="108" w:type="dxa"/>
            </w:tcMar>
          </w:tcPr>
          <w:p w14:paraId="47D860D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95%</w:t>
            </w:r>
          </w:p>
        </w:tc>
      </w:tr>
      <w:tr w:rsidR="000141C8" w:rsidRPr="002D629B" w14:paraId="047C6954" w14:textId="77777777" w:rsidTr="00330D93">
        <w:trPr>
          <w:trHeight w:val="300"/>
          <w:jc w:val="right"/>
        </w:trPr>
        <w:tc>
          <w:tcPr>
            <w:tcW w:w="2250" w:type="dxa"/>
            <w:tcMar>
              <w:left w:w="108" w:type="dxa"/>
              <w:right w:w="108" w:type="dxa"/>
            </w:tcMar>
          </w:tcPr>
          <w:p w14:paraId="6800F68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水泥窑</w:t>
            </w:r>
          </w:p>
        </w:tc>
        <w:tc>
          <w:tcPr>
            <w:tcW w:w="1399" w:type="dxa"/>
            <w:tcMar>
              <w:left w:w="108" w:type="dxa"/>
              <w:right w:w="108" w:type="dxa"/>
            </w:tcMar>
          </w:tcPr>
          <w:p w14:paraId="07FE13C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394A5DE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未核准</w:t>
            </w:r>
          </w:p>
        </w:tc>
        <w:tc>
          <w:tcPr>
            <w:tcW w:w="1399" w:type="dxa"/>
            <w:tcMar>
              <w:left w:w="108" w:type="dxa"/>
              <w:right w:w="108" w:type="dxa"/>
            </w:tcMar>
          </w:tcPr>
          <w:p w14:paraId="7500B31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36E278B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293D700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34FF7FD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48D7C63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18DB78B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shd w:val="clear" w:color="auto" w:fill="F2DBDB" w:themeFill="accent2" w:themeFillTint="33"/>
            <w:tcMar>
              <w:left w:w="108" w:type="dxa"/>
              <w:right w:w="108" w:type="dxa"/>
            </w:tcMar>
          </w:tcPr>
          <w:p w14:paraId="36B36E7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1CA248A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18C97AE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48142306" w14:textId="77777777" w:rsidTr="00330D93">
        <w:trPr>
          <w:trHeight w:val="300"/>
          <w:jc w:val="right"/>
        </w:trPr>
        <w:tc>
          <w:tcPr>
            <w:tcW w:w="2250" w:type="dxa"/>
            <w:tcMar>
              <w:left w:w="108" w:type="dxa"/>
              <w:right w:w="108" w:type="dxa"/>
            </w:tcMar>
          </w:tcPr>
          <w:p w14:paraId="33E16F9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气体</w:t>
            </w:r>
            <w:r w:rsidRPr="002D629B">
              <w:rPr>
                <w:rFonts w:eastAsia="SimSun"/>
                <w:color w:val="000000"/>
                <w:sz w:val="20"/>
                <w:szCs w:val="20"/>
                <w:lang w:val="zh-CN"/>
              </w:rPr>
              <w:t>/</w:t>
            </w:r>
            <w:r w:rsidRPr="002D629B">
              <w:rPr>
                <w:rFonts w:eastAsia="SimSun"/>
                <w:color w:val="000000"/>
                <w:sz w:val="20"/>
                <w:szCs w:val="20"/>
                <w:lang w:val="zh-CN"/>
              </w:rPr>
              <w:t>烟气氧化</w:t>
            </w:r>
          </w:p>
        </w:tc>
        <w:tc>
          <w:tcPr>
            <w:tcW w:w="1399" w:type="dxa"/>
            <w:tcMar>
              <w:left w:w="108" w:type="dxa"/>
              <w:right w:w="108" w:type="dxa"/>
            </w:tcMar>
          </w:tcPr>
          <w:p w14:paraId="6A82D6E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387B876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Mar>
              <w:left w:w="108" w:type="dxa"/>
              <w:right w:w="108" w:type="dxa"/>
            </w:tcMar>
          </w:tcPr>
          <w:p w14:paraId="7607582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12CED90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2468557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51A4202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20727B8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62F960C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140191E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1B45F5F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65FA22C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70480017" w14:textId="77777777" w:rsidTr="00330D93">
        <w:trPr>
          <w:trHeight w:val="300"/>
          <w:jc w:val="right"/>
        </w:trPr>
        <w:tc>
          <w:tcPr>
            <w:tcW w:w="2250" w:type="dxa"/>
            <w:tcMar>
              <w:left w:w="108" w:type="dxa"/>
              <w:right w:w="108" w:type="dxa"/>
            </w:tcMar>
          </w:tcPr>
          <w:p w14:paraId="4790800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液体喷射式焚烧</w:t>
            </w:r>
          </w:p>
        </w:tc>
        <w:tc>
          <w:tcPr>
            <w:tcW w:w="1399" w:type="dxa"/>
            <w:tcMar>
              <w:left w:w="108" w:type="dxa"/>
              <w:right w:w="108" w:type="dxa"/>
            </w:tcMar>
          </w:tcPr>
          <w:p w14:paraId="0D8BBCF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tcMar>
              <w:left w:w="108" w:type="dxa"/>
              <w:right w:w="108" w:type="dxa"/>
            </w:tcMar>
          </w:tcPr>
          <w:p w14:paraId="44DD53A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399" w:type="dxa"/>
            <w:tcMar>
              <w:left w:w="108" w:type="dxa"/>
              <w:right w:w="108" w:type="dxa"/>
            </w:tcMar>
          </w:tcPr>
          <w:p w14:paraId="79E00F0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23AD711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4FD72D7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0CF8AA2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3AA3F47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3EE6DE8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39F31A8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3E4DD68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4B2BF44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5895FECD" w14:textId="77777777" w:rsidTr="00330D93">
        <w:trPr>
          <w:trHeight w:val="300"/>
          <w:jc w:val="right"/>
        </w:trPr>
        <w:tc>
          <w:tcPr>
            <w:tcW w:w="2250" w:type="dxa"/>
            <w:tcMar>
              <w:left w:w="108" w:type="dxa"/>
              <w:right w:w="108" w:type="dxa"/>
            </w:tcMar>
          </w:tcPr>
          <w:p w14:paraId="1538758F" w14:textId="2E64F03C"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城市固体废物焚化</w:t>
            </w:r>
          </w:p>
        </w:tc>
        <w:tc>
          <w:tcPr>
            <w:tcW w:w="1399" w:type="dxa"/>
            <w:tcMar>
              <w:left w:w="108" w:type="dxa"/>
              <w:right w:w="108" w:type="dxa"/>
            </w:tcMar>
          </w:tcPr>
          <w:p w14:paraId="3202A48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840" w:type="dxa"/>
            <w:tcMar>
              <w:left w:w="108" w:type="dxa"/>
              <w:right w:w="108" w:type="dxa"/>
            </w:tcMar>
          </w:tcPr>
          <w:p w14:paraId="2A6E7DA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399" w:type="dxa"/>
            <w:tcMar>
              <w:left w:w="108" w:type="dxa"/>
              <w:right w:w="108" w:type="dxa"/>
            </w:tcMar>
          </w:tcPr>
          <w:p w14:paraId="6BD7226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982" w:type="dxa"/>
            <w:tcMar>
              <w:left w:w="108" w:type="dxa"/>
              <w:right w:w="108" w:type="dxa"/>
            </w:tcMar>
          </w:tcPr>
          <w:p w14:paraId="374F556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928" w:type="dxa"/>
            <w:tcMar>
              <w:left w:w="108" w:type="dxa"/>
              <w:right w:w="108" w:type="dxa"/>
            </w:tcMar>
          </w:tcPr>
          <w:p w14:paraId="798C530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258" w:type="dxa"/>
            <w:tcMar>
              <w:left w:w="108" w:type="dxa"/>
              <w:right w:w="108" w:type="dxa"/>
            </w:tcMar>
          </w:tcPr>
          <w:p w14:paraId="1759B14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882" w:type="dxa"/>
            <w:tcMar>
              <w:left w:w="108" w:type="dxa"/>
              <w:right w:w="108" w:type="dxa"/>
            </w:tcMar>
          </w:tcPr>
          <w:p w14:paraId="66F3795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24" w:type="dxa"/>
            <w:tcMar>
              <w:left w:w="108" w:type="dxa"/>
              <w:right w:w="108" w:type="dxa"/>
            </w:tcMar>
          </w:tcPr>
          <w:p w14:paraId="2583CCF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973" w:type="dxa"/>
            <w:tcMar>
              <w:left w:w="108" w:type="dxa"/>
              <w:right w:w="108" w:type="dxa"/>
            </w:tcMar>
          </w:tcPr>
          <w:p w14:paraId="4C59D91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290" w:type="dxa"/>
            <w:tcMar>
              <w:left w:w="108" w:type="dxa"/>
              <w:right w:w="108" w:type="dxa"/>
            </w:tcMar>
          </w:tcPr>
          <w:p w14:paraId="2DEA599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134" w:type="dxa"/>
            <w:tcMar>
              <w:left w:w="108" w:type="dxa"/>
              <w:right w:w="108" w:type="dxa"/>
            </w:tcMar>
          </w:tcPr>
          <w:p w14:paraId="127CCB7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r>
      <w:tr w:rsidR="000141C8" w:rsidRPr="002D629B" w14:paraId="530786C8" w14:textId="77777777" w:rsidTr="00330D93">
        <w:trPr>
          <w:trHeight w:val="329"/>
          <w:jc w:val="right"/>
        </w:trPr>
        <w:tc>
          <w:tcPr>
            <w:tcW w:w="2250" w:type="dxa"/>
            <w:tcMar>
              <w:left w:w="108" w:type="dxa"/>
              <w:right w:w="108" w:type="dxa"/>
            </w:tcMar>
          </w:tcPr>
          <w:p w14:paraId="0D5CDA4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多孔热反应堆</w:t>
            </w:r>
          </w:p>
        </w:tc>
        <w:tc>
          <w:tcPr>
            <w:tcW w:w="1399" w:type="dxa"/>
            <w:tcMar>
              <w:left w:w="108" w:type="dxa"/>
              <w:right w:w="108" w:type="dxa"/>
            </w:tcMar>
          </w:tcPr>
          <w:p w14:paraId="3E2E035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064434D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Mar>
              <w:left w:w="108" w:type="dxa"/>
              <w:right w:w="108" w:type="dxa"/>
            </w:tcMar>
          </w:tcPr>
          <w:p w14:paraId="01AC1A7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427EF79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1BEDC2A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0B50C31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3458A44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47A2A1E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shd w:val="clear" w:color="auto" w:fill="F2DBDB" w:themeFill="accent2" w:themeFillTint="33"/>
            <w:tcMar>
              <w:left w:w="108" w:type="dxa"/>
              <w:right w:w="108" w:type="dxa"/>
            </w:tcMar>
          </w:tcPr>
          <w:p w14:paraId="452A665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06A5441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0D32057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275393E2" w14:textId="77777777" w:rsidTr="00330D93">
        <w:trPr>
          <w:trHeight w:val="300"/>
          <w:jc w:val="right"/>
        </w:trPr>
        <w:tc>
          <w:tcPr>
            <w:tcW w:w="2250" w:type="dxa"/>
            <w:tcMar>
              <w:left w:w="108" w:type="dxa"/>
              <w:right w:w="108" w:type="dxa"/>
            </w:tcMar>
          </w:tcPr>
          <w:p w14:paraId="62CA927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反应炉裂解</w:t>
            </w:r>
          </w:p>
        </w:tc>
        <w:tc>
          <w:tcPr>
            <w:tcW w:w="1399" w:type="dxa"/>
            <w:tcMar>
              <w:left w:w="108" w:type="dxa"/>
              <w:right w:w="108" w:type="dxa"/>
            </w:tcMar>
          </w:tcPr>
          <w:p w14:paraId="10623AC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2375795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未核准</w:t>
            </w:r>
          </w:p>
        </w:tc>
        <w:tc>
          <w:tcPr>
            <w:tcW w:w="1399" w:type="dxa"/>
            <w:tcMar>
              <w:left w:w="108" w:type="dxa"/>
              <w:right w:w="108" w:type="dxa"/>
            </w:tcMar>
          </w:tcPr>
          <w:p w14:paraId="6CBD26B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2F8437F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7E62E83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3372C99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55AC706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53613BB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543CD7E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3D34E0B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309D8DB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1718EBF0" w14:textId="77777777" w:rsidTr="00330D93">
        <w:trPr>
          <w:trHeight w:val="300"/>
          <w:jc w:val="right"/>
        </w:trPr>
        <w:tc>
          <w:tcPr>
            <w:tcW w:w="2250" w:type="dxa"/>
            <w:tcMar>
              <w:left w:w="108" w:type="dxa"/>
              <w:right w:w="108" w:type="dxa"/>
            </w:tcMar>
          </w:tcPr>
          <w:p w14:paraId="4C5D011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回转窑焚烧炉</w:t>
            </w:r>
          </w:p>
        </w:tc>
        <w:tc>
          <w:tcPr>
            <w:tcW w:w="1399" w:type="dxa"/>
            <w:tcMar>
              <w:left w:w="108" w:type="dxa"/>
              <w:right w:w="108" w:type="dxa"/>
            </w:tcMar>
          </w:tcPr>
          <w:p w14:paraId="2700C8B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tcMar>
              <w:left w:w="108" w:type="dxa"/>
              <w:right w:w="108" w:type="dxa"/>
            </w:tcMar>
          </w:tcPr>
          <w:p w14:paraId="6420249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399" w:type="dxa"/>
            <w:tcMar>
              <w:left w:w="108" w:type="dxa"/>
              <w:right w:w="108" w:type="dxa"/>
            </w:tcMar>
          </w:tcPr>
          <w:p w14:paraId="40296D9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105EB39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1C1C915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0F01204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39413EC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17124E7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3458A32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47775E3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134" w:type="dxa"/>
            <w:tcMar>
              <w:left w:w="108" w:type="dxa"/>
              <w:right w:w="108" w:type="dxa"/>
            </w:tcMar>
          </w:tcPr>
          <w:p w14:paraId="496732E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r>
      <w:tr w:rsidR="000141C8" w:rsidRPr="002D629B" w14:paraId="3640FC4A" w14:textId="77777777" w:rsidTr="00330D93">
        <w:trPr>
          <w:trHeight w:val="300"/>
          <w:jc w:val="right"/>
        </w:trPr>
        <w:tc>
          <w:tcPr>
            <w:tcW w:w="2250" w:type="dxa"/>
            <w:tcMar>
              <w:left w:w="108" w:type="dxa"/>
              <w:right w:w="108" w:type="dxa"/>
            </w:tcMar>
          </w:tcPr>
          <w:p w14:paraId="3220211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甲基溴热衰减</w:t>
            </w:r>
          </w:p>
        </w:tc>
        <w:tc>
          <w:tcPr>
            <w:tcW w:w="1399" w:type="dxa"/>
            <w:shd w:val="clear" w:color="auto" w:fill="F2DBDB" w:themeFill="accent2" w:themeFillTint="33"/>
            <w:tcMar>
              <w:left w:w="108" w:type="dxa"/>
              <w:right w:w="108" w:type="dxa"/>
            </w:tcMar>
          </w:tcPr>
          <w:p w14:paraId="15A347F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840" w:type="dxa"/>
            <w:shd w:val="clear" w:color="auto" w:fill="F2DBDB" w:themeFill="accent2" w:themeFillTint="33"/>
            <w:tcMar>
              <w:left w:w="108" w:type="dxa"/>
              <w:right w:w="108" w:type="dxa"/>
            </w:tcMar>
          </w:tcPr>
          <w:p w14:paraId="340C1D2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shd w:val="clear" w:color="auto" w:fill="F2DBDB" w:themeFill="accent2" w:themeFillTint="33"/>
            <w:tcMar>
              <w:left w:w="108" w:type="dxa"/>
              <w:right w:w="108" w:type="dxa"/>
            </w:tcMar>
          </w:tcPr>
          <w:p w14:paraId="4FC64B6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82" w:type="dxa"/>
            <w:shd w:val="clear" w:color="auto" w:fill="F2DBDB" w:themeFill="accent2" w:themeFillTint="33"/>
            <w:tcMar>
              <w:left w:w="108" w:type="dxa"/>
              <w:right w:w="108" w:type="dxa"/>
            </w:tcMar>
          </w:tcPr>
          <w:p w14:paraId="0546EAF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28" w:type="dxa"/>
            <w:shd w:val="clear" w:color="auto" w:fill="F2DBDB" w:themeFill="accent2" w:themeFillTint="33"/>
            <w:tcMar>
              <w:left w:w="108" w:type="dxa"/>
              <w:right w:w="108" w:type="dxa"/>
            </w:tcMar>
          </w:tcPr>
          <w:p w14:paraId="0CB18D1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58" w:type="dxa"/>
            <w:shd w:val="clear" w:color="auto" w:fill="F2DBDB" w:themeFill="accent2" w:themeFillTint="33"/>
            <w:tcMar>
              <w:left w:w="108" w:type="dxa"/>
              <w:right w:w="108" w:type="dxa"/>
            </w:tcMar>
          </w:tcPr>
          <w:p w14:paraId="127F0A3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882" w:type="dxa"/>
            <w:tcMar>
              <w:left w:w="108" w:type="dxa"/>
              <w:right w:w="108" w:type="dxa"/>
            </w:tcMar>
          </w:tcPr>
          <w:p w14:paraId="2EB6DB4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124" w:type="dxa"/>
            <w:shd w:val="clear" w:color="auto" w:fill="F2DBDB" w:themeFill="accent2" w:themeFillTint="33"/>
            <w:tcMar>
              <w:left w:w="108" w:type="dxa"/>
              <w:right w:w="108" w:type="dxa"/>
            </w:tcMar>
          </w:tcPr>
          <w:p w14:paraId="38073F0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73" w:type="dxa"/>
            <w:shd w:val="clear" w:color="auto" w:fill="F2DBDB" w:themeFill="accent2" w:themeFillTint="33"/>
            <w:tcMar>
              <w:left w:w="108" w:type="dxa"/>
              <w:right w:w="108" w:type="dxa"/>
            </w:tcMar>
          </w:tcPr>
          <w:p w14:paraId="090AFD7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05AB727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color w:val="FF0000"/>
                <w:sz w:val="20"/>
                <w:szCs w:val="20"/>
              </w:rPr>
            </w:pPr>
            <w:r w:rsidRPr="002D629B">
              <w:rPr>
                <w:rFonts w:eastAsia="SimSun"/>
                <w:color w:val="000000"/>
                <w:sz w:val="20"/>
                <w:szCs w:val="20"/>
              </w:rPr>
              <w:t xml:space="preserve"> </w:t>
            </w:r>
          </w:p>
        </w:tc>
        <w:tc>
          <w:tcPr>
            <w:tcW w:w="1134" w:type="dxa"/>
            <w:tcMar>
              <w:left w:w="108" w:type="dxa"/>
              <w:right w:w="108" w:type="dxa"/>
            </w:tcMar>
          </w:tcPr>
          <w:p w14:paraId="1D53E33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color w:val="FF0000"/>
                <w:sz w:val="20"/>
                <w:szCs w:val="20"/>
              </w:rPr>
            </w:pPr>
            <w:r w:rsidRPr="002D629B">
              <w:rPr>
                <w:rFonts w:eastAsia="SimSun"/>
                <w:color w:val="000000"/>
                <w:sz w:val="20"/>
                <w:szCs w:val="20"/>
              </w:rPr>
              <w:t xml:space="preserve"> </w:t>
            </w:r>
          </w:p>
        </w:tc>
      </w:tr>
      <w:tr w:rsidR="000141C8" w:rsidRPr="002D629B" w14:paraId="7CAC3467" w14:textId="77777777" w:rsidTr="00330D93">
        <w:trPr>
          <w:trHeight w:val="300"/>
          <w:jc w:val="right"/>
        </w:trPr>
        <w:tc>
          <w:tcPr>
            <w:tcW w:w="2250" w:type="dxa"/>
            <w:tcMar>
              <w:left w:w="108" w:type="dxa"/>
              <w:right w:w="108" w:type="dxa"/>
            </w:tcMar>
          </w:tcPr>
          <w:p w14:paraId="761B830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氩气等离子弧</w:t>
            </w:r>
          </w:p>
        </w:tc>
        <w:tc>
          <w:tcPr>
            <w:tcW w:w="1399" w:type="dxa"/>
            <w:tcMar>
              <w:left w:w="108" w:type="dxa"/>
              <w:right w:w="108" w:type="dxa"/>
            </w:tcMar>
          </w:tcPr>
          <w:p w14:paraId="187E0C0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tcMar>
              <w:left w:w="108" w:type="dxa"/>
              <w:right w:w="108" w:type="dxa"/>
            </w:tcMar>
          </w:tcPr>
          <w:p w14:paraId="369FCE1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399" w:type="dxa"/>
            <w:tcMar>
              <w:left w:w="108" w:type="dxa"/>
              <w:right w:w="108" w:type="dxa"/>
            </w:tcMar>
          </w:tcPr>
          <w:p w14:paraId="2BB243F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70E70F8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6B4ADCD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3206420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351FC30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1E8913F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0BCFEEA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43045E0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1998241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7B34D689" w14:textId="77777777" w:rsidTr="00330D93">
        <w:trPr>
          <w:trHeight w:val="300"/>
          <w:jc w:val="right"/>
        </w:trPr>
        <w:tc>
          <w:tcPr>
            <w:tcW w:w="2250" w:type="dxa"/>
            <w:tcMar>
              <w:left w:w="108" w:type="dxa"/>
              <w:right w:w="108" w:type="dxa"/>
            </w:tcMar>
          </w:tcPr>
          <w:p w14:paraId="7563554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蒸汽等离子弧</w:t>
            </w:r>
          </w:p>
        </w:tc>
        <w:tc>
          <w:tcPr>
            <w:tcW w:w="1399" w:type="dxa"/>
            <w:tcMar>
              <w:left w:w="108" w:type="dxa"/>
              <w:right w:w="108" w:type="dxa"/>
            </w:tcMar>
          </w:tcPr>
          <w:p w14:paraId="7ECB09A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4E3E914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shd w:val="clear" w:color="auto" w:fill="F2DBDB" w:themeFill="accent2" w:themeFillTint="33"/>
            <w:tcMar>
              <w:left w:w="108" w:type="dxa"/>
              <w:right w:w="108" w:type="dxa"/>
            </w:tcMar>
          </w:tcPr>
          <w:p w14:paraId="5157440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82" w:type="dxa"/>
            <w:shd w:val="clear" w:color="auto" w:fill="F2DBDB" w:themeFill="accent2" w:themeFillTint="33"/>
            <w:tcMar>
              <w:left w:w="108" w:type="dxa"/>
              <w:right w:w="108" w:type="dxa"/>
            </w:tcMar>
          </w:tcPr>
          <w:p w14:paraId="1BD8A89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28" w:type="dxa"/>
            <w:shd w:val="clear" w:color="auto" w:fill="F2DBDB" w:themeFill="accent2" w:themeFillTint="33"/>
            <w:tcMar>
              <w:left w:w="108" w:type="dxa"/>
              <w:right w:w="108" w:type="dxa"/>
            </w:tcMar>
          </w:tcPr>
          <w:p w14:paraId="61C8749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58" w:type="dxa"/>
            <w:tcMar>
              <w:left w:w="108" w:type="dxa"/>
              <w:right w:w="108" w:type="dxa"/>
            </w:tcMar>
          </w:tcPr>
          <w:p w14:paraId="622E50A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25D8D13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09DDF2F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shd w:val="clear" w:color="auto" w:fill="F2DBDB" w:themeFill="accent2" w:themeFillTint="33"/>
            <w:tcMar>
              <w:left w:w="108" w:type="dxa"/>
              <w:right w:w="108" w:type="dxa"/>
            </w:tcMar>
          </w:tcPr>
          <w:p w14:paraId="22BE76A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7FDA896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7DD54E9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192B576F" w14:textId="77777777" w:rsidTr="00330D93">
        <w:trPr>
          <w:trHeight w:val="300"/>
          <w:jc w:val="right"/>
        </w:trPr>
        <w:tc>
          <w:tcPr>
            <w:tcW w:w="2250" w:type="dxa"/>
            <w:tcMar>
              <w:left w:w="108" w:type="dxa"/>
              <w:right w:w="108" w:type="dxa"/>
            </w:tcMar>
          </w:tcPr>
          <w:p w14:paraId="3517445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电感耦合射频等离子体</w:t>
            </w:r>
          </w:p>
        </w:tc>
        <w:tc>
          <w:tcPr>
            <w:tcW w:w="1399" w:type="dxa"/>
            <w:tcMar>
              <w:left w:w="108" w:type="dxa"/>
              <w:right w:w="108" w:type="dxa"/>
            </w:tcMar>
          </w:tcPr>
          <w:p w14:paraId="58A4F60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tcMar>
              <w:left w:w="108" w:type="dxa"/>
              <w:right w:w="108" w:type="dxa"/>
            </w:tcMar>
          </w:tcPr>
          <w:p w14:paraId="4B8018A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399" w:type="dxa"/>
            <w:tcMar>
              <w:left w:w="108" w:type="dxa"/>
              <w:right w:w="108" w:type="dxa"/>
            </w:tcMar>
          </w:tcPr>
          <w:p w14:paraId="0C3EA6E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5A956C1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315FAFF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3EEDED1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48ACA5A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shd w:val="clear" w:color="auto" w:fill="F2DBDB" w:themeFill="accent2" w:themeFillTint="33"/>
            <w:tcMar>
              <w:left w:w="108" w:type="dxa"/>
              <w:right w:w="108" w:type="dxa"/>
            </w:tcMar>
          </w:tcPr>
          <w:p w14:paraId="225CCB6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73" w:type="dxa"/>
            <w:shd w:val="clear" w:color="auto" w:fill="F2DBDB" w:themeFill="accent2" w:themeFillTint="33"/>
            <w:tcMar>
              <w:left w:w="108" w:type="dxa"/>
              <w:right w:w="108" w:type="dxa"/>
            </w:tcMar>
          </w:tcPr>
          <w:p w14:paraId="5CF3AA9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0AE47F4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7AF4B75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7803D4C5" w14:textId="77777777" w:rsidTr="00330D93">
        <w:trPr>
          <w:trHeight w:val="300"/>
          <w:jc w:val="right"/>
        </w:trPr>
        <w:tc>
          <w:tcPr>
            <w:tcW w:w="2250" w:type="dxa"/>
            <w:tcMar>
              <w:left w:w="108" w:type="dxa"/>
              <w:right w:w="108" w:type="dxa"/>
            </w:tcMar>
          </w:tcPr>
          <w:p w14:paraId="2EC5FF7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微波等离子体</w:t>
            </w:r>
          </w:p>
        </w:tc>
        <w:tc>
          <w:tcPr>
            <w:tcW w:w="1399" w:type="dxa"/>
            <w:tcMar>
              <w:left w:w="108" w:type="dxa"/>
              <w:right w:w="108" w:type="dxa"/>
            </w:tcMar>
          </w:tcPr>
          <w:p w14:paraId="7CE720C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49E2096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Mar>
              <w:left w:w="108" w:type="dxa"/>
              <w:right w:w="108" w:type="dxa"/>
            </w:tcMar>
          </w:tcPr>
          <w:p w14:paraId="7F8F7F6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3F18254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1C5A125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467E8AB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7F9D6D8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shd w:val="clear" w:color="auto" w:fill="F2DBDB" w:themeFill="accent2" w:themeFillTint="33"/>
            <w:tcMar>
              <w:left w:w="108" w:type="dxa"/>
              <w:right w:w="108" w:type="dxa"/>
            </w:tcMar>
          </w:tcPr>
          <w:p w14:paraId="557F60A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73" w:type="dxa"/>
            <w:shd w:val="clear" w:color="auto" w:fill="F2DBDB" w:themeFill="accent2" w:themeFillTint="33"/>
            <w:tcMar>
              <w:left w:w="108" w:type="dxa"/>
              <w:right w:w="108" w:type="dxa"/>
            </w:tcMar>
          </w:tcPr>
          <w:p w14:paraId="12AAEE1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427D780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62732FF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0C6CFF3E" w14:textId="77777777" w:rsidTr="00330D93">
        <w:trPr>
          <w:trHeight w:val="300"/>
          <w:jc w:val="right"/>
        </w:trPr>
        <w:tc>
          <w:tcPr>
            <w:tcW w:w="2250" w:type="dxa"/>
            <w:tcMar>
              <w:left w:w="108" w:type="dxa"/>
              <w:right w:w="108" w:type="dxa"/>
            </w:tcMar>
          </w:tcPr>
          <w:p w14:paraId="460672B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氮气等离子弧</w:t>
            </w:r>
          </w:p>
        </w:tc>
        <w:tc>
          <w:tcPr>
            <w:tcW w:w="1399" w:type="dxa"/>
            <w:tcMar>
              <w:left w:w="108" w:type="dxa"/>
              <w:right w:w="108" w:type="dxa"/>
            </w:tcMar>
          </w:tcPr>
          <w:p w14:paraId="006AC42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1AF3A31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Mar>
              <w:left w:w="108" w:type="dxa"/>
              <w:right w:w="108" w:type="dxa"/>
            </w:tcMar>
          </w:tcPr>
          <w:p w14:paraId="0FC4BFE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0A02499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14CDC0B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34671E0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72F8108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319EF7A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3A8F936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311729D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60ADF3C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5AFC6ED6" w14:textId="77777777" w:rsidTr="00330D93">
        <w:trPr>
          <w:trHeight w:val="300"/>
          <w:jc w:val="right"/>
        </w:trPr>
        <w:tc>
          <w:tcPr>
            <w:tcW w:w="2250" w:type="dxa"/>
            <w:tcMar>
              <w:left w:w="108" w:type="dxa"/>
              <w:right w:w="108" w:type="dxa"/>
            </w:tcMar>
          </w:tcPr>
          <w:p w14:paraId="4C88B5F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vertAlign w:val="subscript"/>
              </w:rPr>
            </w:pPr>
            <w:r w:rsidRPr="002D629B">
              <w:rPr>
                <w:rFonts w:eastAsia="SimSun"/>
                <w:color w:val="000000"/>
                <w:sz w:val="20"/>
                <w:szCs w:val="20"/>
                <w:lang w:val="zh-CN"/>
              </w:rPr>
              <w:t>与氢气和二氧化碳产生化学反应</w:t>
            </w:r>
          </w:p>
        </w:tc>
        <w:tc>
          <w:tcPr>
            <w:tcW w:w="1399" w:type="dxa"/>
            <w:tcMar>
              <w:left w:w="108" w:type="dxa"/>
              <w:right w:w="108" w:type="dxa"/>
            </w:tcMar>
          </w:tcPr>
          <w:p w14:paraId="33BA2A7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tcMar>
              <w:left w:w="108" w:type="dxa"/>
              <w:right w:w="108" w:type="dxa"/>
            </w:tcMar>
          </w:tcPr>
          <w:p w14:paraId="07FBC74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399" w:type="dxa"/>
            <w:tcMar>
              <w:left w:w="108" w:type="dxa"/>
              <w:right w:w="108" w:type="dxa"/>
            </w:tcMar>
          </w:tcPr>
          <w:p w14:paraId="6118195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74924F0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2BEE2FC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6BACECA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63FF449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52F830B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1672F6F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53783013"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44D92F6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0C5B96CA" w14:textId="77777777" w:rsidTr="00330D93">
        <w:trPr>
          <w:trHeight w:val="300"/>
          <w:jc w:val="right"/>
        </w:trPr>
        <w:tc>
          <w:tcPr>
            <w:tcW w:w="2250" w:type="dxa"/>
            <w:tcMar>
              <w:left w:w="108" w:type="dxa"/>
              <w:right w:w="108" w:type="dxa"/>
            </w:tcMar>
          </w:tcPr>
          <w:p w14:paraId="2135019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气相催化脱卤</w:t>
            </w:r>
          </w:p>
        </w:tc>
        <w:tc>
          <w:tcPr>
            <w:tcW w:w="1399" w:type="dxa"/>
            <w:tcMar>
              <w:left w:w="108" w:type="dxa"/>
              <w:right w:w="108" w:type="dxa"/>
            </w:tcMar>
          </w:tcPr>
          <w:p w14:paraId="098A4B9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19824B2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Mar>
              <w:left w:w="108" w:type="dxa"/>
              <w:right w:w="108" w:type="dxa"/>
            </w:tcMar>
          </w:tcPr>
          <w:p w14:paraId="368AD21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06AAA6E8"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5BD1D0F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1B4BA1C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3F8917C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0962A6C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shd w:val="clear" w:color="auto" w:fill="F2DBDB" w:themeFill="accent2" w:themeFillTint="33"/>
            <w:tcMar>
              <w:left w:w="108" w:type="dxa"/>
              <w:right w:w="108" w:type="dxa"/>
            </w:tcMar>
          </w:tcPr>
          <w:p w14:paraId="28A6016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0391B59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07EF8F5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69A65C0F" w14:textId="77777777" w:rsidTr="00330D93">
        <w:trPr>
          <w:trHeight w:val="300"/>
          <w:jc w:val="right"/>
        </w:trPr>
        <w:tc>
          <w:tcPr>
            <w:tcW w:w="2250" w:type="dxa"/>
            <w:tcMar>
              <w:left w:w="108" w:type="dxa"/>
              <w:right w:w="108" w:type="dxa"/>
            </w:tcMar>
          </w:tcPr>
          <w:p w14:paraId="30B4791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过热蒸汽反应堆</w:t>
            </w:r>
          </w:p>
        </w:tc>
        <w:tc>
          <w:tcPr>
            <w:tcW w:w="1399" w:type="dxa"/>
            <w:tcMar>
              <w:left w:w="108" w:type="dxa"/>
              <w:right w:w="108" w:type="dxa"/>
            </w:tcMar>
          </w:tcPr>
          <w:p w14:paraId="1696E3B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shd w:val="clear" w:color="auto" w:fill="F2DBDB" w:themeFill="accent2" w:themeFillTint="33"/>
            <w:tcMar>
              <w:left w:w="108" w:type="dxa"/>
              <w:right w:w="108" w:type="dxa"/>
            </w:tcMar>
          </w:tcPr>
          <w:p w14:paraId="35AAB454"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Mar>
              <w:left w:w="108" w:type="dxa"/>
              <w:right w:w="108" w:type="dxa"/>
            </w:tcMar>
          </w:tcPr>
          <w:p w14:paraId="70D4D3F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2FD5196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1D3B65F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0AC2C83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6D887F0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tcMar>
              <w:left w:w="108" w:type="dxa"/>
              <w:right w:w="108" w:type="dxa"/>
            </w:tcMar>
          </w:tcPr>
          <w:p w14:paraId="287E62E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73" w:type="dxa"/>
            <w:tcMar>
              <w:left w:w="108" w:type="dxa"/>
              <w:right w:w="108" w:type="dxa"/>
            </w:tcMar>
          </w:tcPr>
          <w:p w14:paraId="13A5CBE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90" w:type="dxa"/>
            <w:tcMar>
              <w:left w:w="108" w:type="dxa"/>
              <w:right w:w="108" w:type="dxa"/>
            </w:tcMar>
          </w:tcPr>
          <w:p w14:paraId="5A8B4FE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2D85309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26050CD4" w14:textId="77777777" w:rsidTr="00330D93">
        <w:trPr>
          <w:trHeight w:val="300"/>
          <w:jc w:val="right"/>
        </w:trPr>
        <w:tc>
          <w:tcPr>
            <w:tcW w:w="2250" w:type="dxa"/>
            <w:tcMar>
              <w:left w:w="108" w:type="dxa"/>
              <w:right w:w="108" w:type="dxa"/>
            </w:tcMar>
          </w:tcPr>
          <w:p w14:paraId="2E269CA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与甲烷热反应</w:t>
            </w:r>
          </w:p>
        </w:tc>
        <w:tc>
          <w:tcPr>
            <w:tcW w:w="1399" w:type="dxa"/>
            <w:tcMar>
              <w:left w:w="108" w:type="dxa"/>
              <w:right w:w="108" w:type="dxa"/>
            </w:tcMar>
          </w:tcPr>
          <w:p w14:paraId="1A55113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40" w:type="dxa"/>
            <w:tcMar>
              <w:left w:w="108" w:type="dxa"/>
              <w:right w:w="108" w:type="dxa"/>
            </w:tcMar>
          </w:tcPr>
          <w:p w14:paraId="4C81E3D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399" w:type="dxa"/>
            <w:tcMar>
              <w:left w:w="108" w:type="dxa"/>
              <w:right w:w="108" w:type="dxa"/>
            </w:tcMar>
          </w:tcPr>
          <w:p w14:paraId="2E0F654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82" w:type="dxa"/>
            <w:tcMar>
              <w:left w:w="108" w:type="dxa"/>
              <w:right w:w="108" w:type="dxa"/>
            </w:tcMar>
          </w:tcPr>
          <w:p w14:paraId="1FAE613E"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928" w:type="dxa"/>
            <w:tcMar>
              <w:left w:w="108" w:type="dxa"/>
              <w:right w:w="108" w:type="dxa"/>
            </w:tcMar>
          </w:tcPr>
          <w:p w14:paraId="7FD53D5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258" w:type="dxa"/>
            <w:tcMar>
              <w:left w:w="108" w:type="dxa"/>
              <w:right w:w="108" w:type="dxa"/>
            </w:tcMar>
          </w:tcPr>
          <w:p w14:paraId="329E5CAA"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882" w:type="dxa"/>
            <w:shd w:val="clear" w:color="auto" w:fill="F2DBDB" w:themeFill="accent2" w:themeFillTint="33"/>
            <w:tcMar>
              <w:left w:w="108" w:type="dxa"/>
              <w:right w:w="108" w:type="dxa"/>
            </w:tcMar>
          </w:tcPr>
          <w:p w14:paraId="0055B29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124" w:type="dxa"/>
            <w:shd w:val="clear" w:color="auto" w:fill="F2DBDB" w:themeFill="accent2" w:themeFillTint="33"/>
            <w:tcMar>
              <w:left w:w="108" w:type="dxa"/>
              <w:right w:w="108" w:type="dxa"/>
            </w:tcMar>
          </w:tcPr>
          <w:p w14:paraId="72AFF8C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73" w:type="dxa"/>
            <w:shd w:val="clear" w:color="auto" w:fill="F2DBDB" w:themeFill="accent2" w:themeFillTint="33"/>
            <w:tcMar>
              <w:left w:w="108" w:type="dxa"/>
              <w:right w:w="108" w:type="dxa"/>
            </w:tcMar>
          </w:tcPr>
          <w:p w14:paraId="63E6F80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Mar>
              <w:left w:w="108" w:type="dxa"/>
              <w:right w:w="108" w:type="dxa"/>
            </w:tcMar>
          </w:tcPr>
          <w:p w14:paraId="2EC60CC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Mar>
              <w:left w:w="108" w:type="dxa"/>
              <w:right w:w="108" w:type="dxa"/>
            </w:tcMar>
          </w:tcPr>
          <w:p w14:paraId="7EE4AE70"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r w:rsidR="000141C8" w:rsidRPr="002D629B" w14:paraId="63CA41A5" w14:textId="77777777" w:rsidTr="00330D93">
        <w:trPr>
          <w:trHeight w:val="343"/>
          <w:jc w:val="right"/>
        </w:trPr>
        <w:tc>
          <w:tcPr>
            <w:tcW w:w="2250" w:type="dxa"/>
            <w:tcBorders>
              <w:bottom w:val="single" w:sz="12" w:space="0" w:color="auto"/>
            </w:tcBorders>
            <w:tcMar>
              <w:left w:w="108" w:type="dxa"/>
              <w:right w:w="108" w:type="dxa"/>
            </w:tcMar>
          </w:tcPr>
          <w:p w14:paraId="2AC9EA8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甲基溴热衰减</w:t>
            </w:r>
          </w:p>
        </w:tc>
        <w:tc>
          <w:tcPr>
            <w:tcW w:w="1399" w:type="dxa"/>
            <w:tcBorders>
              <w:bottom w:val="single" w:sz="12" w:space="0" w:color="auto"/>
            </w:tcBorders>
            <w:shd w:val="clear" w:color="auto" w:fill="FAE2D5"/>
            <w:tcMar>
              <w:left w:w="108" w:type="dxa"/>
              <w:right w:w="108" w:type="dxa"/>
            </w:tcMar>
          </w:tcPr>
          <w:p w14:paraId="1F36D16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840" w:type="dxa"/>
            <w:tcBorders>
              <w:bottom w:val="single" w:sz="12" w:space="0" w:color="auto"/>
            </w:tcBorders>
            <w:shd w:val="clear" w:color="auto" w:fill="FAE2D5"/>
            <w:tcMar>
              <w:left w:w="108" w:type="dxa"/>
              <w:right w:w="108" w:type="dxa"/>
            </w:tcMar>
          </w:tcPr>
          <w:p w14:paraId="150D05A9"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399" w:type="dxa"/>
            <w:tcBorders>
              <w:bottom w:val="single" w:sz="12" w:space="0" w:color="auto"/>
            </w:tcBorders>
            <w:shd w:val="clear" w:color="auto" w:fill="FAE2D5"/>
            <w:tcMar>
              <w:left w:w="108" w:type="dxa"/>
              <w:right w:w="108" w:type="dxa"/>
            </w:tcMar>
          </w:tcPr>
          <w:p w14:paraId="2F9EEDAD"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82" w:type="dxa"/>
            <w:tcBorders>
              <w:bottom w:val="single" w:sz="12" w:space="0" w:color="auto"/>
            </w:tcBorders>
            <w:shd w:val="clear" w:color="auto" w:fill="FAE2D5"/>
            <w:tcMar>
              <w:left w:w="108" w:type="dxa"/>
              <w:right w:w="108" w:type="dxa"/>
            </w:tcMar>
          </w:tcPr>
          <w:p w14:paraId="7F10D20C"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28" w:type="dxa"/>
            <w:tcBorders>
              <w:bottom w:val="single" w:sz="12" w:space="0" w:color="auto"/>
            </w:tcBorders>
            <w:shd w:val="clear" w:color="auto" w:fill="FAE2D5"/>
            <w:tcMar>
              <w:left w:w="108" w:type="dxa"/>
              <w:right w:w="108" w:type="dxa"/>
            </w:tcMar>
          </w:tcPr>
          <w:p w14:paraId="43570C26"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58" w:type="dxa"/>
            <w:tcBorders>
              <w:bottom w:val="single" w:sz="12" w:space="0" w:color="auto"/>
            </w:tcBorders>
            <w:shd w:val="clear" w:color="auto" w:fill="FAE2D5"/>
            <w:tcMar>
              <w:left w:w="108" w:type="dxa"/>
              <w:right w:w="108" w:type="dxa"/>
            </w:tcMar>
          </w:tcPr>
          <w:p w14:paraId="7D79D5F5"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882" w:type="dxa"/>
            <w:tcBorders>
              <w:bottom w:val="single" w:sz="12" w:space="0" w:color="auto"/>
            </w:tcBorders>
            <w:tcMar>
              <w:left w:w="108" w:type="dxa"/>
              <w:right w:w="108" w:type="dxa"/>
            </w:tcMar>
          </w:tcPr>
          <w:p w14:paraId="46121522"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核准</w:t>
            </w:r>
          </w:p>
        </w:tc>
        <w:tc>
          <w:tcPr>
            <w:tcW w:w="1124" w:type="dxa"/>
            <w:tcBorders>
              <w:bottom w:val="single" w:sz="12" w:space="0" w:color="auto"/>
            </w:tcBorders>
            <w:shd w:val="clear" w:color="auto" w:fill="F2DBDB" w:themeFill="accent2" w:themeFillTint="33"/>
            <w:tcMar>
              <w:left w:w="108" w:type="dxa"/>
              <w:right w:w="108" w:type="dxa"/>
            </w:tcMar>
          </w:tcPr>
          <w:p w14:paraId="3EC1A061"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973" w:type="dxa"/>
            <w:tcBorders>
              <w:bottom w:val="single" w:sz="12" w:space="0" w:color="auto"/>
            </w:tcBorders>
            <w:shd w:val="clear" w:color="auto" w:fill="F2DBDB" w:themeFill="accent2" w:themeFillTint="33"/>
            <w:tcMar>
              <w:left w:w="108" w:type="dxa"/>
              <w:right w:w="108" w:type="dxa"/>
            </w:tcMar>
          </w:tcPr>
          <w:p w14:paraId="253279B7"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lang w:val="zh-CN"/>
              </w:rPr>
              <w:t>待定</w:t>
            </w:r>
          </w:p>
        </w:tc>
        <w:tc>
          <w:tcPr>
            <w:tcW w:w="1290" w:type="dxa"/>
            <w:tcBorders>
              <w:bottom w:val="single" w:sz="12" w:space="0" w:color="auto"/>
            </w:tcBorders>
            <w:tcMar>
              <w:left w:w="108" w:type="dxa"/>
              <w:right w:w="108" w:type="dxa"/>
            </w:tcMar>
          </w:tcPr>
          <w:p w14:paraId="1C74181B"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c>
          <w:tcPr>
            <w:tcW w:w="1134" w:type="dxa"/>
            <w:tcBorders>
              <w:bottom w:val="single" w:sz="12" w:space="0" w:color="auto"/>
            </w:tcBorders>
            <w:tcMar>
              <w:left w:w="108" w:type="dxa"/>
              <w:right w:w="108" w:type="dxa"/>
            </w:tcMar>
          </w:tcPr>
          <w:p w14:paraId="2CCD873F" w14:textId="77777777" w:rsidR="000141C8" w:rsidRPr="002D629B" w:rsidRDefault="000141C8" w:rsidP="00A70140">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20" w:line="240" w:lineRule="auto"/>
              <w:rPr>
                <w:rFonts w:eastAsia="SimSun"/>
                <w:sz w:val="20"/>
                <w:szCs w:val="20"/>
              </w:rPr>
            </w:pPr>
            <w:r w:rsidRPr="002D629B">
              <w:rPr>
                <w:rFonts w:eastAsia="SimSun"/>
                <w:color w:val="000000"/>
                <w:sz w:val="20"/>
                <w:szCs w:val="20"/>
              </w:rPr>
              <w:t xml:space="preserve"> </w:t>
            </w:r>
          </w:p>
        </w:tc>
      </w:tr>
    </w:tbl>
    <w:p w14:paraId="614534E6" w14:textId="77777777" w:rsidR="000141C8" w:rsidRPr="009B423C" w:rsidRDefault="000141C8" w:rsidP="009B423C">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line="240" w:lineRule="auto"/>
        <w:sectPr w:rsidR="000141C8" w:rsidRPr="009B423C" w:rsidSect="00C214FF">
          <w:pgSz w:w="16838" w:h="11906" w:orient="landscape" w:code="9"/>
          <w:pgMar w:top="907" w:right="992" w:bottom="1418" w:left="1418" w:header="539" w:footer="975" w:gutter="0"/>
          <w:cols w:space="708"/>
          <w:docGrid w:linePitch="360"/>
        </w:sectPr>
      </w:pPr>
    </w:p>
    <w:p w14:paraId="40CA6548" w14:textId="5CCD6967" w:rsidR="003A437E" w:rsidRPr="009B423C" w:rsidRDefault="009C12FA">
      <w:pPr>
        <w:pStyle w:val="CH1"/>
        <w:numPr>
          <w:ilvl w:val="1"/>
          <w:numId w:val="34"/>
        </w:numPr>
        <w:tabs>
          <w:tab w:val="clear" w:pos="851"/>
          <w:tab w:val="clear" w:pos="1247"/>
          <w:tab w:val="clear" w:pos="1871"/>
          <w:tab w:val="clear" w:pos="2495"/>
          <w:tab w:val="clear" w:pos="3119"/>
          <w:tab w:val="clear" w:pos="3742"/>
          <w:tab w:val="clear" w:pos="4366"/>
          <w:tab w:val="clear" w:pos="4990"/>
        </w:tabs>
        <w:ind w:left="1276" w:hanging="850"/>
        <w:rPr>
          <w:rFonts w:eastAsia="SimHei"/>
          <w:sz w:val="32"/>
          <w:szCs w:val="32"/>
          <w:lang w:eastAsia="zh-CN"/>
        </w:rPr>
      </w:pPr>
      <w:r w:rsidRPr="009B423C">
        <w:rPr>
          <w:rFonts w:eastAsia="SimHei"/>
          <w:bCs/>
          <w:sz w:val="32"/>
          <w:szCs w:val="32"/>
          <w:lang w:val="zh-CN" w:eastAsia="zh-CN"/>
        </w:rPr>
        <w:lastRenderedPageBreak/>
        <w:t>不限成员名额工作组第四十八次会议审议并递交缔约方第三十八次会议审议的决定草案</w:t>
      </w:r>
    </w:p>
    <w:p w14:paraId="2F9C5C6B" w14:textId="78188D37" w:rsidR="003A437E" w:rsidRPr="009B423C" w:rsidRDefault="003A437E">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9B423C">
        <w:rPr>
          <w:rFonts w:eastAsia="SimHei"/>
          <w:bCs/>
          <w:sz w:val="28"/>
          <w:szCs w:val="28"/>
          <w:lang w:val="zh-CN" w:eastAsia="zh-CN"/>
        </w:rPr>
        <w:t>加强《蒙特利尔议定书》业务</w:t>
      </w:r>
    </w:p>
    <w:p w14:paraId="1C923683" w14:textId="77777777" w:rsidR="003A437E" w:rsidRPr="009B423C" w:rsidRDefault="003A437E" w:rsidP="009B423C">
      <w:pPr>
        <w:pStyle w:val="CH3"/>
        <w:jc w:val="both"/>
        <w:rPr>
          <w:rFonts w:ascii="SimHei" w:eastAsia="SimHei" w:hAnsi="SimHei"/>
          <w:sz w:val="24"/>
          <w:szCs w:val="24"/>
          <w:lang w:eastAsia="zh-CN"/>
        </w:rPr>
      </w:pPr>
      <w:r w:rsidRPr="009B423C">
        <w:rPr>
          <w:lang w:val="zh-CN" w:eastAsia="zh-CN"/>
        </w:rPr>
        <w:tab/>
      </w:r>
      <w:r w:rsidRPr="009B423C">
        <w:rPr>
          <w:lang w:val="zh-CN" w:eastAsia="zh-CN"/>
        </w:rPr>
        <w:tab/>
      </w:r>
      <w:r w:rsidRPr="009B423C">
        <w:rPr>
          <w:rFonts w:ascii="SimHei" w:eastAsia="SimHei" w:hAnsi="SimHei"/>
          <w:bCs/>
          <w:sz w:val="24"/>
          <w:szCs w:val="24"/>
          <w:lang w:val="zh-CN" w:eastAsia="zh-CN"/>
        </w:rPr>
        <w:t>由喀麦隆代表非洲国家组提交</w:t>
      </w:r>
    </w:p>
    <w:p w14:paraId="3041F790"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ascii="KaiTi" w:eastAsia="KaiTi" w:hAnsi="KaiTi"/>
          <w:sz w:val="24"/>
          <w:szCs w:val="24"/>
        </w:rPr>
      </w:pPr>
      <w:r w:rsidRPr="009B423C">
        <w:rPr>
          <w:rFonts w:eastAsia="SimSun"/>
          <w:sz w:val="24"/>
          <w:szCs w:val="24"/>
          <w:lang w:val="zh-CN"/>
        </w:rPr>
        <w:tab/>
      </w:r>
      <w:r w:rsidRPr="009B423C">
        <w:rPr>
          <w:rFonts w:ascii="KaiTi" w:eastAsia="KaiTi" w:hAnsi="KaiTi"/>
          <w:sz w:val="24"/>
          <w:szCs w:val="24"/>
          <w:lang w:val="zh-CN"/>
        </w:rPr>
        <w:t>缔约方第三十八次会议，</w:t>
      </w:r>
    </w:p>
    <w:p w14:paraId="6DC31D16"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b/>
          <w:bCs/>
          <w:sz w:val="24"/>
          <w:szCs w:val="24"/>
        </w:rPr>
      </w:pPr>
      <w:r w:rsidRPr="009B423C">
        <w:rPr>
          <w:rFonts w:ascii="KaiTi" w:eastAsia="KaiTi" w:hAnsi="KaiTi"/>
          <w:sz w:val="24"/>
          <w:szCs w:val="24"/>
          <w:lang w:val="zh-CN"/>
        </w:rPr>
        <w:t>回顾</w:t>
      </w:r>
      <w:r w:rsidRPr="009B423C">
        <w:rPr>
          <w:rFonts w:eastAsia="SimSun"/>
          <w:sz w:val="24"/>
          <w:szCs w:val="24"/>
          <w:lang w:val="zh-CN"/>
        </w:rPr>
        <w:t>第</w:t>
      </w:r>
      <w:r w:rsidRPr="009B423C">
        <w:rPr>
          <w:rFonts w:eastAsia="SimSun"/>
          <w:sz w:val="24"/>
          <w:szCs w:val="24"/>
          <w:lang w:val="zh-CN"/>
        </w:rPr>
        <w:t>XIV/7</w:t>
      </w:r>
      <w:r w:rsidRPr="009B423C">
        <w:rPr>
          <w:rFonts w:eastAsia="SimSun"/>
          <w:sz w:val="24"/>
          <w:szCs w:val="24"/>
          <w:lang w:val="zh-CN"/>
        </w:rPr>
        <w:t>、</w:t>
      </w:r>
      <w:r w:rsidRPr="009B423C">
        <w:rPr>
          <w:rFonts w:eastAsia="SimSun"/>
          <w:sz w:val="24"/>
          <w:szCs w:val="24"/>
          <w:lang w:val="zh-CN"/>
        </w:rPr>
        <w:t>XXXI/3</w:t>
      </w:r>
      <w:r w:rsidRPr="009B423C">
        <w:rPr>
          <w:rFonts w:eastAsia="SimSun"/>
          <w:sz w:val="24"/>
          <w:szCs w:val="24"/>
          <w:lang w:val="zh-CN"/>
        </w:rPr>
        <w:t>、</w:t>
      </w:r>
      <w:r w:rsidRPr="009B423C">
        <w:rPr>
          <w:rFonts w:eastAsia="SimSun"/>
          <w:sz w:val="24"/>
          <w:szCs w:val="24"/>
          <w:lang w:val="zh-CN"/>
        </w:rPr>
        <w:t>XXXIV/8</w:t>
      </w:r>
      <w:r w:rsidRPr="009B423C">
        <w:rPr>
          <w:rFonts w:eastAsia="SimSun"/>
          <w:sz w:val="24"/>
          <w:szCs w:val="24"/>
          <w:lang w:val="zh-CN"/>
        </w:rPr>
        <w:t>、</w:t>
      </w:r>
      <w:r w:rsidRPr="009B423C">
        <w:rPr>
          <w:rFonts w:eastAsia="SimSun"/>
          <w:sz w:val="24"/>
          <w:szCs w:val="24"/>
          <w:lang w:val="zh-CN"/>
        </w:rPr>
        <w:t>XXXV/12</w:t>
      </w:r>
      <w:r w:rsidRPr="009B423C">
        <w:rPr>
          <w:rFonts w:eastAsia="SimSun"/>
          <w:sz w:val="24"/>
          <w:szCs w:val="24"/>
          <w:lang w:val="zh-CN"/>
        </w:rPr>
        <w:t>和</w:t>
      </w:r>
      <w:r w:rsidRPr="009B423C">
        <w:rPr>
          <w:rFonts w:eastAsia="SimSun"/>
          <w:sz w:val="24"/>
          <w:szCs w:val="24"/>
          <w:lang w:val="zh-CN"/>
        </w:rPr>
        <w:t>XXXVI/9</w:t>
      </w:r>
      <w:r w:rsidRPr="009B423C">
        <w:rPr>
          <w:rFonts w:eastAsia="SimSun"/>
          <w:sz w:val="24"/>
          <w:szCs w:val="24"/>
          <w:lang w:val="zh-CN"/>
        </w:rPr>
        <w:t>号决定，</w:t>
      </w:r>
    </w:p>
    <w:p w14:paraId="713FC3A9" w14:textId="2D9587BD" w:rsidR="003A437E" w:rsidRPr="009B423C" w:rsidRDefault="003A437E" w:rsidP="009629DD">
      <w:pPr>
        <w:tabs>
          <w:tab w:val="clear" w:pos="1247"/>
          <w:tab w:val="clear" w:pos="1814"/>
          <w:tab w:val="clear" w:pos="2381"/>
          <w:tab w:val="clear" w:pos="2948"/>
          <w:tab w:val="clear" w:pos="3515"/>
          <w:tab w:val="left" w:pos="624"/>
        </w:tabs>
        <w:spacing w:line="240" w:lineRule="auto"/>
        <w:ind w:left="1253" w:firstLine="619"/>
        <w:rPr>
          <w:rFonts w:eastAsia="SimSun"/>
          <w:sz w:val="24"/>
          <w:szCs w:val="24"/>
        </w:rPr>
      </w:pPr>
      <w:r w:rsidRPr="009B423C">
        <w:rPr>
          <w:rFonts w:ascii="KaiTi" w:eastAsia="KaiTi" w:hAnsi="KaiTi"/>
          <w:sz w:val="24"/>
          <w:szCs w:val="24"/>
          <w:lang w:val="zh-CN"/>
        </w:rPr>
        <w:t>考虑到</w:t>
      </w:r>
      <w:r w:rsidRPr="009B423C">
        <w:rPr>
          <w:rFonts w:eastAsia="SimSun"/>
          <w:sz w:val="24"/>
          <w:szCs w:val="24"/>
          <w:lang w:val="zh-CN"/>
        </w:rPr>
        <w:t>与缔约方第三十七次会议衔接举行的为期一天的关于促进执行《蒙特利尔议定书》的非正式会议，并回顾臭氧秘书处关于非正式会议成果的说明，</w:t>
      </w:r>
      <w:r w:rsidR="00D4105D" w:rsidRPr="009629DD">
        <w:rPr>
          <w:rStyle w:val="FootnoteReference"/>
          <w:spacing w:val="0"/>
          <w:w w:val="100"/>
          <w:position w:val="0"/>
          <w:sz w:val="24"/>
          <w:szCs w:val="24"/>
        </w:rPr>
        <w:footnoteReference w:customMarkFollows="1" w:id="7"/>
        <w:t>2</w:t>
      </w:r>
    </w:p>
    <w:p w14:paraId="36420F2D"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871"/>
        <w:rPr>
          <w:rFonts w:ascii="KaiTi" w:eastAsia="KaiTi" w:hAnsi="KaiTi"/>
          <w:b/>
          <w:bCs/>
          <w:sz w:val="24"/>
          <w:szCs w:val="24"/>
        </w:rPr>
      </w:pPr>
      <w:r w:rsidRPr="009B423C">
        <w:rPr>
          <w:rFonts w:ascii="KaiTi" w:eastAsia="KaiTi" w:hAnsi="KaiTi"/>
          <w:sz w:val="24"/>
          <w:szCs w:val="24"/>
          <w:lang w:val="zh-CN"/>
        </w:rPr>
        <w:t>决定：</w:t>
      </w:r>
    </w:p>
    <w:p w14:paraId="1F4CF0AA" w14:textId="77777777" w:rsidR="003A437E" w:rsidRPr="009B423C" w:rsidRDefault="003A437E">
      <w:pPr>
        <w:numPr>
          <w:ilvl w:val="0"/>
          <w:numId w:val="20"/>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请</w:t>
      </w:r>
      <w:r w:rsidRPr="009B423C">
        <w:rPr>
          <w:rFonts w:eastAsia="SimSun"/>
          <w:sz w:val="24"/>
          <w:szCs w:val="24"/>
          <w:lang w:val="zh-CN"/>
        </w:rPr>
        <w:t>臭氧秘书处就可用于加强整个供应链（包括在线市场和电子商务平台）中受控物质追踪和监测的现有工具编写一份报告，供不限成员名额工作组第四十九次会议审议；</w:t>
      </w:r>
    </w:p>
    <w:p w14:paraId="65B96FE4" w14:textId="77777777" w:rsidR="003A437E" w:rsidRPr="009B423C" w:rsidRDefault="003A437E">
      <w:pPr>
        <w:numPr>
          <w:ilvl w:val="0"/>
          <w:numId w:val="20"/>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又请</w:t>
      </w:r>
      <w:r w:rsidRPr="009B423C">
        <w:rPr>
          <w:rFonts w:eastAsia="SimSun"/>
          <w:sz w:val="24"/>
          <w:szCs w:val="24"/>
          <w:lang w:val="zh-CN"/>
        </w:rPr>
        <w:t>臭氧秘书处制定标准作业程序，以支持在查获非法贸易、处理案件、管理缉获品、报告和制裁方面采取统一办法，供缔约方第三十九次会议审议；</w:t>
      </w:r>
    </w:p>
    <w:p w14:paraId="16065845" w14:textId="06113433" w:rsidR="003A437E" w:rsidRPr="009B423C" w:rsidRDefault="003A437E">
      <w:pPr>
        <w:numPr>
          <w:ilvl w:val="0"/>
          <w:numId w:val="20"/>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还请</w:t>
      </w:r>
      <w:r w:rsidRPr="009B423C">
        <w:rPr>
          <w:rFonts w:eastAsia="SimSun"/>
          <w:sz w:val="24"/>
          <w:szCs w:val="24"/>
          <w:lang w:val="zh-CN"/>
        </w:rPr>
        <w:t>臭氧秘书处结合《蒙特利尔议定书》第</w:t>
      </w:r>
      <w:r w:rsidRPr="009B423C">
        <w:rPr>
          <w:rFonts w:eastAsia="SimSun"/>
          <w:sz w:val="24"/>
          <w:szCs w:val="24"/>
          <w:lang w:val="zh-CN"/>
        </w:rPr>
        <w:t>4B</w:t>
      </w:r>
      <w:r w:rsidRPr="009B423C">
        <w:rPr>
          <w:rFonts w:eastAsia="SimSun"/>
          <w:sz w:val="24"/>
          <w:szCs w:val="24"/>
          <w:lang w:val="zh-CN"/>
        </w:rPr>
        <w:t>条以及相关决定和报告，包括根据第</w:t>
      </w:r>
      <w:r w:rsidRPr="009B423C">
        <w:rPr>
          <w:rFonts w:eastAsia="SimSun"/>
          <w:sz w:val="24"/>
          <w:szCs w:val="24"/>
          <w:lang w:val="zh-CN"/>
        </w:rPr>
        <w:t>XXXVI/9</w:t>
      </w:r>
      <w:r w:rsidRPr="009B423C">
        <w:rPr>
          <w:rFonts w:eastAsia="SimSun"/>
          <w:sz w:val="24"/>
          <w:szCs w:val="24"/>
          <w:lang w:val="zh-CN"/>
        </w:rPr>
        <w:t>号决定第</w:t>
      </w:r>
      <w:r w:rsidRPr="009B423C">
        <w:rPr>
          <w:rFonts w:eastAsia="SimSun"/>
          <w:sz w:val="24"/>
          <w:szCs w:val="24"/>
          <w:lang w:val="zh-CN"/>
        </w:rPr>
        <w:t>1</w:t>
      </w:r>
      <w:r w:rsidRPr="009B423C">
        <w:rPr>
          <w:rFonts w:eastAsia="SimSun"/>
          <w:sz w:val="24"/>
          <w:szCs w:val="24"/>
          <w:lang w:val="zh-CN"/>
        </w:rPr>
        <w:t>段编写的许可证制度共同特点摘要，</w:t>
      </w:r>
      <w:r w:rsidR="008B1163" w:rsidRPr="009629DD">
        <w:rPr>
          <w:rStyle w:val="FootnoteReference"/>
          <w:spacing w:val="0"/>
          <w:w w:val="100"/>
          <w:position w:val="0"/>
          <w:sz w:val="24"/>
          <w:szCs w:val="24"/>
        </w:rPr>
        <w:footnoteReference w:customMarkFollows="1" w:id="8"/>
        <w:t>3</w:t>
      </w:r>
      <w:r w:rsidRPr="009B423C">
        <w:rPr>
          <w:rFonts w:eastAsia="SimSun"/>
          <w:sz w:val="24"/>
          <w:szCs w:val="24"/>
          <w:lang w:val="zh-CN"/>
        </w:rPr>
        <w:t xml:space="preserve"> </w:t>
      </w:r>
      <w:r w:rsidRPr="009B423C">
        <w:rPr>
          <w:rFonts w:eastAsia="SimSun"/>
          <w:sz w:val="24"/>
          <w:szCs w:val="24"/>
          <w:lang w:val="zh-CN"/>
        </w:rPr>
        <w:t>编写一份界定有效许可证制度核心特点的核对表，供缔约方第三十九次会议审议；</w:t>
      </w:r>
    </w:p>
    <w:p w14:paraId="0C750BC3" w14:textId="77777777" w:rsidR="003A437E" w:rsidRPr="009B423C" w:rsidRDefault="003A437E">
      <w:pPr>
        <w:numPr>
          <w:ilvl w:val="0"/>
          <w:numId w:val="20"/>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请</w:t>
      </w:r>
      <w:r w:rsidRPr="009B423C">
        <w:rPr>
          <w:rFonts w:eastAsia="SimSun"/>
          <w:sz w:val="24"/>
          <w:szCs w:val="24"/>
          <w:lang w:val="zh-CN"/>
        </w:rPr>
        <w:t>臭氧秘书处探讨开发可纳入海关和单一窗口系统的开源许可证软件的可行性和成本，供缔约方第三十九次会议审议；</w:t>
      </w:r>
    </w:p>
    <w:p w14:paraId="0150F044" w14:textId="77777777" w:rsidR="003A437E" w:rsidRPr="009B423C" w:rsidRDefault="003A437E">
      <w:pPr>
        <w:numPr>
          <w:ilvl w:val="0"/>
          <w:numId w:val="20"/>
        </w:num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请</w:t>
      </w:r>
      <w:r w:rsidRPr="009B423C">
        <w:rPr>
          <w:rFonts w:eastAsia="SimSun"/>
          <w:sz w:val="24"/>
          <w:szCs w:val="24"/>
          <w:lang w:val="zh-CN"/>
        </w:rPr>
        <w:t>执行蒙特利尔议定书多边基金执行委员会与国家臭氧干事、履约援助方案以及酌情与世界海关组织协商，评估按《蒙特利尔议定书》第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1</w:t>
      </w:r>
      <w:r w:rsidRPr="009B423C">
        <w:rPr>
          <w:rFonts w:eastAsia="SimSun"/>
          <w:sz w:val="24"/>
          <w:szCs w:val="24"/>
          <w:lang w:val="zh-CN"/>
        </w:rPr>
        <w:t>款行事的缔约方在非法贸易、许可证制度和数据报告方面的额外培训和能力需求，供不限成员名额工作组第四十九次会议审议。</w:t>
      </w:r>
    </w:p>
    <w:p w14:paraId="191E0B91" w14:textId="787A278E" w:rsidR="003A437E" w:rsidRPr="009B423C" w:rsidRDefault="003A437E">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9B423C">
        <w:rPr>
          <w:rFonts w:eastAsia="SimHei"/>
          <w:bCs/>
          <w:sz w:val="28"/>
          <w:szCs w:val="28"/>
          <w:lang w:val="zh-CN" w:eastAsia="zh-CN"/>
        </w:rPr>
        <w:t>加强许可证制度和数据报告以防止非法贸易</w:t>
      </w:r>
    </w:p>
    <w:p w14:paraId="30AE6942" w14:textId="77777777" w:rsidR="003A437E" w:rsidRPr="009B423C" w:rsidRDefault="003A437E" w:rsidP="009B423C">
      <w:pPr>
        <w:pStyle w:val="CH3"/>
        <w:jc w:val="both"/>
        <w:rPr>
          <w:rFonts w:ascii="SimHei" w:eastAsia="SimHei" w:hAnsi="SimHei"/>
          <w:sz w:val="24"/>
          <w:szCs w:val="24"/>
          <w:lang w:eastAsia="zh-CN"/>
        </w:rPr>
      </w:pPr>
      <w:r w:rsidRPr="009B423C">
        <w:rPr>
          <w:lang w:val="zh-CN" w:eastAsia="zh-CN"/>
        </w:rPr>
        <w:tab/>
      </w:r>
      <w:r w:rsidRPr="009B423C">
        <w:rPr>
          <w:lang w:val="zh-CN" w:eastAsia="zh-CN"/>
        </w:rPr>
        <w:tab/>
      </w:r>
      <w:r w:rsidRPr="009B423C">
        <w:rPr>
          <w:rFonts w:ascii="SimHei" w:eastAsia="SimHei" w:hAnsi="SimHei"/>
          <w:bCs/>
          <w:sz w:val="24"/>
          <w:szCs w:val="24"/>
          <w:lang w:val="zh-CN" w:eastAsia="zh-CN"/>
        </w:rPr>
        <w:t>由澳大利亚、加拿大、欧洲联盟、挪威和瑞士提交</w:t>
      </w:r>
    </w:p>
    <w:p w14:paraId="2E08D511"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ascii="KaiTi" w:eastAsia="KaiTi" w:hAnsi="KaiTi"/>
          <w:sz w:val="24"/>
          <w:szCs w:val="24"/>
        </w:rPr>
      </w:pPr>
      <w:r w:rsidRPr="009B423C">
        <w:rPr>
          <w:rFonts w:ascii="KaiTi" w:eastAsia="KaiTi" w:hAnsi="KaiTi"/>
          <w:sz w:val="24"/>
          <w:szCs w:val="24"/>
          <w:lang w:val="zh-CN"/>
        </w:rPr>
        <w:t>缔约方第三十八次会议，</w:t>
      </w:r>
    </w:p>
    <w:p w14:paraId="23E2C555"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回顾</w:t>
      </w:r>
      <w:r w:rsidRPr="009B423C">
        <w:rPr>
          <w:rFonts w:eastAsia="SimSun"/>
          <w:sz w:val="24"/>
          <w:szCs w:val="24"/>
          <w:lang w:val="zh-CN"/>
        </w:rPr>
        <w:t>第</w:t>
      </w:r>
      <w:r w:rsidRPr="009B423C">
        <w:rPr>
          <w:rFonts w:eastAsia="SimSun"/>
          <w:sz w:val="24"/>
          <w:szCs w:val="24"/>
        </w:rPr>
        <w:t>VII/9</w:t>
      </w:r>
      <w:r w:rsidRPr="009B423C">
        <w:rPr>
          <w:rFonts w:eastAsia="SimSun"/>
          <w:sz w:val="24"/>
          <w:szCs w:val="24"/>
          <w:lang w:val="zh-CN"/>
        </w:rPr>
        <w:t>、</w:t>
      </w:r>
      <w:r w:rsidRPr="009B423C">
        <w:rPr>
          <w:rFonts w:eastAsia="SimSun"/>
          <w:sz w:val="24"/>
          <w:szCs w:val="24"/>
        </w:rPr>
        <w:t>IX/8</w:t>
      </w:r>
      <w:r w:rsidRPr="009B423C">
        <w:rPr>
          <w:rFonts w:eastAsia="SimSun"/>
          <w:sz w:val="24"/>
          <w:szCs w:val="24"/>
          <w:lang w:val="zh-CN"/>
        </w:rPr>
        <w:t>、</w:t>
      </w:r>
      <w:r w:rsidRPr="009B423C">
        <w:rPr>
          <w:rFonts w:eastAsia="SimSun"/>
          <w:sz w:val="24"/>
          <w:szCs w:val="24"/>
        </w:rPr>
        <w:t>XIV/7</w:t>
      </w:r>
      <w:r w:rsidRPr="009B423C">
        <w:rPr>
          <w:rFonts w:eastAsia="SimSun"/>
          <w:sz w:val="24"/>
          <w:szCs w:val="24"/>
          <w:lang w:val="zh-CN"/>
        </w:rPr>
        <w:t>、</w:t>
      </w:r>
      <w:r w:rsidRPr="009B423C">
        <w:rPr>
          <w:rFonts w:eastAsia="SimSun"/>
          <w:sz w:val="24"/>
          <w:szCs w:val="24"/>
        </w:rPr>
        <w:t>XVII/16</w:t>
      </w:r>
      <w:r w:rsidRPr="009B423C">
        <w:rPr>
          <w:rFonts w:eastAsia="SimSun"/>
          <w:sz w:val="24"/>
          <w:szCs w:val="24"/>
          <w:lang w:val="zh-CN"/>
        </w:rPr>
        <w:t>、</w:t>
      </w:r>
      <w:r w:rsidRPr="009B423C">
        <w:rPr>
          <w:rFonts w:eastAsia="SimSun"/>
          <w:sz w:val="24"/>
          <w:szCs w:val="24"/>
        </w:rPr>
        <w:t>XIX/12</w:t>
      </w:r>
      <w:r w:rsidRPr="009B423C">
        <w:rPr>
          <w:rFonts w:eastAsia="SimSun"/>
          <w:sz w:val="24"/>
          <w:szCs w:val="24"/>
          <w:lang w:val="zh-CN"/>
        </w:rPr>
        <w:t>、</w:t>
      </w:r>
      <w:r w:rsidRPr="009B423C">
        <w:rPr>
          <w:rFonts w:eastAsia="SimSun"/>
          <w:sz w:val="24"/>
          <w:szCs w:val="24"/>
        </w:rPr>
        <w:t>XXIV/12</w:t>
      </w:r>
      <w:r w:rsidRPr="009B423C">
        <w:rPr>
          <w:rFonts w:eastAsia="SimSun"/>
          <w:sz w:val="24"/>
          <w:szCs w:val="24"/>
          <w:lang w:val="zh-CN"/>
        </w:rPr>
        <w:t>、</w:t>
      </w:r>
      <w:r w:rsidRPr="009B423C">
        <w:rPr>
          <w:rFonts w:eastAsia="SimSun"/>
          <w:sz w:val="24"/>
          <w:szCs w:val="24"/>
        </w:rPr>
        <w:t>XXX/12</w:t>
      </w:r>
      <w:r w:rsidRPr="009B423C">
        <w:rPr>
          <w:rFonts w:eastAsia="SimSun"/>
          <w:sz w:val="24"/>
          <w:szCs w:val="24"/>
          <w:lang w:val="zh-CN"/>
        </w:rPr>
        <w:t>、</w:t>
      </w:r>
      <w:r w:rsidRPr="009B423C">
        <w:rPr>
          <w:rFonts w:eastAsia="SimSun"/>
          <w:sz w:val="24"/>
          <w:szCs w:val="24"/>
        </w:rPr>
        <w:t>XXXI/3</w:t>
      </w:r>
      <w:r w:rsidRPr="009B423C">
        <w:rPr>
          <w:rFonts w:eastAsia="SimSun"/>
          <w:sz w:val="24"/>
          <w:szCs w:val="24"/>
          <w:lang w:val="zh-CN"/>
        </w:rPr>
        <w:t>、</w:t>
      </w:r>
      <w:r w:rsidRPr="009B423C">
        <w:rPr>
          <w:rFonts w:eastAsia="SimSun"/>
          <w:sz w:val="24"/>
          <w:szCs w:val="24"/>
        </w:rPr>
        <w:t>XXXIV/8</w:t>
      </w:r>
      <w:r w:rsidRPr="009B423C">
        <w:rPr>
          <w:rFonts w:eastAsia="SimSun"/>
          <w:sz w:val="24"/>
          <w:szCs w:val="24"/>
          <w:lang w:val="zh-CN"/>
        </w:rPr>
        <w:t>、</w:t>
      </w:r>
      <w:r w:rsidRPr="009B423C">
        <w:rPr>
          <w:rFonts w:eastAsia="SimSun"/>
          <w:sz w:val="24"/>
          <w:szCs w:val="24"/>
        </w:rPr>
        <w:t>XXXV/12</w:t>
      </w:r>
      <w:r w:rsidRPr="009B423C">
        <w:rPr>
          <w:rFonts w:eastAsia="SimSun"/>
          <w:sz w:val="24"/>
          <w:szCs w:val="24"/>
          <w:lang w:val="zh-CN"/>
        </w:rPr>
        <w:t>和</w:t>
      </w:r>
      <w:r w:rsidRPr="009B423C">
        <w:rPr>
          <w:rFonts w:eastAsia="SimSun"/>
          <w:sz w:val="24"/>
          <w:szCs w:val="24"/>
        </w:rPr>
        <w:t>XXXVI/9</w:t>
      </w:r>
      <w:r w:rsidRPr="009B423C">
        <w:rPr>
          <w:rFonts w:eastAsia="SimSun"/>
          <w:sz w:val="24"/>
          <w:szCs w:val="24"/>
          <w:lang w:val="zh-CN"/>
        </w:rPr>
        <w:t>号决定</w:t>
      </w:r>
      <w:r w:rsidRPr="009B423C">
        <w:rPr>
          <w:rFonts w:eastAsia="SimSun"/>
          <w:sz w:val="24"/>
          <w:szCs w:val="24"/>
        </w:rPr>
        <w:t>，</w:t>
      </w:r>
    </w:p>
    <w:p w14:paraId="4DB90909"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又回顾</w:t>
      </w:r>
      <w:r w:rsidRPr="009B423C">
        <w:rPr>
          <w:rFonts w:eastAsia="SimSun"/>
          <w:sz w:val="24"/>
          <w:szCs w:val="24"/>
          <w:lang w:val="zh-CN"/>
        </w:rPr>
        <w:t>《关于消耗臭氧层物质的蒙特利尔议定书》第</w:t>
      </w:r>
      <w:r w:rsidRPr="009B423C">
        <w:rPr>
          <w:rFonts w:eastAsia="SimSun"/>
          <w:sz w:val="24"/>
          <w:szCs w:val="24"/>
          <w:lang w:val="zh-CN"/>
        </w:rPr>
        <w:t>4B</w:t>
      </w:r>
      <w:r w:rsidRPr="009B423C">
        <w:rPr>
          <w:rFonts w:eastAsia="SimSun"/>
          <w:sz w:val="24"/>
          <w:szCs w:val="24"/>
          <w:lang w:val="zh-CN"/>
        </w:rPr>
        <w:t>条，其中要求缔约方针对新的、使用过的、再循环的或再生的受控物质建立和实施进出口许可证制度，</w:t>
      </w:r>
    </w:p>
    <w:p w14:paraId="4E9C7479"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lastRenderedPageBreak/>
        <w:t>认识到</w:t>
      </w:r>
      <w:r w:rsidRPr="009B423C">
        <w:rPr>
          <w:rFonts w:eastAsia="SimSun"/>
          <w:sz w:val="24"/>
          <w:szCs w:val="24"/>
          <w:lang w:val="zh-CN"/>
        </w:rPr>
        <w:t>有效的进出口许可证制度对于防止受控物质非法贸易和促进遵守《蒙特利尔议定书》十分重要，</w:t>
      </w:r>
    </w:p>
    <w:p w14:paraId="632D3227"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认识到</w:t>
      </w:r>
      <w:r w:rsidRPr="009B423C">
        <w:rPr>
          <w:rFonts w:eastAsia="SimSun"/>
          <w:sz w:val="24"/>
          <w:szCs w:val="24"/>
          <w:lang w:val="zh-CN"/>
        </w:rPr>
        <w:t>加强核查做法并提高受控物质进出口相关资料的质量和完整性有助于更有效地实施和执行《蒙特利尔议定书》，</w:t>
      </w:r>
    </w:p>
    <w:p w14:paraId="57E9E718" w14:textId="5D0C4033"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表示注意到</w:t>
      </w:r>
      <w:r w:rsidRPr="009B423C">
        <w:rPr>
          <w:rFonts w:eastAsia="SimSun"/>
          <w:sz w:val="24"/>
          <w:szCs w:val="24"/>
          <w:lang w:val="zh-CN"/>
        </w:rPr>
        <w:t>臭氧秘书处编写的关于许可证制度共同特点的信息，特别是载于</w:t>
      </w:r>
      <w:r w:rsidRPr="009B423C">
        <w:rPr>
          <w:rFonts w:eastAsia="SimSun"/>
          <w:sz w:val="24"/>
          <w:szCs w:val="24"/>
          <w:lang w:val="zh-CN"/>
        </w:rPr>
        <w:t>UNEP</w:t>
      </w:r>
      <w:r w:rsidR="00242F58">
        <w:rPr>
          <w:rFonts w:eastAsia="SimSun" w:hint="eastAsia"/>
          <w:sz w:val="24"/>
          <w:szCs w:val="24"/>
          <w:lang w:val="zh-CN"/>
        </w:rPr>
        <w:t>/</w:t>
      </w:r>
      <w:r w:rsidRPr="009B423C">
        <w:rPr>
          <w:rFonts w:eastAsia="SimSun"/>
          <w:sz w:val="24"/>
          <w:szCs w:val="24"/>
          <w:lang w:val="zh-CN"/>
        </w:rPr>
        <w:t>OzL.Pro.WG.1/47/4</w:t>
      </w:r>
      <w:r w:rsidRPr="009B423C">
        <w:rPr>
          <w:rFonts w:eastAsia="SimSun"/>
          <w:sz w:val="24"/>
          <w:szCs w:val="24"/>
          <w:lang w:val="zh-CN"/>
        </w:rPr>
        <w:t>号文件的信息；以及关于非法贸易行为及各国主管部门为查明和处理此类案件而采取的办法的信息，这些信息汇编于</w:t>
      </w:r>
      <w:r w:rsidRPr="009B423C">
        <w:rPr>
          <w:rFonts w:eastAsia="SimSun"/>
          <w:sz w:val="24"/>
          <w:szCs w:val="24"/>
          <w:lang w:val="zh-CN"/>
        </w:rPr>
        <w:t>UNEP/OzL.Pro.WG.1/47/5</w:t>
      </w:r>
      <w:r w:rsidRPr="009B423C">
        <w:rPr>
          <w:rFonts w:eastAsia="SimSun"/>
          <w:sz w:val="24"/>
          <w:szCs w:val="24"/>
          <w:lang w:val="zh-CN"/>
        </w:rPr>
        <w:t>号文件，并在</w:t>
      </w:r>
      <w:r w:rsidRPr="009B423C">
        <w:rPr>
          <w:rFonts w:eastAsia="SimSun"/>
          <w:sz w:val="24"/>
          <w:szCs w:val="24"/>
          <w:lang w:val="zh-CN"/>
        </w:rPr>
        <w:t>UNEP/OzL.Pro.WG.1/48/3</w:t>
      </w:r>
      <w:r w:rsidRPr="009B423C">
        <w:rPr>
          <w:rFonts w:eastAsia="SimSun"/>
          <w:sz w:val="24"/>
          <w:szCs w:val="24"/>
          <w:lang w:val="zh-CN"/>
        </w:rPr>
        <w:t>号文件中得到更新，</w:t>
      </w:r>
    </w:p>
    <w:p w14:paraId="43537742" w14:textId="5E80BE92"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又表示注意到</w:t>
      </w:r>
      <w:r w:rsidRPr="009B423C">
        <w:rPr>
          <w:rFonts w:eastAsia="SimSun"/>
          <w:sz w:val="24"/>
          <w:szCs w:val="24"/>
          <w:lang w:val="zh-CN"/>
        </w:rPr>
        <w:t>在缔约方第三十七次会议之前举行的为期一天的关于促进执行《蒙特利尔议定书》的非正式会议的成果，以及该次会议的背景资料文件（</w:t>
      </w:r>
      <w:r w:rsidRPr="009B423C">
        <w:rPr>
          <w:rFonts w:eastAsia="SimSun"/>
          <w:sz w:val="24"/>
          <w:szCs w:val="24"/>
          <w:lang w:val="zh-CN"/>
        </w:rPr>
        <w:t>UNEP/OzL.Pro.WG.1/45/5</w:t>
      </w:r>
      <w:r w:rsidRPr="009B423C">
        <w:rPr>
          <w:rFonts w:eastAsia="SimSun"/>
          <w:sz w:val="24"/>
          <w:szCs w:val="24"/>
          <w:lang w:val="zh-CN"/>
        </w:rPr>
        <w:t>）和臭氧秘书处编写的会议成果摘要（</w:t>
      </w:r>
      <w:r w:rsidRPr="009B423C">
        <w:rPr>
          <w:rFonts w:eastAsia="SimSun"/>
          <w:sz w:val="24"/>
          <w:szCs w:val="24"/>
          <w:lang w:val="zh-CN"/>
        </w:rPr>
        <w:t>UNEP/</w:t>
      </w:r>
      <w:r w:rsidR="008E7171">
        <w:rPr>
          <w:rFonts w:eastAsia="SimSun" w:hint="eastAsia"/>
          <w:sz w:val="24"/>
          <w:szCs w:val="24"/>
          <w:lang w:val="zh-CN"/>
        </w:rPr>
        <w:t xml:space="preserve"> </w:t>
      </w:r>
      <w:r w:rsidRPr="009B423C">
        <w:rPr>
          <w:rFonts w:eastAsia="SimSun"/>
          <w:sz w:val="24"/>
          <w:szCs w:val="24"/>
          <w:lang w:val="zh-CN"/>
        </w:rPr>
        <w:t>OzL.Pro.37/7</w:t>
      </w:r>
      <w:r w:rsidRPr="009B423C">
        <w:rPr>
          <w:rFonts w:eastAsia="SimSun"/>
          <w:sz w:val="24"/>
          <w:szCs w:val="24"/>
          <w:lang w:val="zh-CN"/>
        </w:rPr>
        <w:t>），</w:t>
      </w:r>
    </w:p>
    <w:p w14:paraId="7412FC42" w14:textId="6FCFBAF9"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还表示注意到</w:t>
      </w:r>
      <w:r w:rsidRPr="009B423C">
        <w:rPr>
          <w:rFonts w:eastAsia="SimSun"/>
          <w:sz w:val="24"/>
          <w:szCs w:val="24"/>
          <w:lang w:val="zh-CN"/>
        </w:rPr>
        <w:t>臭氧秘书处根据蒙特利尔议定书不遵守情事程序下设履行委员会审议的案例编写的与遵约有关的系统性问题分析报告，该分析报告载于履行委员会第七十四次会议报告附件二，</w:t>
      </w:r>
      <w:r w:rsidR="00B20676" w:rsidRPr="009629DD">
        <w:rPr>
          <w:rStyle w:val="FootnoteReference"/>
          <w:spacing w:val="0"/>
          <w:w w:val="100"/>
          <w:position w:val="0"/>
          <w:sz w:val="24"/>
          <w:szCs w:val="24"/>
        </w:rPr>
        <w:footnoteReference w:customMarkFollows="1" w:id="9"/>
        <w:t>4</w:t>
      </w:r>
    </w:p>
    <w:p w14:paraId="176475A7" w14:textId="77777777" w:rsidR="003A437E" w:rsidRPr="009B423C" w:rsidRDefault="003A437E" w:rsidP="009B423C">
      <w:pPr>
        <w:tabs>
          <w:tab w:val="clear" w:pos="1247"/>
          <w:tab w:val="clear" w:pos="1814"/>
          <w:tab w:val="clear" w:pos="2381"/>
          <w:tab w:val="clear" w:pos="2948"/>
          <w:tab w:val="clear" w:pos="3515"/>
          <w:tab w:val="left" w:pos="624"/>
        </w:tabs>
        <w:spacing w:line="240" w:lineRule="auto"/>
        <w:ind w:left="1247" w:firstLine="624"/>
        <w:rPr>
          <w:rFonts w:eastAsia="SimSun"/>
          <w:sz w:val="24"/>
          <w:szCs w:val="24"/>
        </w:rPr>
      </w:pPr>
      <w:r w:rsidRPr="009B423C">
        <w:rPr>
          <w:rFonts w:ascii="KaiTi" w:eastAsia="KaiTi" w:hAnsi="KaiTi"/>
          <w:sz w:val="24"/>
          <w:szCs w:val="24"/>
          <w:lang w:val="zh-CN"/>
        </w:rPr>
        <w:t>回顾</w:t>
      </w:r>
      <w:r w:rsidRPr="009B423C">
        <w:rPr>
          <w:rFonts w:eastAsia="SimSun"/>
          <w:sz w:val="24"/>
          <w:szCs w:val="24"/>
          <w:lang w:val="zh-CN"/>
        </w:rPr>
        <w:t>根据第</w:t>
      </w:r>
      <w:r w:rsidRPr="009B423C">
        <w:rPr>
          <w:rFonts w:eastAsia="SimSun"/>
          <w:sz w:val="24"/>
          <w:szCs w:val="24"/>
          <w:lang w:val="zh-CN"/>
        </w:rPr>
        <w:t>VII/9</w:t>
      </w:r>
      <w:r w:rsidRPr="009B423C">
        <w:rPr>
          <w:rFonts w:eastAsia="SimSun"/>
          <w:sz w:val="24"/>
          <w:szCs w:val="24"/>
          <w:lang w:val="zh-CN"/>
        </w:rPr>
        <w:t>和第</w:t>
      </w:r>
      <w:r w:rsidRPr="009B423C">
        <w:rPr>
          <w:rFonts w:eastAsia="SimSun"/>
          <w:sz w:val="24"/>
          <w:szCs w:val="24"/>
          <w:lang w:val="zh-CN"/>
        </w:rPr>
        <w:t>XXX/12</w:t>
      </w:r>
      <w:r w:rsidRPr="009B423C">
        <w:rPr>
          <w:rFonts w:eastAsia="SimSun"/>
          <w:sz w:val="24"/>
          <w:szCs w:val="24"/>
          <w:lang w:val="zh-CN"/>
        </w:rPr>
        <w:t>号决定，缔约方应向臭氧秘书处报告其受控物质出口目的地，而进口来源的报告属于自愿性质，许多缔约方并未进行此类报告，</w:t>
      </w:r>
    </w:p>
    <w:p w14:paraId="04023CF2" w14:textId="77777777" w:rsidR="003A437E" w:rsidRPr="009B423C" w:rsidRDefault="003A437E" w:rsidP="009B423C">
      <w:pPr>
        <w:keepNext/>
        <w:keepLines/>
        <w:tabs>
          <w:tab w:val="clear" w:pos="1247"/>
          <w:tab w:val="clear" w:pos="1814"/>
          <w:tab w:val="clear" w:pos="2381"/>
          <w:tab w:val="clear" w:pos="2948"/>
          <w:tab w:val="clear" w:pos="3515"/>
          <w:tab w:val="left" w:pos="624"/>
        </w:tabs>
        <w:spacing w:line="240" w:lineRule="auto"/>
        <w:ind w:left="1247" w:firstLine="624"/>
        <w:rPr>
          <w:rFonts w:ascii="KaiTi" w:eastAsia="KaiTi" w:hAnsi="KaiTi"/>
          <w:sz w:val="24"/>
          <w:szCs w:val="24"/>
        </w:rPr>
      </w:pPr>
      <w:r w:rsidRPr="009B423C">
        <w:rPr>
          <w:rFonts w:ascii="KaiTi" w:eastAsia="KaiTi" w:hAnsi="KaiTi"/>
          <w:sz w:val="24"/>
          <w:szCs w:val="24"/>
          <w:lang w:val="zh-CN"/>
        </w:rPr>
        <w:t>决定：</w:t>
      </w:r>
    </w:p>
    <w:p w14:paraId="64E8C902" w14:textId="77777777" w:rsidR="003A437E" w:rsidRPr="009B423C" w:rsidRDefault="003A437E">
      <w:pPr>
        <w:keepNext/>
        <w:keepLines/>
        <w:numPr>
          <w:ilvl w:val="0"/>
          <w:numId w:val="21"/>
        </w:numPr>
        <w:tabs>
          <w:tab w:val="clear" w:pos="1247"/>
          <w:tab w:val="clear" w:pos="1814"/>
          <w:tab w:val="clear" w:pos="2381"/>
          <w:tab w:val="clear" w:pos="2948"/>
          <w:tab w:val="clear" w:pos="3515"/>
          <w:tab w:val="left" w:pos="624"/>
        </w:tabs>
        <w:spacing w:line="240" w:lineRule="auto"/>
        <w:ind w:firstLine="624"/>
        <w:rPr>
          <w:rFonts w:eastAsia="SimSun"/>
          <w:color w:val="000000" w:themeColor="text1"/>
          <w:sz w:val="24"/>
          <w:szCs w:val="24"/>
        </w:rPr>
      </w:pPr>
      <w:r w:rsidRPr="00B220A5">
        <w:rPr>
          <w:rFonts w:ascii="SimSun" w:eastAsia="SimSun" w:hAnsi="SimSun"/>
          <w:sz w:val="24"/>
          <w:szCs w:val="24"/>
          <w:lang w:val="zh-CN"/>
        </w:rPr>
        <w:t>请</w:t>
      </w:r>
      <w:r w:rsidRPr="009B423C">
        <w:rPr>
          <w:rFonts w:eastAsia="SimSun"/>
          <w:sz w:val="24"/>
          <w:szCs w:val="24"/>
          <w:lang w:val="zh-CN"/>
        </w:rPr>
        <w:t>臭氧秘书处根据《蒙特利尔议定书》第</w:t>
      </w:r>
      <w:r w:rsidRPr="009B423C">
        <w:rPr>
          <w:rFonts w:eastAsia="SimSun"/>
          <w:sz w:val="24"/>
          <w:szCs w:val="24"/>
          <w:lang w:val="zh-CN"/>
        </w:rPr>
        <w:t>4B</w:t>
      </w:r>
      <w:r w:rsidRPr="009B423C">
        <w:rPr>
          <w:rFonts w:eastAsia="SimSun"/>
          <w:sz w:val="24"/>
          <w:szCs w:val="24"/>
          <w:lang w:val="zh-CN"/>
        </w:rPr>
        <w:t>条和缔约方会议关于许可证制度的相关决定，编写一份许可证制度核心特点列表以供参考；</w:t>
      </w:r>
    </w:p>
    <w:p w14:paraId="51743B4D"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敦促</w:t>
      </w:r>
      <w:r w:rsidRPr="009B423C">
        <w:rPr>
          <w:rFonts w:eastAsia="SimSun"/>
          <w:sz w:val="24"/>
          <w:szCs w:val="24"/>
          <w:lang w:val="zh-CN"/>
        </w:rPr>
        <w:t>尚未采取行动的缔约方尽快通知臭氧秘书处其根据《蒙特利尔议定书》第</w:t>
      </w:r>
      <w:r w:rsidRPr="009B423C">
        <w:rPr>
          <w:rFonts w:eastAsia="SimSun"/>
          <w:sz w:val="24"/>
          <w:szCs w:val="24"/>
          <w:lang w:val="zh-CN"/>
        </w:rPr>
        <w:t>4B</w:t>
      </w:r>
      <w:r w:rsidRPr="009B423C">
        <w:rPr>
          <w:rFonts w:eastAsia="SimSun"/>
          <w:sz w:val="24"/>
          <w:szCs w:val="24"/>
          <w:lang w:val="zh-CN"/>
        </w:rPr>
        <w:t>条建立的进出口许可证制度，除了新的受控物质外，是否还涵盖使用过的、再循环的和再生的受控物质；</w:t>
      </w:r>
    </w:p>
    <w:p w14:paraId="7313D030"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鼓励</w:t>
      </w:r>
      <w:r w:rsidRPr="009B423C">
        <w:rPr>
          <w:rFonts w:eastAsia="SimSun"/>
          <w:sz w:val="24"/>
          <w:szCs w:val="24"/>
          <w:lang w:val="zh-CN"/>
        </w:rPr>
        <w:t>缔约方确保其进出口许可证制度酌情涵盖转运或再出口的受控物质，同时考虑到第</w:t>
      </w:r>
      <w:r w:rsidRPr="009B423C">
        <w:rPr>
          <w:rFonts w:eastAsia="SimSun"/>
          <w:sz w:val="24"/>
          <w:szCs w:val="24"/>
          <w:lang w:val="zh-CN"/>
        </w:rPr>
        <w:t>IV/14</w:t>
      </w:r>
      <w:r w:rsidRPr="009B423C">
        <w:rPr>
          <w:rFonts w:eastAsia="SimSun"/>
          <w:sz w:val="24"/>
          <w:szCs w:val="24"/>
          <w:lang w:val="zh-CN"/>
        </w:rPr>
        <w:t>和第</w:t>
      </w:r>
      <w:r w:rsidRPr="009B423C">
        <w:rPr>
          <w:rFonts w:eastAsia="SimSun"/>
          <w:sz w:val="24"/>
          <w:szCs w:val="24"/>
          <w:lang w:val="zh-CN"/>
        </w:rPr>
        <w:t>IX/34</w:t>
      </w:r>
      <w:r w:rsidRPr="009B423C">
        <w:rPr>
          <w:rFonts w:eastAsia="SimSun"/>
          <w:sz w:val="24"/>
          <w:szCs w:val="24"/>
          <w:lang w:val="zh-CN"/>
        </w:rPr>
        <w:t>号决定中关于</w:t>
      </w:r>
      <w:r w:rsidRPr="009B423C">
        <w:rPr>
          <w:rFonts w:ascii="SimSun" w:eastAsia="SimSun" w:hAnsi="SimSun"/>
          <w:sz w:val="24"/>
          <w:szCs w:val="24"/>
          <w:lang w:val="zh-CN"/>
        </w:rPr>
        <w:t>“转运”和“再出口”</w:t>
      </w:r>
      <w:r w:rsidRPr="009B423C">
        <w:rPr>
          <w:rFonts w:eastAsia="SimSun"/>
          <w:sz w:val="24"/>
          <w:szCs w:val="24"/>
          <w:lang w:val="zh-CN"/>
        </w:rPr>
        <w:t>的澄清说明；</w:t>
      </w:r>
    </w:p>
    <w:p w14:paraId="5A26ABC2"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请</w:t>
      </w:r>
      <w:r w:rsidRPr="009B423C">
        <w:rPr>
          <w:rFonts w:eastAsia="SimSun"/>
          <w:sz w:val="24"/>
          <w:szCs w:val="24"/>
          <w:lang w:val="zh-CN"/>
        </w:rPr>
        <w:t>缔约方确保其进口和许可证制度能够控制并准确跟踪自由贸易区内受控物质的贸易，并将此类进出口情况作为《蒙特利尔议定书》第</w:t>
      </w:r>
      <w:r w:rsidRPr="009B423C">
        <w:rPr>
          <w:rFonts w:eastAsia="SimSun"/>
          <w:sz w:val="24"/>
          <w:szCs w:val="24"/>
          <w:lang w:val="zh-CN"/>
        </w:rPr>
        <w:t>7</w:t>
      </w:r>
      <w:r w:rsidRPr="009B423C">
        <w:rPr>
          <w:rFonts w:eastAsia="SimSun"/>
          <w:sz w:val="24"/>
          <w:szCs w:val="24"/>
          <w:lang w:val="zh-CN"/>
        </w:rPr>
        <w:t>条规定的报告内容之一予以报告；</w:t>
      </w:r>
    </w:p>
    <w:p w14:paraId="18982817"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鼓励</w:t>
      </w:r>
      <w:r w:rsidRPr="009B423C">
        <w:rPr>
          <w:rFonts w:eastAsia="SimSun"/>
          <w:sz w:val="24"/>
          <w:szCs w:val="24"/>
          <w:lang w:val="zh-CN"/>
        </w:rPr>
        <w:t>各缔约方的国家臭氧机构和海关官员考虑有效的数据共享方法，以便更好地跟踪和监测受控物质的进口，包括数据库协调；</w:t>
      </w:r>
    </w:p>
    <w:p w14:paraId="2046C270"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color w:val="000000" w:themeColor="text1"/>
          <w:sz w:val="24"/>
          <w:szCs w:val="24"/>
        </w:rPr>
      </w:pPr>
      <w:r w:rsidRPr="00B220A5">
        <w:rPr>
          <w:rFonts w:ascii="SimSun" w:eastAsia="SimSun" w:hAnsi="SimSun"/>
          <w:sz w:val="24"/>
          <w:szCs w:val="24"/>
          <w:lang w:val="zh-CN"/>
        </w:rPr>
        <w:t>鼓励</w:t>
      </w:r>
      <w:r w:rsidRPr="009B423C">
        <w:rPr>
          <w:rFonts w:eastAsia="SimSun"/>
          <w:sz w:val="24"/>
          <w:szCs w:val="24"/>
          <w:lang w:val="zh-CN"/>
        </w:rPr>
        <w:t>缔约方加强受控物质进出口核查做法，包括在可行和适当的情况下建立自动化系统和标准化程序，对行业报告的信息与海关数据进行交叉核对；</w:t>
      </w:r>
    </w:p>
    <w:p w14:paraId="559E127C"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color w:val="000000" w:themeColor="text1"/>
          <w:sz w:val="24"/>
          <w:szCs w:val="24"/>
        </w:rPr>
      </w:pPr>
      <w:r w:rsidRPr="00B220A5">
        <w:rPr>
          <w:rFonts w:ascii="SimSun" w:eastAsia="SimSun" w:hAnsi="SimSun"/>
          <w:sz w:val="24"/>
          <w:szCs w:val="24"/>
          <w:lang w:val="zh-CN"/>
        </w:rPr>
        <w:t>提醒</w:t>
      </w:r>
      <w:r w:rsidRPr="009B423C">
        <w:rPr>
          <w:rFonts w:eastAsia="SimSun"/>
          <w:sz w:val="24"/>
          <w:szCs w:val="24"/>
          <w:lang w:val="zh-CN"/>
        </w:rPr>
        <w:t>按《蒙特利尔议定书》第</w:t>
      </w:r>
      <w:r w:rsidRPr="009B423C">
        <w:rPr>
          <w:rFonts w:eastAsia="SimSun"/>
          <w:sz w:val="24"/>
          <w:szCs w:val="24"/>
          <w:lang w:val="zh-CN"/>
        </w:rPr>
        <w:t>5</w:t>
      </w:r>
      <w:r w:rsidRPr="009B423C">
        <w:rPr>
          <w:rFonts w:eastAsia="SimSun"/>
          <w:sz w:val="24"/>
          <w:szCs w:val="24"/>
          <w:lang w:val="zh-CN"/>
        </w:rPr>
        <w:t>条第</w:t>
      </w:r>
      <w:r w:rsidRPr="009B423C">
        <w:rPr>
          <w:rFonts w:eastAsia="SimSun"/>
          <w:sz w:val="24"/>
          <w:szCs w:val="24"/>
          <w:lang w:val="zh-CN"/>
        </w:rPr>
        <w:t>1</w:t>
      </w:r>
      <w:r w:rsidRPr="009B423C">
        <w:rPr>
          <w:rFonts w:eastAsia="SimSun"/>
          <w:sz w:val="24"/>
          <w:szCs w:val="24"/>
          <w:lang w:val="zh-CN"/>
        </w:rPr>
        <w:t>款行事的缔约方可以就其国家许可证制度的设计和实施工作向联合国环境规划署履约援助方案寻求援助；</w:t>
      </w:r>
    </w:p>
    <w:p w14:paraId="2C380A0C"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lastRenderedPageBreak/>
        <w:t>请</w:t>
      </w:r>
      <w:r w:rsidRPr="009B423C">
        <w:rPr>
          <w:rFonts w:eastAsia="SimSun"/>
          <w:sz w:val="24"/>
          <w:szCs w:val="24"/>
          <w:lang w:val="zh-CN"/>
        </w:rPr>
        <w:t>缔约方将进口和受控物质的来源作为第</w:t>
      </w:r>
      <w:r w:rsidRPr="009B423C">
        <w:rPr>
          <w:rFonts w:eastAsia="SimSun"/>
          <w:sz w:val="24"/>
          <w:szCs w:val="24"/>
          <w:lang w:val="zh-CN"/>
        </w:rPr>
        <w:t>7</w:t>
      </w:r>
      <w:r w:rsidRPr="009B423C">
        <w:rPr>
          <w:rFonts w:eastAsia="SimSun"/>
          <w:sz w:val="24"/>
          <w:szCs w:val="24"/>
          <w:lang w:val="zh-CN"/>
        </w:rPr>
        <w:t>条规定的报告内容之一予以报告，并继续报告此类物质的出口目的地，以期帮助臭氧秘书处查明一个缔约方报告为进口的数据与另一缔约方报告为出口的数据之间的差异，反之亦然；</w:t>
      </w:r>
    </w:p>
    <w:p w14:paraId="7CE63085"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鼓励</w:t>
      </w:r>
      <w:r w:rsidRPr="009B423C">
        <w:rPr>
          <w:rFonts w:eastAsia="SimSun"/>
          <w:sz w:val="24"/>
          <w:szCs w:val="24"/>
          <w:lang w:val="zh-CN"/>
        </w:rPr>
        <w:t>缔约方使用在线报告系统报告第</w:t>
      </w:r>
      <w:r w:rsidRPr="009B423C">
        <w:rPr>
          <w:rFonts w:eastAsia="SimSun"/>
          <w:sz w:val="24"/>
          <w:szCs w:val="24"/>
          <w:lang w:val="zh-CN"/>
        </w:rPr>
        <w:t>7</w:t>
      </w:r>
      <w:r w:rsidRPr="009B423C">
        <w:rPr>
          <w:rFonts w:eastAsia="SimSun"/>
          <w:sz w:val="24"/>
          <w:szCs w:val="24"/>
          <w:lang w:val="zh-CN"/>
        </w:rPr>
        <w:t>条要求报告的数据；</w:t>
      </w:r>
    </w:p>
    <w:p w14:paraId="25E04711"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请</w:t>
      </w:r>
      <w:r w:rsidRPr="009B423C">
        <w:rPr>
          <w:rFonts w:eastAsia="SimSun"/>
          <w:sz w:val="24"/>
          <w:szCs w:val="24"/>
          <w:lang w:val="zh-CN"/>
        </w:rPr>
        <w:t>臭氧秘书处向缔约方提供关于没有至迟于每年</w:t>
      </w:r>
      <w:r w:rsidRPr="009B423C">
        <w:rPr>
          <w:rFonts w:eastAsia="SimSun"/>
          <w:sz w:val="24"/>
          <w:szCs w:val="24"/>
          <w:lang w:val="zh-CN"/>
        </w:rPr>
        <w:t>9</w:t>
      </w:r>
      <w:r w:rsidRPr="009B423C">
        <w:rPr>
          <w:rFonts w:eastAsia="SimSun"/>
          <w:sz w:val="24"/>
          <w:szCs w:val="24"/>
          <w:lang w:val="zh-CN"/>
        </w:rPr>
        <w:t>月</w:t>
      </w:r>
      <w:r w:rsidRPr="009B423C">
        <w:rPr>
          <w:rFonts w:eastAsia="SimSun"/>
          <w:sz w:val="24"/>
          <w:szCs w:val="24"/>
          <w:lang w:val="zh-CN"/>
        </w:rPr>
        <w:t>30</w:t>
      </w:r>
      <w:r w:rsidRPr="009B423C">
        <w:rPr>
          <w:rFonts w:eastAsia="SimSun"/>
          <w:sz w:val="24"/>
          <w:szCs w:val="24"/>
          <w:lang w:val="zh-CN"/>
        </w:rPr>
        <w:t>日报告第</w:t>
      </w:r>
      <w:r w:rsidRPr="009B423C">
        <w:rPr>
          <w:rFonts w:eastAsia="SimSun"/>
          <w:sz w:val="24"/>
          <w:szCs w:val="24"/>
          <w:lang w:val="zh-CN"/>
        </w:rPr>
        <w:t>7</w:t>
      </w:r>
      <w:r w:rsidRPr="009B423C">
        <w:rPr>
          <w:rFonts w:eastAsia="SimSun"/>
          <w:sz w:val="24"/>
          <w:szCs w:val="24"/>
          <w:lang w:val="zh-CN"/>
        </w:rPr>
        <w:t>条所要求数据的缔约方的信息；</w:t>
      </w:r>
    </w:p>
    <w:p w14:paraId="28132E9E" w14:textId="77777777" w:rsidR="003A437E" w:rsidRPr="009B423C" w:rsidRDefault="003A437E">
      <w:pPr>
        <w:numPr>
          <w:ilvl w:val="0"/>
          <w:numId w:val="21"/>
        </w:numPr>
        <w:tabs>
          <w:tab w:val="clear" w:pos="1247"/>
          <w:tab w:val="clear" w:pos="1814"/>
          <w:tab w:val="clear" w:pos="2381"/>
          <w:tab w:val="clear" w:pos="2948"/>
          <w:tab w:val="clear" w:pos="3515"/>
          <w:tab w:val="left" w:pos="624"/>
        </w:tabs>
        <w:spacing w:line="240" w:lineRule="auto"/>
        <w:ind w:firstLine="624"/>
        <w:rPr>
          <w:rFonts w:eastAsia="SimSun"/>
          <w:sz w:val="24"/>
          <w:szCs w:val="24"/>
        </w:rPr>
      </w:pPr>
      <w:r w:rsidRPr="00B220A5">
        <w:rPr>
          <w:rFonts w:ascii="SimSun" w:eastAsia="SimSun" w:hAnsi="SimSun"/>
          <w:sz w:val="24"/>
          <w:szCs w:val="24"/>
          <w:lang w:val="zh-CN"/>
        </w:rPr>
        <w:t>又请</w:t>
      </w:r>
      <w:r w:rsidRPr="009B423C">
        <w:rPr>
          <w:rFonts w:eastAsia="SimSun"/>
          <w:sz w:val="24"/>
          <w:szCs w:val="24"/>
          <w:lang w:val="zh-CN"/>
        </w:rPr>
        <w:t>臭氧秘书处与执行蒙特利尔议定书多边基金秘书处联络，探讨可能的备选方案，以便就第</w:t>
      </w:r>
      <w:r w:rsidRPr="009B423C">
        <w:rPr>
          <w:rFonts w:eastAsia="SimSun"/>
          <w:sz w:val="24"/>
          <w:szCs w:val="24"/>
          <w:lang w:val="zh-CN"/>
        </w:rPr>
        <w:t>7</w:t>
      </w:r>
      <w:r w:rsidRPr="009B423C">
        <w:rPr>
          <w:rFonts w:eastAsia="SimSun"/>
          <w:sz w:val="24"/>
          <w:szCs w:val="24"/>
          <w:lang w:val="zh-CN"/>
        </w:rPr>
        <w:t>条要求提交的数据和国家方案数据制定协调一致的数据报告办法。</w:t>
      </w:r>
    </w:p>
    <w:p w14:paraId="02F03C44" w14:textId="1A1F0FED" w:rsidR="003A437E" w:rsidRPr="009B423C" w:rsidRDefault="003A437E">
      <w:pPr>
        <w:pStyle w:val="CH2"/>
        <w:numPr>
          <w:ilvl w:val="0"/>
          <w:numId w:val="35"/>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9B423C">
        <w:rPr>
          <w:rFonts w:eastAsia="SimHei"/>
          <w:bCs/>
          <w:sz w:val="28"/>
          <w:szCs w:val="28"/>
          <w:lang w:val="zh-CN" w:eastAsia="zh-CN"/>
        </w:rPr>
        <w:t>审议阿塞拜疆执行《蒙特利尔议定书》第</w:t>
      </w:r>
      <w:r w:rsidRPr="009B423C">
        <w:rPr>
          <w:rFonts w:eastAsia="SimHei"/>
          <w:bCs/>
          <w:sz w:val="28"/>
          <w:szCs w:val="28"/>
          <w:lang w:val="zh-CN" w:eastAsia="zh-CN"/>
        </w:rPr>
        <w:t>2J</w:t>
      </w:r>
      <w:r w:rsidRPr="009B423C">
        <w:rPr>
          <w:rFonts w:eastAsia="SimHei"/>
          <w:bCs/>
          <w:sz w:val="28"/>
          <w:szCs w:val="28"/>
          <w:lang w:val="zh-CN" w:eastAsia="zh-CN"/>
        </w:rPr>
        <w:t>条第</w:t>
      </w:r>
      <w:r w:rsidRPr="009B423C">
        <w:rPr>
          <w:rFonts w:eastAsia="SimHei"/>
          <w:bCs/>
          <w:sz w:val="28"/>
          <w:szCs w:val="28"/>
          <w:lang w:val="zh-CN" w:eastAsia="zh-CN"/>
        </w:rPr>
        <w:t>2</w:t>
      </w:r>
      <w:r w:rsidRPr="009B423C">
        <w:rPr>
          <w:rFonts w:eastAsia="SimHei"/>
          <w:bCs/>
          <w:sz w:val="28"/>
          <w:szCs w:val="28"/>
          <w:lang w:val="zh-CN" w:eastAsia="zh-CN"/>
        </w:rPr>
        <w:t>和第</w:t>
      </w:r>
      <w:r w:rsidRPr="009B423C">
        <w:rPr>
          <w:rFonts w:eastAsia="SimHei"/>
          <w:bCs/>
          <w:sz w:val="28"/>
          <w:szCs w:val="28"/>
          <w:lang w:val="zh-CN" w:eastAsia="zh-CN"/>
        </w:rPr>
        <w:t>4</w:t>
      </w:r>
      <w:r w:rsidRPr="009B423C">
        <w:rPr>
          <w:rFonts w:eastAsia="SimHei"/>
          <w:bCs/>
          <w:sz w:val="28"/>
          <w:szCs w:val="28"/>
          <w:lang w:val="zh-CN" w:eastAsia="zh-CN"/>
        </w:rPr>
        <w:t>款的情况</w:t>
      </w:r>
    </w:p>
    <w:p w14:paraId="5544C083" w14:textId="77777777" w:rsidR="003A437E" w:rsidRPr="009B423C" w:rsidRDefault="003A437E" w:rsidP="009B423C">
      <w:pPr>
        <w:pStyle w:val="CH3"/>
        <w:jc w:val="both"/>
        <w:rPr>
          <w:rFonts w:ascii="SimHei" w:eastAsia="SimHei" w:hAnsi="SimHei"/>
          <w:sz w:val="24"/>
          <w:szCs w:val="24"/>
          <w:lang w:eastAsia="zh-CN"/>
        </w:rPr>
      </w:pPr>
      <w:r w:rsidRPr="009B423C">
        <w:rPr>
          <w:lang w:val="zh-CN" w:eastAsia="zh-CN"/>
        </w:rPr>
        <w:tab/>
      </w:r>
      <w:r w:rsidRPr="009B423C">
        <w:rPr>
          <w:lang w:val="zh-CN" w:eastAsia="zh-CN"/>
        </w:rPr>
        <w:tab/>
      </w:r>
      <w:r w:rsidRPr="009B423C">
        <w:rPr>
          <w:rFonts w:ascii="SimHei" w:eastAsia="SimHei" w:hAnsi="SimHei"/>
          <w:bCs/>
          <w:sz w:val="24"/>
          <w:szCs w:val="24"/>
          <w:lang w:val="zh-CN" w:eastAsia="zh-CN"/>
        </w:rPr>
        <w:t>由阿塞拜疆提交</w:t>
      </w:r>
    </w:p>
    <w:p w14:paraId="499A4A31"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ascii="KaiTi" w:eastAsia="KaiTi" w:hAnsi="KaiTi"/>
          <w:sz w:val="24"/>
          <w:szCs w:val="24"/>
        </w:rPr>
      </w:pPr>
      <w:r w:rsidRPr="009B423C">
        <w:rPr>
          <w:rFonts w:ascii="KaiTi" w:eastAsia="KaiTi" w:hAnsi="KaiTi"/>
          <w:sz w:val="24"/>
          <w:szCs w:val="24"/>
          <w:lang w:val="zh-CN"/>
        </w:rPr>
        <w:t>缔约方第三十八次会议，</w:t>
      </w:r>
    </w:p>
    <w:p w14:paraId="3F1D1A29"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eastAsia="SimSun"/>
          <w:sz w:val="24"/>
          <w:szCs w:val="24"/>
        </w:rPr>
      </w:pPr>
      <w:r w:rsidRPr="009B423C">
        <w:rPr>
          <w:rFonts w:ascii="KaiTi" w:eastAsia="KaiTi" w:hAnsi="KaiTi"/>
          <w:sz w:val="24"/>
          <w:szCs w:val="24"/>
          <w:lang w:val="zh-CN"/>
        </w:rPr>
        <w:t>注意到</w:t>
      </w:r>
      <w:r w:rsidRPr="009B423C">
        <w:rPr>
          <w:rFonts w:eastAsia="SimSun"/>
          <w:sz w:val="24"/>
          <w:szCs w:val="24"/>
          <w:lang w:val="zh-CN"/>
        </w:rPr>
        <w:t>阿塞拜疆批准了《关于消耗臭氧层物质的蒙特利尔议定书基加利修正》，该修正于</w:t>
      </w:r>
      <w:r w:rsidRPr="009B423C">
        <w:rPr>
          <w:rFonts w:eastAsia="SimSun"/>
          <w:sz w:val="24"/>
          <w:szCs w:val="24"/>
          <w:lang w:val="zh-CN"/>
        </w:rPr>
        <w:t>2026</w:t>
      </w:r>
      <w:r w:rsidRPr="009B423C">
        <w:rPr>
          <w:rFonts w:eastAsia="SimSun"/>
          <w:sz w:val="24"/>
          <w:szCs w:val="24"/>
          <w:lang w:val="zh-CN"/>
        </w:rPr>
        <w:t>年</w:t>
      </w:r>
      <w:r w:rsidRPr="009B423C">
        <w:rPr>
          <w:rFonts w:eastAsia="SimSun"/>
          <w:sz w:val="24"/>
          <w:szCs w:val="24"/>
          <w:lang w:val="zh-CN"/>
        </w:rPr>
        <w:t>2</w:t>
      </w:r>
      <w:r w:rsidRPr="009B423C">
        <w:rPr>
          <w:rFonts w:eastAsia="SimSun"/>
          <w:sz w:val="24"/>
          <w:szCs w:val="24"/>
          <w:lang w:val="zh-CN"/>
        </w:rPr>
        <w:t>月</w:t>
      </w:r>
      <w:r w:rsidRPr="009B423C">
        <w:rPr>
          <w:rFonts w:eastAsia="SimSun"/>
          <w:sz w:val="24"/>
          <w:szCs w:val="24"/>
          <w:lang w:val="zh-CN"/>
        </w:rPr>
        <w:t>22</w:t>
      </w:r>
      <w:r w:rsidRPr="009B423C">
        <w:rPr>
          <w:rFonts w:eastAsia="SimSun"/>
          <w:sz w:val="24"/>
          <w:szCs w:val="24"/>
          <w:lang w:val="zh-CN"/>
        </w:rPr>
        <w:t>日对阿塞拜疆生效，</w:t>
      </w:r>
    </w:p>
    <w:p w14:paraId="5A8160FF"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eastAsia="SimSun"/>
          <w:sz w:val="24"/>
          <w:szCs w:val="24"/>
        </w:rPr>
      </w:pPr>
      <w:r w:rsidRPr="009B423C">
        <w:rPr>
          <w:rFonts w:ascii="KaiTi" w:eastAsia="KaiTi" w:hAnsi="KaiTi"/>
          <w:sz w:val="24"/>
          <w:szCs w:val="24"/>
          <w:lang w:val="zh-CN"/>
        </w:rPr>
        <w:t>注意到</w:t>
      </w:r>
      <w:r w:rsidRPr="009B423C">
        <w:rPr>
          <w:rFonts w:eastAsia="SimSun"/>
          <w:sz w:val="24"/>
          <w:szCs w:val="24"/>
          <w:lang w:val="zh-CN"/>
        </w:rPr>
        <w:t>《基加利修正》对阿塞拜疆生效时，第</w:t>
      </w:r>
      <w:r w:rsidRPr="009B423C">
        <w:rPr>
          <w:rFonts w:eastAsia="SimSun"/>
          <w:sz w:val="24"/>
          <w:szCs w:val="24"/>
          <w:lang w:val="zh-CN"/>
        </w:rPr>
        <w:t>2J</w:t>
      </w:r>
      <w:r w:rsidRPr="009B423C">
        <w:rPr>
          <w:rFonts w:eastAsia="SimSun"/>
          <w:sz w:val="24"/>
          <w:szCs w:val="24"/>
          <w:lang w:val="zh-CN"/>
        </w:rPr>
        <w:t>条下的逐步削减框架已开始运作，</w:t>
      </w:r>
    </w:p>
    <w:p w14:paraId="30730921"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eastAsia="SimSun"/>
          <w:sz w:val="24"/>
          <w:szCs w:val="24"/>
        </w:rPr>
      </w:pPr>
      <w:r w:rsidRPr="009B423C">
        <w:rPr>
          <w:rFonts w:ascii="KaiTi" w:eastAsia="KaiTi" w:hAnsi="KaiTi"/>
          <w:sz w:val="24"/>
          <w:szCs w:val="24"/>
          <w:lang w:val="zh-CN"/>
        </w:rPr>
        <w:t>知悉</w:t>
      </w:r>
      <w:r w:rsidRPr="009B423C">
        <w:rPr>
          <w:rFonts w:eastAsia="SimSun"/>
          <w:sz w:val="24"/>
          <w:szCs w:val="24"/>
          <w:lang w:val="zh-CN"/>
        </w:rPr>
        <w:t>《蒙特利尔议定书》第</w:t>
      </w:r>
      <w:r w:rsidRPr="009B423C">
        <w:rPr>
          <w:rFonts w:eastAsia="SimSun"/>
          <w:sz w:val="24"/>
          <w:szCs w:val="24"/>
          <w:lang w:val="zh-CN"/>
        </w:rPr>
        <w:t>2J</w:t>
      </w:r>
      <w:r w:rsidRPr="009B423C">
        <w:rPr>
          <w:rFonts w:eastAsia="SimSun"/>
          <w:sz w:val="24"/>
          <w:szCs w:val="24"/>
          <w:lang w:val="zh-CN"/>
        </w:rPr>
        <w:t>条针对氢氟碳化物确立了分阶段、有区别的逐步削减途径，包括第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款所规定的途径，</w:t>
      </w:r>
    </w:p>
    <w:p w14:paraId="4831FF72"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eastAsia="SimSun"/>
          <w:sz w:val="24"/>
          <w:szCs w:val="24"/>
        </w:rPr>
      </w:pPr>
      <w:r w:rsidRPr="009B423C">
        <w:rPr>
          <w:rFonts w:ascii="KaiTi" w:eastAsia="KaiTi" w:hAnsi="KaiTi"/>
          <w:sz w:val="24"/>
          <w:szCs w:val="24"/>
          <w:lang w:val="zh-CN"/>
        </w:rPr>
        <w:t>回顾</w:t>
      </w:r>
      <w:r w:rsidRPr="009B423C">
        <w:rPr>
          <w:rFonts w:eastAsia="SimSun"/>
          <w:sz w:val="24"/>
          <w:szCs w:val="24"/>
          <w:lang w:val="zh-CN"/>
        </w:rPr>
        <w:t>第</w:t>
      </w:r>
      <w:r w:rsidRPr="009B423C">
        <w:rPr>
          <w:rFonts w:eastAsia="SimSun"/>
          <w:sz w:val="24"/>
          <w:szCs w:val="24"/>
          <w:lang w:val="zh-CN"/>
        </w:rPr>
        <w:t>XXVIII/2</w:t>
      </w:r>
      <w:r w:rsidRPr="009B423C">
        <w:rPr>
          <w:rFonts w:eastAsia="SimSun"/>
          <w:sz w:val="24"/>
          <w:szCs w:val="24"/>
          <w:lang w:val="zh-CN"/>
        </w:rPr>
        <w:t>号决定第</w:t>
      </w:r>
      <w:r w:rsidRPr="009B423C">
        <w:rPr>
          <w:rFonts w:eastAsia="SimSun"/>
          <w:sz w:val="24"/>
          <w:szCs w:val="24"/>
          <w:lang w:val="zh-CN"/>
        </w:rPr>
        <w:t>1</w:t>
      </w:r>
      <w:r w:rsidRPr="009B423C">
        <w:rPr>
          <w:rFonts w:eastAsia="SimSun"/>
          <w:sz w:val="24"/>
          <w:szCs w:val="24"/>
          <w:lang w:val="zh-CN"/>
        </w:rPr>
        <w:t>段，其中缔约方会议讨论了第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款对某些缔约方的适用问题，</w:t>
      </w:r>
    </w:p>
    <w:p w14:paraId="412184B1"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eastAsia="SimSun"/>
          <w:bCs/>
          <w:iCs/>
          <w:sz w:val="24"/>
          <w:szCs w:val="24"/>
        </w:rPr>
      </w:pPr>
      <w:r w:rsidRPr="009B423C">
        <w:rPr>
          <w:rFonts w:ascii="KaiTi" w:eastAsia="KaiTi" w:hAnsi="KaiTi"/>
          <w:sz w:val="24"/>
          <w:szCs w:val="24"/>
          <w:lang w:val="zh-CN"/>
        </w:rPr>
        <w:t>认识到</w:t>
      </w:r>
      <w:r w:rsidRPr="009B423C">
        <w:rPr>
          <w:rFonts w:eastAsia="SimSun"/>
          <w:sz w:val="24"/>
          <w:szCs w:val="24"/>
          <w:lang w:val="zh-CN"/>
        </w:rPr>
        <w:t>阿塞拜疆的国家执行情况，包括控制措施的执行顺序和第</w:t>
      </w:r>
      <w:r w:rsidRPr="009B423C">
        <w:rPr>
          <w:rFonts w:eastAsia="SimSun"/>
          <w:sz w:val="24"/>
          <w:szCs w:val="24"/>
          <w:lang w:val="zh-CN"/>
        </w:rPr>
        <w:t>2J</w:t>
      </w:r>
      <w:r w:rsidRPr="009B423C">
        <w:rPr>
          <w:rFonts w:eastAsia="SimSun"/>
          <w:sz w:val="24"/>
          <w:szCs w:val="24"/>
          <w:lang w:val="zh-CN"/>
        </w:rPr>
        <w:t>条规定的有区别的逐步削减途径的适用情况，</w:t>
      </w:r>
    </w:p>
    <w:p w14:paraId="3DEC50B2" w14:textId="77777777" w:rsidR="003A437E"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ascii="KaiTi" w:eastAsia="KaiTi" w:hAnsi="KaiTi"/>
          <w:bCs/>
          <w:sz w:val="24"/>
          <w:szCs w:val="24"/>
        </w:rPr>
      </w:pPr>
      <w:r w:rsidRPr="009B423C">
        <w:rPr>
          <w:rFonts w:ascii="KaiTi" w:eastAsia="KaiTi" w:hAnsi="KaiTi"/>
          <w:sz w:val="24"/>
          <w:szCs w:val="24"/>
          <w:lang w:val="zh-CN"/>
        </w:rPr>
        <w:t>决定：</w:t>
      </w:r>
    </w:p>
    <w:p w14:paraId="2DE080B3" w14:textId="1C74E06A" w:rsidR="000A3C4D" w:rsidRPr="009B423C" w:rsidRDefault="003A437E" w:rsidP="009B423C">
      <w:pPr>
        <w:tabs>
          <w:tab w:val="clear" w:pos="1247"/>
          <w:tab w:val="clear" w:pos="1814"/>
          <w:tab w:val="clear" w:pos="2381"/>
          <w:tab w:val="clear" w:pos="2948"/>
          <w:tab w:val="clear" w:pos="3515"/>
          <w:tab w:val="left" w:pos="624"/>
          <w:tab w:val="left" w:pos="4990"/>
        </w:tabs>
        <w:spacing w:line="240" w:lineRule="auto"/>
        <w:ind w:left="1247" w:firstLine="624"/>
        <w:rPr>
          <w:rFonts w:eastAsia="SimSun"/>
          <w:sz w:val="24"/>
          <w:szCs w:val="24"/>
        </w:rPr>
      </w:pPr>
      <w:r w:rsidRPr="009B423C">
        <w:rPr>
          <w:rFonts w:eastAsia="SimSun"/>
          <w:sz w:val="24"/>
          <w:szCs w:val="24"/>
          <w:lang w:val="zh-CN"/>
        </w:rPr>
        <w:t>确认《蒙特利尔议定书》第</w:t>
      </w:r>
      <w:r w:rsidRPr="009B423C">
        <w:rPr>
          <w:rFonts w:eastAsia="SimSun"/>
          <w:sz w:val="24"/>
          <w:szCs w:val="24"/>
          <w:lang w:val="zh-CN"/>
        </w:rPr>
        <w:t>2J</w:t>
      </w:r>
      <w:r w:rsidRPr="009B423C">
        <w:rPr>
          <w:rFonts w:eastAsia="SimSun"/>
          <w:sz w:val="24"/>
          <w:szCs w:val="24"/>
          <w:lang w:val="zh-CN"/>
        </w:rPr>
        <w:t>条第</w:t>
      </w:r>
      <w:r w:rsidRPr="009B423C">
        <w:rPr>
          <w:rFonts w:eastAsia="SimSun"/>
          <w:sz w:val="24"/>
          <w:szCs w:val="24"/>
          <w:lang w:val="zh-CN"/>
        </w:rPr>
        <w:t>2</w:t>
      </w:r>
      <w:r w:rsidRPr="009B423C">
        <w:rPr>
          <w:rFonts w:eastAsia="SimSun"/>
          <w:sz w:val="24"/>
          <w:szCs w:val="24"/>
          <w:lang w:val="zh-CN"/>
        </w:rPr>
        <w:t>和第</w:t>
      </w:r>
      <w:r w:rsidRPr="009B423C">
        <w:rPr>
          <w:rFonts w:eastAsia="SimSun"/>
          <w:sz w:val="24"/>
          <w:szCs w:val="24"/>
          <w:lang w:val="zh-CN"/>
        </w:rPr>
        <w:t>4</w:t>
      </w:r>
      <w:r w:rsidRPr="009B423C">
        <w:rPr>
          <w:rFonts w:eastAsia="SimSun"/>
          <w:sz w:val="24"/>
          <w:szCs w:val="24"/>
          <w:lang w:val="zh-CN"/>
        </w:rPr>
        <w:t>款规定的逐步削减时间表适用于阿塞拜疆。</w:t>
      </w:r>
    </w:p>
    <w:p w14:paraId="4AD1F623" w14:textId="77777777" w:rsidR="000A3C4D" w:rsidRPr="009B423C" w:rsidRDefault="000A3C4D" w:rsidP="009B423C">
      <w:pPr>
        <w:tabs>
          <w:tab w:val="clear" w:pos="1247"/>
          <w:tab w:val="clear" w:pos="1814"/>
          <w:tab w:val="clear" w:pos="2381"/>
          <w:tab w:val="clear" w:pos="2948"/>
          <w:tab w:val="clear" w:pos="3515"/>
        </w:tabs>
        <w:spacing w:line="240" w:lineRule="auto"/>
        <w:rPr>
          <w:rFonts w:eastAsia="SimSun"/>
          <w:sz w:val="24"/>
          <w:szCs w:val="24"/>
        </w:rPr>
      </w:pPr>
      <w:r w:rsidRPr="009B423C">
        <w:rPr>
          <w:rFonts w:eastAsia="SimSun"/>
          <w:sz w:val="24"/>
          <w:szCs w:val="24"/>
        </w:rPr>
        <w:br w:type="page"/>
      </w:r>
    </w:p>
    <w:p w14:paraId="19199B11" w14:textId="2AA8EA9B" w:rsidR="000A3C4D" w:rsidRPr="009B423C" w:rsidRDefault="000A3C4D" w:rsidP="009B423C">
      <w:pPr>
        <w:pStyle w:val="ZZAnxheader"/>
        <w:rPr>
          <w:rFonts w:eastAsia="SimHei"/>
          <w:sz w:val="32"/>
          <w:szCs w:val="32"/>
          <w:lang w:eastAsia="zh-CN"/>
        </w:rPr>
      </w:pPr>
      <w:r w:rsidRPr="009B423C">
        <w:rPr>
          <w:rFonts w:eastAsia="SimHei"/>
          <w:sz w:val="32"/>
          <w:szCs w:val="32"/>
          <w:lang w:val="zh-CN" w:eastAsia="zh-CN"/>
        </w:rPr>
        <w:lastRenderedPageBreak/>
        <w:t>附件二</w:t>
      </w:r>
      <w:r w:rsidRPr="009B423C">
        <w:rPr>
          <w:rFonts w:eastAsia="SimHei"/>
          <w:b w:val="0"/>
          <w:bCs w:val="0"/>
          <w:sz w:val="32"/>
          <w:szCs w:val="32"/>
          <w:lang w:val="zh-CN" w:eastAsia="zh-CN"/>
        </w:rPr>
        <w:footnoteReference w:customMarkFollows="1" w:id="10"/>
        <w:t>*</w:t>
      </w:r>
    </w:p>
    <w:p w14:paraId="5F9C71C7" w14:textId="1844DA11" w:rsidR="008F2914" w:rsidRPr="009B423C" w:rsidRDefault="008F2914" w:rsidP="009B423C">
      <w:pPr>
        <w:pStyle w:val="ZZAnxtitle"/>
        <w:rPr>
          <w:rFonts w:eastAsia="SimHei"/>
          <w:sz w:val="32"/>
          <w:szCs w:val="32"/>
          <w:lang w:eastAsia="zh-CN"/>
        </w:rPr>
      </w:pPr>
      <w:r w:rsidRPr="009B423C">
        <w:rPr>
          <w:rFonts w:eastAsia="SimHei"/>
          <w:sz w:val="32"/>
          <w:szCs w:val="32"/>
          <w:lang w:val="zh-CN" w:eastAsia="zh-CN"/>
        </w:rPr>
        <w:t>联络小组向工作组提交的其他成果</w:t>
      </w:r>
    </w:p>
    <w:p w14:paraId="2DF4E3E0" w14:textId="35A6CCFB" w:rsidR="008B41A5" w:rsidRPr="009B423C" w:rsidRDefault="00003855">
      <w:pPr>
        <w:pStyle w:val="CH2"/>
        <w:numPr>
          <w:ilvl w:val="1"/>
          <w:numId w:val="36"/>
        </w:numPr>
        <w:tabs>
          <w:tab w:val="clear" w:pos="851"/>
          <w:tab w:val="clear" w:pos="1247"/>
          <w:tab w:val="clear" w:pos="1871"/>
          <w:tab w:val="clear" w:pos="2495"/>
          <w:tab w:val="clear" w:pos="3119"/>
          <w:tab w:val="clear" w:pos="3742"/>
          <w:tab w:val="clear" w:pos="4366"/>
          <w:tab w:val="clear" w:pos="4990"/>
        </w:tabs>
        <w:ind w:left="1276" w:right="0" w:hanging="709"/>
        <w:rPr>
          <w:rFonts w:eastAsia="SimHei"/>
          <w:sz w:val="28"/>
          <w:szCs w:val="28"/>
          <w:lang w:eastAsia="zh-CN"/>
        </w:rPr>
      </w:pPr>
      <w:r w:rsidRPr="009B423C">
        <w:rPr>
          <w:rFonts w:eastAsia="SimHei"/>
          <w:bCs/>
          <w:sz w:val="28"/>
          <w:szCs w:val="28"/>
          <w:lang w:val="zh-CN" w:eastAsia="zh-CN"/>
        </w:rPr>
        <w:t>关于</w:t>
      </w:r>
      <w:r w:rsidR="00C615B0">
        <w:rPr>
          <w:rFonts w:eastAsia="SimHei" w:hint="eastAsia"/>
          <w:bCs/>
          <w:sz w:val="28"/>
          <w:szCs w:val="28"/>
          <w:lang w:val="zh-CN" w:eastAsia="zh-CN"/>
        </w:rPr>
        <w:t>在</w:t>
      </w:r>
      <w:r w:rsidRPr="009B423C">
        <w:rPr>
          <w:rFonts w:eastAsia="SimHei"/>
          <w:bCs/>
          <w:sz w:val="28"/>
          <w:szCs w:val="28"/>
          <w:lang w:val="zh-CN" w:eastAsia="zh-CN"/>
        </w:rPr>
        <w:t>执行蒙特利尔议定书多边基金</w:t>
      </w:r>
      <w:r w:rsidR="00C615B0" w:rsidRPr="009B423C">
        <w:rPr>
          <w:rFonts w:eastAsia="SimHei"/>
          <w:bCs/>
          <w:sz w:val="28"/>
          <w:szCs w:val="28"/>
          <w:lang w:val="zh-CN" w:eastAsia="zh-CN"/>
        </w:rPr>
        <w:t>2027–2029</w:t>
      </w:r>
      <w:r w:rsidR="00C615B0" w:rsidRPr="009B423C">
        <w:rPr>
          <w:rFonts w:eastAsia="SimHei"/>
          <w:bCs/>
          <w:sz w:val="28"/>
          <w:szCs w:val="28"/>
          <w:lang w:val="zh-CN" w:eastAsia="zh-CN"/>
        </w:rPr>
        <w:t>年期间</w:t>
      </w:r>
      <w:r w:rsidRPr="009B423C">
        <w:rPr>
          <w:rFonts w:eastAsia="SimHei"/>
          <w:bCs/>
          <w:sz w:val="28"/>
          <w:szCs w:val="28"/>
          <w:lang w:val="zh-CN" w:eastAsia="zh-CN"/>
        </w:rPr>
        <w:t>充资工作</w:t>
      </w:r>
      <w:r w:rsidR="003D335C">
        <w:rPr>
          <w:rFonts w:eastAsia="SimHei"/>
          <w:bCs/>
          <w:sz w:val="28"/>
          <w:szCs w:val="28"/>
          <w:lang w:val="zh-CN" w:eastAsia="zh-CN"/>
        </w:rPr>
        <w:br/>
      </w:r>
      <w:r w:rsidRPr="009B423C">
        <w:rPr>
          <w:rFonts w:eastAsia="SimHei"/>
          <w:bCs/>
          <w:sz w:val="28"/>
          <w:szCs w:val="28"/>
          <w:lang w:val="zh-CN" w:eastAsia="zh-CN"/>
        </w:rPr>
        <w:t>补充报告中</w:t>
      </w:r>
      <w:r w:rsidR="00C615B0">
        <w:rPr>
          <w:rFonts w:eastAsia="SimHei" w:hint="eastAsia"/>
          <w:bCs/>
          <w:sz w:val="28"/>
          <w:szCs w:val="28"/>
          <w:lang w:val="zh-CN" w:eastAsia="zh-CN"/>
        </w:rPr>
        <w:t>进行</w:t>
      </w:r>
      <w:r w:rsidRPr="009B423C">
        <w:rPr>
          <w:rFonts w:eastAsia="SimHei"/>
          <w:bCs/>
          <w:sz w:val="28"/>
          <w:szCs w:val="28"/>
          <w:lang w:val="zh-CN" w:eastAsia="zh-CN"/>
        </w:rPr>
        <w:t>额外分析</w:t>
      </w:r>
      <w:r w:rsidR="00C615B0">
        <w:rPr>
          <w:rFonts w:eastAsia="SimHei" w:hint="eastAsia"/>
          <w:bCs/>
          <w:sz w:val="28"/>
          <w:szCs w:val="28"/>
          <w:lang w:val="zh-CN" w:eastAsia="zh-CN"/>
        </w:rPr>
        <w:t>的</w:t>
      </w:r>
      <w:r w:rsidRPr="009B423C">
        <w:rPr>
          <w:rFonts w:eastAsia="SimHei"/>
          <w:bCs/>
          <w:sz w:val="28"/>
          <w:szCs w:val="28"/>
          <w:lang w:val="zh-CN" w:eastAsia="zh-CN"/>
        </w:rPr>
        <w:t>建议</w:t>
      </w:r>
    </w:p>
    <w:p w14:paraId="26D6C85E" w14:textId="77777777" w:rsidR="008B41A5" w:rsidRPr="009B423C" w:rsidRDefault="008B41A5" w:rsidP="009B423C">
      <w:pPr>
        <w:pStyle w:val="CH3"/>
        <w:jc w:val="both"/>
        <w:rPr>
          <w:rFonts w:eastAsia="SimHei"/>
          <w:sz w:val="24"/>
          <w:szCs w:val="24"/>
          <w:lang w:eastAsia="zh-CN"/>
        </w:rPr>
      </w:pPr>
      <w:r w:rsidRPr="009B423C">
        <w:rPr>
          <w:lang w:val="zh-CN" w:eastAsia="zh-CN"/>
        </w:rPr>
        <w:tab/>
      </w:r>
      <w:r w:rsidRPr="009B423C">
        <w:rPr>
          <w:rFonts w:eastAsia="SimHei"/>
          <w:lang w:val="zh-CN" w:eastAsia="zh-CN"/>
        </w:rPr>
        <w:tab/>
      </w:r>
      <w:r w:rsidRPr="009B423C">
        <w:rPr>
          <w:rFonts w:eastAsia="SimHei"/>
          <w:bCs/>
          <w:sz w:val="24"/>
          <w:szCs w:val="24"/>
          <w:lang w:val="zh-CN" w:eastAsia="zh-CN"/>
        </w:rPr>
        <w:t>联络小组的成果</w:t>
      </w:r>
    </w:p>
    <w:p w14:paraId="18D17646" w14:textId="6643E6F5" w:rsidR="008B41A5" w:rsidRPr="009B423C" w:rsidRDefault="00003855" w:rsidP="009B423C">
      <w:pPr>
        <w:pStyle w:val="CH5"/>
        <w:jc w:val="both"/>
        <w:rPr>
          <w:rFonts w:eastAsia="SimHei"/>
          <w:i/>
          <w:iCs/>
          <w:sz w:val="24"/>
          <w:szCs w:val="24"/>
          <w:lang w:eastAsia="zh-CN"/>
        </w:rPr>
      </w:pPr>
      <w:r w:rsidRPr="009B423C">
        <w:rPr>
          <w:rFonts w:eastAsia="SimHei"/>
          <w:sz w:val="24"/>
          <w:szCs w:val="24"/>
          <w:lang w:val="zh-CN" w:eastAsia="zh-CN"/>
        </w:rPr>
        <w:tab/>
      </w:r>
      <w:r w:rsidRPr="009B423C">
        <w:rPr>
          <w:rFonts w:eastAsia="SimHei"/>
          <w:sz w:val="24"/>
          <w:szCs w:val="24"/>
          <w:lang w:val="zh-CN" w:eastAsia="zh-CN"/>
        </w:rPr>
        <w:tab/>
      </w:r>
      <w:r w:rsidRPr="009B423C">
        <w:rPr>
          <w:rFonts w:eastAsia="SimHei"/>
          <w:bCs/>
          <w:sz w:val="24"/>
          <w:szCs w:val="24"/>
          <w:lang w:val="zh-CN" w:eastAsia="zh-CN"/>
        </w:rPr>
        <w:t>低消费量国家</w:t>
      </w:r>
      <w:r w:rsidR="00C615B0">
        <w:rPr>
          <w:rFonts w:eastAsia="SimHei" w:hint="eastAsia"/>
          <w:bCs/>
          <w:sz w:val="24"/>
          <w:szCs w:val="24"/>
          <w:lang w:val="zh-CN" w:eastAsia="zh-CN"/>
        </w:rPr>
        <w:t>和</w:t>
      </w:r>
      <w:r w:rsidRPr="009B423C">
        <w:rPr>
          <w:rFonts w:eastAsia="SimHei"/>
          <w:bCs/>
          <w:sz w:val="24"/>
          <w:szCs w:val="24"/>
          <w:lang w:val="zh-CN" w:eastAsia="zh-CN"/>
        </w:rPr>
        <w:t>极低消费量国家</w:t>
      </w:r>
    </w:p>
    <w:p w14:paraId="0E9788B9" w14:textId="11358AB2" w:rsidR="008B41A5" w:rsidRPr="009B423C" w:rsidRDefault="008B41A5" w:rsidP="009B423C">
      <w:pPr>
        <w:pStyle w:val="NormalNonumber"/>
        <w:jc w:val="both"/>
        <w:rPr>
          <w:rFonts w:eastAsia="SimSun"/>
          <w:sz w:val="24"/>
          <w:szCs w:val="24"/>
          <w:lang w:eastAsia="zh-CN"/>
        </w:rPr>
      </w:pPr>
      <w:r w:rsidRPr="009B423C">
        <w:rPr>
          <w:rFonts w:eastAsia="SimSun"/>
          <w:sz w:val="24"/>
          <w:szCs w:val="24"/>
          <w:lang w:val="zh-CN" w:eastAsia="zh-CN"/>
        </w:rPr>
        <w:t>回顾第</w:t>
      </w:r>
      <w:r w:rsidRPr="009B423C">
        <w:rPr>
          <w:rFonts w:eastAsia="SimSun"/>
          <w:sz w:val="24"/>
          <w:szCs w:val="24"/>
          <w:lang w:val="zh-CN" w:eastAsia="zh-CN"/>
        </w:rPr>
        <w:t>XXXVII/6</w:t>
      </w:r>
      <w:r w:rsidRPr="009B423C">
        <w:rPr>
          <w:rFonts w:eastAsia="SimSun"/>
          <w:sz w:val="24"/>
          <w:szCs w:val="24"/>
          <w:lang w:val="zh-CN" w:eastAsia="zh-CN"/>
        </w:rPr>
        <w:t>号决定中的职权范围</w:t>
      </w:r>
      <w:r w:rsidR="00C615B0">
        <w:rPr>
          <w:rFonts w:eastAsia="SimSun" w:hint="eastAsia"/>
          <w:sz w:val="24"/>
          <w:szCs w:val="24"/>
          <w:lang w:val="zh-CN" w:eastAsia="zh-CN"/>
        </w:rPr>
        <w:t>，</w:t>
      </w:r>
      <w:r w:rsidRPr="009B423C">
        <w:rPr>
          <w:rFonts w:eastAsia="SimSun"/>
          <w:sz w:val="24"/>
          <w:szCs w:val="24"/>
          <w:lang w:val="zh-CN" w:eastAsia="zh-CN"/>
        </w:rPr>
        <w:t>请充资问题工作队与多边基金秘书处协商，结合低消费量国家和极低消费量国家吸收增加资金的能力，在第</w:t>
      </w:r>
      <w:r w:rsidRPr="009B423C">
        <w:rPr>
          <w:rFonts w:eastAsia="SimSun"/>
          <w:sz w:val="24"/>
          <w:szCs w:val="24"/>
          <w:lang w:val="zh-CN" w:eastAsia="zh-CN"/>
        </w:rPr>
        <w:t>3</w:t>
      </w:r>
      <w:r w:rsidRPr="009B423C">
        <w:rPr>
          <w:rFonts w:eastAsia="SimSun"/>
          <w:sz w:val="24"/>
          <w:szCs w:val="24"/>
          <w:lang w:val="zh-CN" w:eastAsia="zh-CN"/>
        </w:rPr>
        <w:t>章资源分配表中提供一个这些国家基加利执行计划第二阶段供资估计数可能增加的高端设想方案</w:t>
      </w:r>
      <w:r w:rsidR="00C615B0">
        <w:rPr>
          <w:rFonts w:eastAsia="SimSun" w:hint="eastAsia"/>
          <w:sz w:val="24"/>
          <w:szCs w:val="24"/>
          <w:lang w:val="zh-CN" w:eastAsia="zh-CN"/>
        </w:rPr>
        <w:t>。</w:t>
      </w:r>
    </w:p>
    <w:p w14:paraId="6664E04B" w14:textId="002E846D" w:rsidR="008B41A5" w:rsidRPr="009B423C" w:rsidRDefault="00003855" w:rsidP="009B423C">
      <w:pPr>
        <w:pStyle w:val="CH4"/>
        <w:jc w:val="both"/>
        <w:rPr>
          <w:rFonts w:eastAsia="SimHei"/>
          <w:color w:val="000000" w:themeColor="text1"/>
          <w:sz w:val="24"/>
          <w:szCs w:val="24"/>
        </w:rPr>
      </w:pPr>
      <w:r w:rsidRPr="009B423C">
        <w:rPr>
          <w:rFonts w:eastAsia="SimSun"/>
          <w:sz w:val="24"/>
          <w:szCs w:val="24"/>
          <w:lang w:val="zh-CN" w:eastAsia="zh-CN"/>
        </w:rPr>
        <w:tab/>
      </w:r>
      <w:r w:rsidRPr="009B423C">
        <w:rPr>
          <w:rFonts w:eastAsia="SimHei"/>
          <w:sz w:val="24"/>
          <w:szCs w:val="24"/>
          <w:lang w:val="zh-CN" w:eastAsia="zh-CN"/>
        </w:rPr>
        <w:tab/>
      </w:r>
      <w:proofErr w:type="spellStart"/>
      <w:r w:rsidRPr="009B423C">
        <w:rPr>
          <w:rFonts w:eastAsia="SimHei"/>
          <w:bCs/>
          <w:sz w:val="24"/>
          <w:szCs w:val="24"/>
          <w:lang w:val="zh-CN"/>
        </w:rPr>
        <w:t>设想方案和方法问题</w:t>
      </w:r>
      <w:proofErr w:type="spellEnd"/>
    </w:p>
    <w:p w14:paraId="46FD9B33" w14:textId="5D02DA21" w:rsidR="008B41A5" w:rsidRPr="009B423C" w:rsidRDefault="008B41A5">
      <w:pPr>
        <w:pStyle w:val="NormalNonumber"/>
        <w:numPr>
          <w:ilvl w:val="0"/>
          <w:numId w:val="23"/>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9B423C">
        <w:rPr>
          <w:rFonts w:eastAsia="SimSun"/>
          <w:sz w:val="24"/>
          <w:szCs w:val="24"/>
          <w:lang w:val="zh-CN" w:eastAsia="zh-CN"/>
        </w:rPr>
        <w:t>在估计含氢氯氟烃逐步淘汰管理计划和基加利执行计划的资金需求时，根据三种设想方案应用成本效益因素：一是基于历史成本效益的设想方案；二是基于过去</w:t>
      </w:r>
      <w:r w:rsidRPr="009B423C">
        <w:rPr>
          <w:rFonts w:eastAsia="SimSun"/>
          <w:sz w:val="24"/>
          <w:szCs w:val="24"/>
          <w:lang w:val="zh-CN" w:eastAsia="zh-CN"/>
        </w:rPr>
        <w:t>6</w:t>
      </w:r>
      <w:r w:rsidRPr="009B423C">
        <w:rPr>
          <w:rFonts w:eastAsia="SimSun"/>
          <w:sz w:val="24"/>
          <w:szCs w:val="24"/>
          <w:lang w:val="zh-CN" w:eastAsia="zh-CN"/>
        </w:rPr>
        <w:t>年每个第</w:t>
      </w:r>
      <w:r w:rsidRPr="009B423C">
        <w:rPr>
          <w:rFonts w:eastAsia="SimSun"/>
          <w:sz w:val="24"/>
          <w:szCs w:val="24"/>
          <w:lang w:val="zh-CN" w:eastAsia="zh-CN"/>
        </w:rPr>
        <w:t>5</w:t>
      </w:r>
      <w:r w:rsidRPr="009B423C">
        <w:rPr>
          <w:rFonts w:eastAsia="SimSun"/>
          <w:sz w:val="24"/>
          <w:szCs w:val="24"/>
          <w:lang w:val="zh-CN" w:eastAsia="zh-CN"/>
        </w:rPr>
        <w:t>条缔约方成本效益因素的设想方案；三是基于过去</w:t>
      </w:r>
      <w:r w:rsidRPr="009B423C">
        <w:rPr>
          <w:rFonts w:eastAsia="SimSun"/>
          <w:sz w:val="24"/>
          <w:szCs w:val="24"/>
          <w:lang w:val="zh-CN" w:eastAsia="zh-CN"/>
        </w:rPr>
        <w:t>6</w:t>
      </w:r>
      <w:r w:rsidRPr="009B423C">
        <w:rPr>
          <w:rFonts w:eastAsia="SimSun"/>
          <w:sz w:val="24"/>
          <w:szCs w:val="24"/>
          <w:lang w:val="zh-CN" w:eastAsia="zh-CN"/>
        </w:rPr>
        <w:t>年每个第</w:t>
      </w:r>
      <w:r w:rsidRPr="009B423C">
        <w:rPr>
          <w:rFonts w:eastAsia="SimSun"/>
          <w:sz w:val="24"/>
          <w:szCs w:val="24"/>
          <w:lang w:val="zh-CN" w:eastAsia="zh-CN"/>
        </w:rPr>
        <w:t>5</w:t>
      </w:r>
      <w:r w:rsidRPr="009B423C">
        <w:rPr>
          <w:rFonts w:eastAsia="SimSun"/>
          <w:sz w:val="24"/>
          <w:szCs w:val="24"/>
          <w:lang w:val="zh-CN" w:eastAsia="zh-CN"/>
        </w:rPr>
        <w:t>条缔约方平均供资水平的设想方案</w:t>
      </w:r>
      <w:r w:rsidR="00C615B0">
        <w:rPr>
          <w:rFonts w:eastAsia="SimSun" w:hint="eastAsia"/>
          <w:sz w:val="24"/>
          <w:szCs w:val="24"/>
          <w:lang w:val="zh-CN" w:eastAsia="zh-CN"/>
        </w:rPr>
        <w:t>。</w:t>
      </w:r>
    </w:p>
    <w:p w14:paraId="0A37DA55" w14:textId="77777777" w:rsidR="008B41A5" w:rsidRPr="009B423C" w:rsidRDefault="008B41A5">
      <w:pPr>
        <w:pStyle w:val="NormalNonumber"/>
        <w:numPr>
          <w:ilvl w:val="0"/>
          <w:numId w:val="23"/>
        </w:numPr>
        <w:tabs>
          <w:tab w:val="clear" w:pos="1247"/>
          <w:tab w:val="clear" w:pos="1871"/>
          <w:tab w:val="clear" w:pos="2495"/>
          <w:tab w:val="clear" w:pos="3119"/>
          <w:tab w:val="clear" w:pos="3742"/>
          <w:tab w:val="clear" w:pos="4366"/>
          <w:tab w:val="clear" w:pos="4990"/>
        </w:tabs>
        <w:ind w:left="1871" w:hanging="624"/>
        <w:jc w:val="both"/>
        <w:rPr>
          <w:rFonts w:eastAsia="SimSun"/>
          <w:sz w:val="24"/>
          <w:szCs w:val="24"/>
          <w:lang w:eastAsia="zh-CN"/>
        </w:rPr>
      </w:pPr>
      <w:r w:rsidRPr="009B423C">
        <w:rPr>
          <w:rFonts w:eastAsia="SimSun"/>
          <w:sz w:val="24"/>
          <w:szCs w:val="24"/>
          <w:lang w:val="zh-CN" w:eastAsia="zh-CN"/>
        </w:rPr>
        <w:t>请评估小组提出修订后的供资范围，并附上评估以下方面影响的替代性设想方案：</w:t>
      </w:r>
    </w:p>
    <w:p w14:paraId="1BBFAA73" w14:textId="56003120" w:rsidR="008B41A5" w:rsidRPr="009B423C" w:rsidRDefault="008B41A5">
      <w:pPr>
        <w:pStyle w:val="NormalNonumber"/>
        <w:numPr>
          <w:ilvl w:val="0"/>
          <w:numId w:val="24"/>
        </w:numPr>
        <w:tabs>
          <w:tab w:val="clear" w:pos="1247"/>
          <w:tab w:val="clear" w:pos="1871"/>
          <w:tab w:val="clear" w:pos="2495"/>
          <w:tab w:val="clear" w:pos="3119"/>
          <w:tab w:val="clear" w:pos="3742"/>
          <w:tab w:val="clear" w:pos="4366"/>
          <w:tab w:val="clear" w:pos="4990"/>
        </w:tabs>
        <w:ind w:left="2552" w:hanging="624"/>
        <w:jc w:val="both"/>
        <w:rPr>
          <w:rFonts w:eastAsia="SimSun"/>
          <w:sz w:val="24"/>
          <w:szCs w:val="24"/>
          <w:lang w:eastAsia="zh-CN"/>
        </w:rPr>
      </w:pPr>
      <w:r w:rsidRPr="009B423C">
        <w:rPr>
          <w:rFonts w:eastAsia="SimSun"/>
          <w:sz w:val="24"/>
          <w:szCs w:val="24"/>
          <w:lang w:val="zh-CN" w:eastAsia="zh-CN"/>
        </w:rPr>
        <w:t>根据最新报告的含氢氯氟烃和氢氟碳化物消费数据制定的低端设想方案，以及根据已</w:t>
      </w:r>
      <w:r w:rsidR="00C615B0">
        <w:rPr>
          <w:rFonts w:eastAsia="SimSun" w:hint="eastAsia"/>
          <w:sz w:val="24"/>
          <w:szCs w:val="24"/>
          <w:lang w:val="zh-CN" w:eastAsia="zh-CN"/>
        </w:rPr>
        <w:t>确</w:t>
      </w:r>
      <w:r w:rsidRPr="009B423C">
        <w:rPr>
          <w:rFonts w:eastAsia="SimSun"/>
          <w:sz w:val="24"/>
          <w:szCs w:val="24"/>
          <w:lang w:val="zh-CN" w:eastAsia="zh-CN"/>
        </w:rPr>
        <w:t>定的氢氟碳化物基线和含氢氯氟烃剩余符合资格消费制定的高端设想方案</w:t>
      </w:r>
      <w:r w:rsidR="00C615B0">
        <w:rPr>
          <w:rFonts w:eastAsia="SimSun" w:hint="eastAsia"/>
          <w:sz w:val="24"/>
          <w:szCs w:val="24"/>
          <w:lang w:val="zh-CN" w:eastAsia="zh-CN"/>
        </w:rPr>
        <w:t>；</w:t>
      </w:r>
    </w:p>
    <w:p w14:paraId="22FAC0C4" w14:textId="24E82187" w:rsidR="008B41A5" w:rsidRPr="009B423C" w:rsidRDefault="008B41A5">
      <w:pPr>
        <w:pStyle w:val="NormalNonumber"/>
        <w:numPr>
          <w:ilvl w:val="0"/>
          <w:numId w:val="24"/>
        </w:numPr>
        <w:tabs>
          <w:tab w:val="clear" w:pos="1247"/>
          <w:tab w:val="clear" w:pos="1871"/>
          <w:tab w:val="clear" w:pos="2495"/>
          <w:tab w:val="clear" w:pos="3119"/>
          <w:tab w:val="clear" w:pos="3742"/>
          <w:tab w:val="clear" w:pos="4366"/>
          <w:tab w:val="clear" w:pos="4990"/>
        </w:tabs>
        <w:ind w:left="2552" w:hanging="624"/>
        <w:jc w:val="both"/>
        <w:rPr>
          <w:rFonts w:eastAsia="SimSun"/>
          <w:sz w:val="24"/>
          <w:szCs w:val="24"/>
          <w:lang w:eastAsia="zh-CN"/>
        </w:rPr>
      </w:pPr>
      <w:r w:rsidRPr="009B423C">
        <w:rPr>
          <w:rFonts w:eastAsia="SimSun"/>
          <w:sz w:val="24"/>
          <w:szCs w:val="24"/>
          <w:lang w:val="zh-CN" w:eastAsia="zh-CN"/>
        </w:rPr>
        <w:t>现实的项目执行时间表，例如修改基加利执行计划第二阶段的资源分配时间表</w:t>
      </w:r>
      <w:r w:rsidRPr="009B423C">
        <w:rPr>
          <w:rFonts w:eastAsia="SimSun"/>
          <w:sz w:val="24"/>
          <w:szCs w:val="24"/>
          <w:lang w:val="zh-CN" w:eastAsia="zh-CN"/>
        </w:rPr>
        <w:t>A</w:t>
      </w:r>
      <w:r w:rsidRPr="009B423C">
        <w:rPr>
          <w:rFonts w:eastAsia="SimSun"/>
          <w:sz w:val="24"/>
          <w:szCs w:val="24"/>
          <w:lang w:val="zh-CN" w:eastAsia="zh-CN"/>
        </w:rPr>
        <w:t>，并考虑到剩余的非基加利修正缔约方的批准率</w:t>
      </w:r>
      <w:r w:rsidR="00F7677C">
        <w:rPr>
          <w:rFonts w:eastAsia="SimSun" w:hint="eastAsia"/>
          <w:sz w:val="24"/>
          <w:szCs w:val="24"/>
          <w:lang w:val="zh-CN" w:eastAsia="zh-CN"/>
        </w:rPr>
        <w:t>；</w:t>
      </w:r>
    </w:p>
    <w:p w14:paraId="08C1E185" w14:textId="4D56DB45" w:rsidR="008B41A5" w:rsidRPr="009B423C" w:rsidRDefault="008B41A5">
      <w:pPr>
        <w:pStyle w:val="NormalNonumber"/>
        <w:numPr>
          <w:ilvl w:val="0"/>
          <w:numId w:val="24"/>
        </w:numPr>
        <w:tabs>
          <w:tab w:val="clear" w:pos="1247"/>
          <w:tab w:val="clear" w:pos="1871"/>
          <w:tab w:val="clear" w:pos="2495"/>
          <w:tab w:val="clear" w:pos="3119"/>
          <w:tab w:val="clear" w:pos="3742"/>
          <w:tab w:val="clear" w:pos="4366"/>
          <w:tab w:val="clear" w:pos="4990"/>
        </w:tabs>
        <w:ind w:left="2552" w:hanging="624"/>
        <w:jc w:val="both"/>
        <w:rPr>
          <w:rFonts w:eastAsia="SimSun"/>
          <w:sz w:val="24"/>
          <w:szCs w:val="24"/>
          <w:lang w:eastAsia="zh-CN"/>
        </w:rPr>
      </w:pPr>
      <w:r w:rsidRPr="009B423C">
        <w:rPr>
          <w:rFonts w:eastAsia="SimSun"/>
          <w:sz w:val="24"/>
          <w:szCs w:val="24"/>
          <w:lang w:val="zh-CN" w:eastAsia="zh-CN"/>
        </w:rPr>
        <w:t>考虑到已核准多边基金项目的持续业务费用、增量业务费用的三氟甲烷减排设想方案</w:t>
      </w:r>
      <w:r w:rsidR="00F7677C">
        <w:rPr>
          <w:rFonts w:eastAsia="SimSun" w:hint="eastAsia"/>
          <w:sz w:val="24"/>
          <w:szCs w:val="24"/>
          <w:lang w:val="zh-CN" w:eastAsia="zh-CN"/>
        </w:rPr>
        <w:t>；</w:t>
      </w:r>
    </w:p>
    <w:p w14:paraId="10F55548" w14:textId="6A0A6B2E" w:rsidR="008B41A5" w:rsidRPr="009B423C" w:rsidRDefault="008B41A5">
      <w:pPr>
        <w:pStyle w:val="NormalNonumber"/>
        <w:numPr>
          <w:ilvl w:val="0"/>
          <w:numId w:val="24"/>
        </w:numPr>
        <w:tabs>
          <w:tab w:val="clear" w:pos="1247"/>
          <w:tab w:val="clear" w:pos="1871"/>
          <w:tab w:val="clear" w:pos="2495"/>
          <w:tab w:val="clear" w:pos="3119"/>
          <w:tab w:val="clear" w:pos="3742"/>
          <w:tab w:val="clear" w:pos="4366"/>
          <w:tab w:val="clear" w:pos="4990"/>
        </w:tabs>
        <w:ind w:left="2552" w:hanging="624"/>
        <w:jc w:val="both"/>
        <w:rPr>
          <w:rFonts w:eastAsia="SimSun"/>
          <w:sz w:val="24"/>
          <w:szCs w:val="24"/>
          <w:lang w:eastAsia="zh-CN"/>
        </w:rPr>
      </w:pPr>
      <w:r w:rsidRPr="009B423C">
        <w:rPr>
          <w:rFonts w:eastAsia="SimSun"/>
          <w:sz w:val="24"/>
          <w:szCs w:val="24"/>
          <w:lang w:val="zh-CN" w:eastAsia="zh-CN"/>
        </w:rPr>
        <w:t>基于多边基金业务计划中所列项目的低端能效设想方案（第</w:t>
      </w:r>
      <w:r w:rsidRPr="009B423C">
        <w:rPr>
          <w:rFonts w:eastAsia="SimSun"/>
          <w:sz w:val="24"/>
          <w:szCs w:val="24"/>
          <w:lang w:val="zh-CN" w:eastAsia="zh-CN"/>
        </w:rPr>
        <w:t>94/60</w:t>
      </w:r>
      <w:r w:rsidRPr="009B423C">
        <w:rPr>
          <w:rFonts w:eastAsia="SimSun"/>
          <w:sz w:val="24"/>
          <w:szCs w:val="24"/>
          <w:lang w:val="zh-CN" w:eastAsia="zh-CN"/>
        </w:rPr>
        <w:t>号决定），以及反映在下一个三年期内逐步淘汰氢氟碳化物的背景下，充分利用第</w:t>
      </w:r>
      <w:r w:rsidRPr="009B423C">
        <w:rPr>
          <w:rFonts w:eastAsia="SimSun"/>
          <w:sz w:val="24"/>
          <w:szCs w:val="24"/>
          <w:lang w:val="zh-CN" w:eastAsia="zh-CN"/>
        </w:rPr>
        <w:t>94/60</w:t>
      </w:r>
      <w:r w:rsidRPr="009B423C">
        <w:rPr>
          <w:rFonts w:eastAsia="SimSun"/>
          <w:sz w:val="24"/>
          <w:szCs w:val="24"/>
          <w:lang w:val="zh-CN" w:eastAsia="zh-CN"/>
        </w:rPr>
        <w:t>号决定供资窗口剩余资金以促进能效提升的高端设想方案</w:t>
      </w:r>
      <w:r w:rsidR="00F7677C">
        <w:rPr>
          <w:rFonts w:eastAsia="SimSun" w:hint="eastAsia"/>
          <w:sz w:val="24"/>
          <w:szCs w:val="24"/>
          <w:lang w:val="zh-CN" w:eastAsia="zh-CN"/>
        </w:rPr>
        <w:t>；</w:t>
      </w:r>
    </w:p>
    <w:p w14:paraId="48FE5125" w14:textId="4D0B074B" w:rsidR="008B41A5" w:rsidRPr="009B423C" w:rsidRDefault="00AB4CB9">
      <w:pPr>
        <w:pStyle w:val="NormalNonumber"/>
        <w:numPr>
          <w:ilvl w:val="0"/>
          <w:numId w:val="24"/>
        </w:numPr>
        <w:tabs>
          <w:tab w:val="clear" w:pos="1247"/>
          <w:tab w:val="clear" w:pos="1871"/>
          <w:tab w:val="clear" w:pos="2495"/>
          <w:tab w:val="clear" w:pos="3119"/>
          <w:tab w:val="clear" w:pos="3742"/>
          <w:tab w:val="clear" w:pos="4366"/>
          <w:tab w:val="clear" w:pos="4990"/>
        </w:tabs>
        <w:ind w:left="2552" w:hanging="624"/>
        <w:jc w:val="both"/>
        <w:rPr>
          <w:rFonts w:eastAsia="SimSun"/>
          <w:sz w:val="24"/>
          <w:szCs w:val="24"/>
          <w:lang w:eastAsia="zh-CN"/>
        </w:rPr>
      </w:pPr>
      <w:r w:rsidRPr="009236DA">
        <w:rPr>
          <w:rFonts w:eastAsia="SimSun"/>
          <w:sz w:val="24"/>
          <w:szCs w:val="24"/>
          <w:lang w:val="zh-CN" w:eastAsia="zh-CN"/>
        </w:rPr>
        <w:t>充分反映为满足第</w:t>
      </w:r>
      <w:r w:rsidRPr="009236DA">
        <w:rPr>
          <w:rFonts w:eastAsia="SimSun"/>
          <w:sz w:val="24"/>
          <w:szCs w:val="24"/>
          <w:lang w:val="zh-CN" w:eastAsia="zh-CN"/>
        </w:rPr>
        <w:t>5</w:t>
      </w:r>
      <w:r w:rsidRPr="009236DA">
        <w:rPr>
          <w:rFonts w:eastAsia="SimSun"/>
          <w:sz w:val="24"/>
          <w:szCs w:val="24"/>
          <w:lang w:val="zh-CN" w:eastAsia="zh-CN"/>
        </w:rPr>
        <w:t>条缔约方遵约需求而在不同</w:t>
      </w:r>
      <w:r w:rsidR="007959C3">
        <w:rPr>
          <w:rFonts w:eastAsia="SimSun" w:hint="eastAsia"/>
          <w:sz w:val="24"/>
          <w:szCs w:val="24"/>
          <w:lang w:val="zh-CN" w:eastAsia="zh-CN"/>
        </w:rPr>
        <w:t>的</w:t>
      </w:r>
      <w:r w:rsidRPr="009236DA">
        <w:rPr>
          <w:rFonts w:eastAsia="SimSun"/>
          <w:sz w:val="24"/>
          <w:szCs w:val="24"/>
          <w:lang w:val="zh-CN" w:eastAsia="zh-CN"/>
        </w:rPr>
        <w:t>国家消费水平之间进行的资金分配</w:t>
      </w:r>
      <w:r w:rsidR="00F7677C">
        <w:rPr>
          <w:rFonts w:eastAsia="SimSun" w:hint="eastAsia"/>
          <w:sz w:val="24"/>
          <w:szCs w:val="24"/>
          <w:lang w:val="zh-CN" w:eastAsia="zh-CN"/>
        </w:rPr>
        <w:t>。</w:t>
      </w:r>
    </w:p>
    <w:p w14:paraId="5F7BE3D0" w14:textId="57DF480F" w:rsidR="008B41A5" w:rsidRPr="009B423C" w:rsidRDefault="004D03BC" w:rsidP="009B423C">
      <w:pPr>
        <w:pStyle w:val="CH4"/>
        <w:jc w:val="both"/>
        <w:rPr>
          <w:rFonts w:eastAsia="SimHei"/>
          <w:b w:val="0"/>
          <w:bCs/>
          <w:color w:val="000000" w:themeColor="text1"/>
          <w:sz w:val="24"/>
          <w:szCs w:val="24"/>
          <w:lang w:eastAsia="zh-CN"/>
        </w:rPr>
      </w:pPr>
      <w:r w:rsidRPr="009B423C">
        <w:rPr>
          <w:rFonts w:eastAsia="SimSun"/>
          <w:sz w:val="24"/>
          <w:szCs w:val="24"/>
          <w:lang w:val="zh-CN" w:eastAsia="zh-CN"/>
        </w:rPr>
        <w:tab/>
      </w:r>
      <w:r w:rsidRPr="009B423C">
        <w:rPr>
          <w:rFonts w:eastAsia="SimHei"/>
          <w:sz w:val="24"/>
          <w:szCs w:val="24"/>
          <w:lang w:val="zh-CN" w:eastAsia="zh-CN"/>
        </w:rPr>
        <w:tab/>
      </w:r>
      <w:r w:rsidRPr="009B423C">
        <w:rPr>
          <w:rFonts w:eastAsia="SimHei"/>
          <w:bCs/>
          <w:sz w:val="24"/>
          <w:szCs w:val="24"/>
          <w:lang w:val="zh-CN" w:eastAsia="zh-CN"/>
        </w:rPr>
        <w:t>执行委员会第九十八次会议的决定</w:t>
      </w:r>
    </w:p>
    <w:p w14:paraId="2EDF8791" w14:textId="3B23AB14" w:rsidR="008B41A5" w:rsidRPr="009B423C" w:rsidRDefault="008B41A5" w:rsidP="009B423C">
      <w:pPr>
        <w:pStyle w:val="NormalNonumber"/>
        <w:jc w:val="both"/>
        <w:rPr>
          <w:rFonts w:eastAsia="SimSun"/>
          <w:sz w:val="24"/>
          <w:szCs w:val="24"/>
          <w:lang w:eastAsia="zh-CN"/>
        </w:rPr>
      </w:pPr>
      <w:r w:rsidRPr="009B423C">
        <w:rPr>
          <w:rFonts w:eastAsia="SimSun"/>
          <w:sz w:val="24"/>
          <w:szCs w:val="24"/>
          <w:lang w:val="zh-CN" w:eastAsia="zh-CN"/>
        </w:rPr>
        <w:t>根据执行委员会第九十八次会议作出的相关决定，调整</w:t>
      </w:r>
      <w:r w:rsidR="006E56BB">
        <w:rPr>
          <w:rFonts w:eastAsia="SimSun" w:hint="eastAsia"/>
          <w:sz w:val="24"/>
          <w:szCs w:val="24"/>
          <w:lang w:val="zh-CN" w:eastAsia="zh-CN"/>
        </w:rPr>
        <w:t>供资</w:t>
      </w:r>
      <w:r w:rsidRPr="009B423C">
        <w:rPr>
          <w:rFonts w:eastAsia="SimSun"/>
          <w:sz w:val="24"/>
          <w:szCs w:val="24"/>
          <w:lang w:val="zh-CN" w:eastAsia="zh-CN"/>
        </w:rPr>
        <w:t>需求的所有要素，并进行任何额外的必要更新，以准确反映已核准的含氢氯氟烃逐步淘汰管理计划和基加利执行计划中的数额</w:t>
      </w:r>
      <w:r w:rsidR="00F7677C">
        <w:rPr>
          <w:rFonts w:eastAsia="SimSun" w:hint="eastAsia"/>
          <w:sz w:val="24"/>
          <w:szCs w:val="24"/>
          <w:lang w:val="zh-CN" w:eastAsia="zh-CN"/>
        </w:rPr>
        <w:t>。</w:t>
      </w:r>
    </w:p>
    <w:p w14:paraId="506099D2" w14:textId="3E84A5BE" w:rsidR="008B41A5" w:rsidRPr="009B423C" w:rsidRDefault="004D03BC" w:rsidP="009B423C">
      <w:pPr>
        <w:pStyle w:val="CH4"/>
        <w:jc w:val="both"/>
        <w:rPr>
          <w:rFonts w:ascii="SimHei" w:eastAsia="SimHei" w:hAnsi="SimHei"/>
          <w:b w:val="0"/>
          <w:bCs/>
          <w:color w:val="000000" w:themeColor="text1"/>
          <w:sz w:val="24"/>
          <w:szCs w:val="24"/>
          <w:lang w:eastAsia="zh-CN"/>
        </w:rPr>
      </w:pPr>
      <w:r w:rsidRPr="009B423C">
        <w:rPr>
          <w:rFonts w:eastAsia="SimSun"/>
          <w:sz w:val="24"/>
          <w:szCs w:val="24"/>
          <w:lang w:val="zh-CN" w:eastAsia="zh-CN"/>
        </w:rPr>
        <w:lastRenderedPageBreak/>
        <w:tab/>
      </w:r>
      <w:r w:rsidRPr="009B423C">
        <w:rPr>
          <w:rFonts w:eastAsia="SimSun"/>
          <w:sz w:val="24"/>
          <w:szCs w:val="24"/>
          <w:lang w:val="zh-CN" w:eastAsia="zh-CN"/>
        </w:rPr>
        <w:tab/>
      </w:r>
      <w:r w:rsidRPr="009B423C">
        <w:rPr>
          <w:rFonts w:ascii="SimHei" w:eastAsia="SimHei" w:hAnsi="SimHei"/>
          <w:bCs/>
          <w:sz w:val="24"/>
          <w:szCs w:val="24"/>
          <w:lang w:val="zh-CN" w:eastAsia="zh-CN"/>
        </w:rPr>
        <w:t>制冷剂生命周期管理</w:t>
      </w:r>
    </w:p>
    <w:p w14:paraId="24F9E675" w14:textId="5BA556EA" w:rsidR="008B41A5" w:rsidRPr="009B423C" w:rsidRDefault="008B41A5" w:rsidP="009B423C">
      <w:pPr>
        <w:pStyle w:val="NormalNonumber"/>
        <w:jc w:val="both"/>
        <w:rPr>
          <w:rFonts w:eastAsia="SimSun"/>
          <w:b/>
          <w:bCs/>
          <w:sz w:val="24"/>
          <w:szCs w:val="24"/>
          <w:lang w:val="en-US" w:eastAsia="zh-CN"/>
        </w:rPr>
      </w:pPr>
      <w:r w:rsidRPr="009B423C">
        <w:rPr>
          <w:rFonts w:eastAsia="SimSun"/>
          <w:sz w:val="24"/>
          <w:szCs w:val="24"/>
          <w:lang w:val="zh-CN" w:eastAsia="zh-CN"/>
        </w:rPr>
        <w:t>纳入将在执行委员会第一百次会议上审议的</w:t>
      </w:r>
      <w:r w:rsidRPr="009B423C">
        <w:rPr>
          <w:rFonts w:eastAsia="SimSun"/>
          <w:sz w:val="24"/>
          <w:szCs w:val="24"/>
          <w:lang w:val="zh-CN" w:eastAsia="zh-CN"/>
        </w:rPr>
        <w:t>2027–2029</w:t>
      </w:r>
      <w:r w:rsidRPr="009B423C">
        <w:rPr>
          <w:rFonts w:eastAsia="SimSun"/>
          <w:sz w:val="24"/>
          <w:szCs w:val="24"/>
          <w:lang w:val="zh-CN" w:eastAsia="zh-CN"/>
        </w:rPr>
        <w:t>年期间潜在供资窗口高端情景设想的费用估计数，以支持执行根据第</w:t>
      </w:r>
      <w:r w:rsidRPr="009B423C">
        <w:rPr>
          <w:rFonts w:eastAsia="SimSun"/>
          <w:sz w:val="24"/>
          <w:szCs w:val="24"/>
          <w:lang w:val="zh-CN" w:eastAsia="zh-CN"/>
        </w:rPr>
        <w:t>91/66</w:t>
      </w:r>
      <w:r w:rsidRPr="009B423C">
        <w:rPr>
          <w:rFonts w:eastAsia="SimSun"/>
          <w:sz w:val="24"/>
          <w:szCs w:val="24"/>
          <w:lang w:val="zh-CN" w:eastAsia="zh-CN"/>
        </w:rPr>
        <w:t>号决定制定的国家计划，同时考虑到制冷剂回收、再循环和再生活动也在含氢氯氟烃逐步淘汰管理计划和基加利执行计划下得到资助。</w:t>
      </w:r>
    </w:p>
    <w:p w14:paraId="220ACFD4" w14:textId="202FB026" w:rsidR="008B41A5" w:rsidRPr="009B423C" w:rsidRDefault="004D03BC">
      <w:pPr>
        <w:pStyle w:val="CH2"/>
        <w:numPr>
          <w:ilvl w:val="1"/>
          <w:numId w:val="36"/>
        </w:numPr>
        <w:tabs>
          <w:tab w:val="clear" w:pos="851"/>
          <w:tab w:val="clear" w:pos="1247"/>
          <w:tab w:val="clear" w:pos="1871"/>
          <w:tab w:val="clear" w:pos="2495"/>
          <w:tab w:val="clear" w:pos="3119"/>
          <w:tab w:val="clear" w:pos="3742"/>
          <w:tab w:val="clear" w:pos="4366"/>
          <w:tab w:val="clear" w:pos="4990"/>
        </w:tabs>
        <w:ind w:left="1276" w:rightChars="134" w:right="281" w:hanging="709"/>
        <w:rPr>
          <w:rFonts w:eastAsia="SimHei"/>
          <w:sz w:val="28"/>
          <w:szCs w:val="28"/>
          <w:lang w:eastAsia="zh-CN"/>
        </w:rPr>
      </w:pPr>
      <w:r w:rsidRPr="009B423C">
        <w:rPr>
          <w:rFonts w:eastAsia="SimHei"/>
          <w:bCs/>
          <w:sz w:val="28"/>
          <w:szCs w:val="28"/>
          <w:lang w:val="zh-CN" w:eastAsia="zh-CN"/>
        </w:rPr>
        <w:t>确保《蒙特利尔议定书》业务的可行性：设想方案、备选方案和费用估计数（</w:t>
      </w:r>
      <w:r w:rsidRPr="009B423C">
        <w:rPr>
          <w:rFonts w:eastAsia="SimHei"/>
          <w:bCs/>
          <w:sz w:val="28"/>
          <w:szCs w:val="28"/>
          <w:lang w:val="zh-CN" w:eastAsia="zh-CN"/>
        </w:rPr>
        <w:t>UNEP/OzL.Pro.WG.1/48/4</w:t>
      </w:r>
      <w:r w:rsidRPr="009B423C">
        <w:rPr>
          <w:rFonts w:eastAsia="SimHei"/>
          <w:bCs/>
          <w:sz w:val="28"/>
          <w:szCs w:val="28"/>
          <w:lang w:val="zh-CN" w:eastAsia="zh-CN"/>
        </w:rPr>
        <w:t>和</w:t>
      </w:r>
      <w:r w:rsidRPr="009B423C">
        <w:rPr>
          <w:rFonts w:eastAsia="SimHei"/>
          <w:bCs/>
          <w:sz w:val="28"/>
          <w:szCs w:val="28"/>
          <w:lang w:val="zh-CN" w:eastAsia="zh-CN"/>
        </w:rPr>
        <w:t>UNEP/OzL.Pro.WG.1/48/4/Add.1</w:t>
      </w:r>
      <w:r w:rsidRPr="009B423C">
        <w:rPr>
          <w:rFonts w:eastAsia="SimHei"/>
          <w:bCs/>
          <w:sz w:val="28"/>
          <w:szCs w:val="28"/>
          <w:lang w:val="zh-CN" w:eastAsia="zh-CN"/>
        </w:rPr>
        <w:t>）</w:t>
      </w:r>
    </w:p>
    <w:p w14:paraId="13D3A9C5" w14:textId="27C3A247" w:rsidR="008B41A5" w:rsidRPr="009B423C" w:rsidRDefault="008B41A5" w:rsidP="00986CAF">
      <w:pPr>
        <w:pStyle w:val="CH3"/>
        <w:ind w:right="141"/>
        <w:rPr>
          <w:rFonts w:eastAsia="SimHei"/>
          <w:sz w:val="24"/>
          <w:szCs w:val="24"/>
          <w:lang w:eastAsia="zh-CN"/>
        </w:rPr>
      </w:pPr>
      <w:r w:rsidRPr="009B423C">
        <w:rPr>
          <w:lang w:val="zh-CN" w:eastAsia="zh-CN"/>
        </w:rPr>
        <w:tab/>
      </w:r>
      <w:r w:rsidRPr="009B423C">
        <w:rPr>
          <w:lang w:val="zh-CN" w:eastAsia="zh-CN"/>
        </w:rPr>
        <w:tab/>
      </w:r>
      <w:r w:rsidRPr="009B423C">
        <w:rPr>
          <w:rFonts w:eastAsia="SimHei"/>
          <w:bCs/>
          <w:sz w:val="24"/>
          <w:szCs w:val="24"/>
          <w:lang w:val="zh-CN" w:eastAsia="zh-CN"/>
        </w:rPr>
        <w:t>2026</w:t>
      </w:r>
      <w:r w:rsidRPr="009B423C">
        <w:rPr>
          <w:rFonts w:eastAsia="SimHei"/>
          <w:bCs/>
          <w:sz w:val="24"/>
          <w:szCs w:val="24"/>
          <w:lang w:val="zh-CN" w:eastAsia="zh-CN"/>
        </w:rPr>
        <w:t>年</w:t>
      </w:r>
      <w:r w:rsidRPr="009B423C">
        <w:rPr>
          <w:rFonts w:eastAsia="SimHei"/>
          <w:bCs/>
          <w:sz w:val="24"/>
          <w:szCs w:val="24"/>
          <w:lang w:val="zh-CN" w:eastAsia="zh-CN"/>
        </w:rPr>
        <w:t>7</w:t>
      </w:r>
      <w:r w:rsidRPr="009B423C">
        <w:rPr>
          <w:rFonts w:eastAsia="SimHei"/>
          <w:bCs/>
          <w:sz w:val="24"/>
          <w:szCs w:val="24"/>
          <w:lang w:val="zh-CN" w:eastAsia="zh-CN"/>
        </w:rPr>
        <w:t>月</w:t>
      </w:r>
      <w:r w:rsidRPr="009B423C">
        <w:rPr>
          <w:rFonts w:eastAsia="SimHei"/>
          <w:bCs/>
          <w:sz w:val="24"/>
          <w:szCs w:val="24"/>
          <w:lang w:val="zh-CN" w:eastAsia="zh-CN"/>
        </w:rPr>
        <w:t>14</w:t>
      </w:r>
      <w:r w:rsidRPr="009B423C">
        <w:rPr>
          <w:rFonts w:eastAsia="SimHei"/>
          <w:bCs/>
          <w:sz w:val="24"/>
          <w:szCs w:val="24"/>
          <w:lang w:val="zh-CN" w:eastAsia="zh-CN"/>
        </w:rPr>
        <w:t>日、</w:t>
      </w:r>
      <w:r w:rsidRPr="009B423C">
        <w:rPr>
          <w:rFonts w:eastAsia="SimHei"/>
          <w:bCs/>
          <w:sz w:val="24"/>
          <w:szCs w:val="24"/>
          <w:lang w:val="zh-CN" w:eastAsia="zh-CN"/>
        </w:rPr>
        <w:t>16</w:t>
      </w:r>
      <w:r w:rsidRPr="009B423C">
        <w:rPr>
          <w:rFonts w:eastAsia="SimHei"/>
          <w:bCs/>
          <w:sz w:val="24"/>
          <w:szCs w:val="24"/>
          <w:lang w:val="zh-CN" w:eastAsia="zh-CN"/>
        </w:rPr>
        <w:t>日和</w:t>
      </w:r>
      <w:r w:rsidRPr="009B423C">
        <w:rPr>
          <w:rFonts w:eastAsia="SimHei"/>
          <w:bCs/>
          <w:sz w:val="24"/>
          <w:szCs w:val="24"/>
          <w:lang w:val="zh-CN" w:eastAsia="zh-CN"/>
        </w:rPr>
        <w:t>17</w:t>
      </w:r>
      <w:r w:rsidRPr="009B423C">
        <w:rPr>
          <w:rFonts w:eastAsia="SimHei"/>
          <w:bCs/>
          <w:sz w:val="24"/>
          <w:szCs w:val="24"/>
          <w:lang w:val="zh-CN" w:eastAsia="zh-CN"/>
        </w:rPr>
        <w:t>日联络小组讨论期间各缔约方所提问题的汇编</w:t>
      </w:r>
    </w:p>
    <w:p w14:paraId="3A24B56C" w14:textId="3B6E02A5" w:rsidR="008B41A5" w:rsidRPr="009B423C" w:rsidRDefault="008B41A5" w:rsidP="009B423C">
      <w:pPr>
        <w:pStyle w:val="NormalNonumber"/>
        <w:jc w:val="both"/>
        <w:rPr>
          <w:rFonts w:eastAsia="SimSun"/>
          <w:sz w:val="24"/>
          <w:szCs w:val="24"/>
        </w:rPr>
      </w:pPr>
      <w:proofErr w:type="spellStart"/>
      <w:r w:rsidRPr="009B423C">
        <w:rPr>
          <w:rFonts w:eastAsia="SimSun"/>
          <w:sz w:val="24"/>
          <w:szCs w:val="24"/>
          <w:lang w:val="zh-CN"/>
        </w:rPr>
        <w:t>更多问题可至迟于</w:t>
      </w:r>
      <w:proofErr w:type="spellEnd"/>
      <w:r w:rsidRPr="009B423C">
        <w:rPr>
          <w:rFonts w:eastAsia="SimSun"/>
          <w:sz w:val="24"/>
          <w:szCs w:val="24"/>
        </w:rPr>
        <w:t>2026</w:t>
      </w:r>
      <w:r w:rsidRPr="009B423C">
        <w:rPr>
          <w:rFonts w:eastAsia="SimSun"/>
          <w:sz w:val="24"/>
          <w:szCs w:val="24"/>
          <w:lang w:val="zh-CN"/>
        </w:rPr>
        <w:t>年</w:t>
      </w:r>
      <w:r w:rsidRPr="009B423C">
        <w:rPr>
          <w:rFonts w:eastAsia="SimSun"/>
          <w:sz w:val="24"/>
          <w:szCs w:val="24"/>
        </w:rPr>
        <w:t>8</w:t>
      </w:r>
      <w:r w:rsidRPr="009B423C">
        <w:rPr>
          <w:rFonts w:eastAsia="SimSun"/>
          <w:sz w:val="24"/>
          <w:szCs w:val="24"/>
          <w:lang w:val="zh-CN"/>
        </w:rPr>
        <w:t>月</w:t>
      </w:r>
      <w:r w:rsidRPr="009B423C">
        <w:rPr>
          <w:rFonts w:eastAsia="SimSun"/>
          <w:sz w:val="24"/>
          <w:szCs w:val="24"/>
        </w:rPr>
        <w:t>31</w:t>
      </w:r>
      <w:proofErr w:type="spellStart"/>
      <w:r w:rsidRPr="009B423C">
        <w:rPr>
          <w:rFonts w:eastAsia="SimSun"/>
          <w:sz w:val="24"/>
          <w:szCs w:val="24"/>
          <w:lang w:val="zh-CN"/>
        </w:rPr>
        <w:t>日发送至秘书处</w:t>
      </w:r>
      <w:proofErr w:type="spellEnd"/>
      <w:r w:rsidRPr="009B423C">
        <w:rPr>
          <w:rFonts w:eastAsia="SimSun"/>
          <w:sz w:val="24"/>
          <w:szCs w:val="24"/>
        </w:rPr>
        <w:t>（</w:t>
      </w:r>
      <w:hyperlink r:id="rId18" w:history="1">
        <w:r w:rsidR="00AD62BC" w:rsidRPr="00BF61AE">
          <w:rPr>
            <w:rStyle w:val="Hyperlink"/>
            <w:rFonts w:eastAsia="SimSun"/>
            <w:sz w:val="24"/>
            <w:szCs w:val="24"/>
          </w:rPr>
          <w:t>mea-ozoneinfo@un.org</w:t>
        </w:r>
      </w:hyperlink>
      <w:r w:rsidRPr="009B423C">
        <w:rPr>
          <w:rFonts w:eastAsia="SimSun"/>
          <w:sz w:val="24"/>
          <w:szCs w:val="24"/>
        </w:rPr>
        <w:t>，</w:t>
      </w:r>
      <w:proofErr w:type="spellStart"/>
      <w:r w:rsidRPr="009B423C">
        <w:rPr>
          <w:rFonts w:eastAsia="SimSun"/>
          <w:sz w:val="24"/>
          <w:szCs w:val="24"/>
          <w:lang w:val="zh-CN"/>
        </w:rPr>
        <w:t>并抄送</w:t>
      </w:r>
      <w:proofErr w:type="spellEnd"/>
      <w:r w:rsidR="00146A6B">
        <w:fldChar w:fldCharType="begin"/>
      </w:r>
      <w:r w:rsidR="00146A6B">
        <w:instrText>HYPERLINK "mailto:meg.seki@un.org"</w:instrText>
      </w:r>
      <w:r w:rsidR="00146A6B">
        <w:fldChar w:fldCharType="separate"/>
      </w:r>
      <w:r w:rsidR="00146A6B" w:rsidRPr="00BF61AE">
        <w:rPr>
          <w:rStyle w:val="Hyperlink"/>
          <w:rFonts w:eastAsia="SimSun"/>
          <w:sz w:val="24"/>
          <w:szCs w:val="24"/>
        </w:rPr>
        <w:t>meg.seki@un.org</w:t>
      </w:r>
      <w:r w:rsidR="00146A6B">
        <w:fldChar w:fldCharType="end"/>
      </w:r>
      <w:r w:rsidRPr="009B423C">
        <w:rPr>
          <w:rFonts w:eastAsia="SimSun"/>
          <w:sz w:val="24"/>
          <w:szCs w:val="24"/>
          <w:lang w:val="zh-CN"/>
        </w:rPr>
        <w:t>和</w:t>
      </w:r>
      <w:hyperlink r:id="rId19" w:history="1">
        <w:r w:rsidR="00146A6B" w:rsidRPr="00BF61AE">
          <w:rPr>
            <w:rStyle w:val="Hyperlink"/>
            <w:rFonts w:eastAsia="SimSun"/>
            <w:sz w:val="24"/>
            <w:szCs w:val="24"/>
          </w:rPr>
          <w:t>sandeep.bhambra@un.org</w:t>
        </w:r>
      </w:hyperlink>
      <w:r w:rsidRPr="009B423C">
        <w:rPr>
          <w:rFonts w:eastAsia="SimSun"/>
          <w:sz w:val="24"/>
          <w:szCs w:val="24"/>
        </w:rPr>
        <w:t>）</w:t>
      </w:r>
      <w:r w:rsidRPr="009B423C">
        <w:rPr>
          <w:rFonts w:eastAsia="SimSun"/>
          <w:sz w:val="24"/>
          <w:szCs w:val="24"/>
          <w:lang w:val="zh-CN"/>
        </w:rPr>
        <w:t>。</w:t>
      </w:r>
      <w:hyperlink r:id="rId20" w:history="1"/>
      <w:hyperlink r:id="rId21" w:history="1"/>
    </w:p>
    <w:p w14:paraId="2D50B552" w14:textId="66EE8408"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所提交文件的理由说明，包括在联合国</w:t>
      </w:r>
      <w:r w:rsidRPr="009B423C">
        <w:rPr>
          <w:rFonts w:eastAsia="SimSun"/>
          <w:sz w:val="24"/>
          <w:szCs w:val="24"/>
          <w:lang w:val="zh-CN" w:eastAsia="zh-CN"/>
        </w:rPr>
        <w:t>80</w:t>
      </w:r>
      <w:r w:rsidRPr="009B423C">
        <w:rPr>
          <w:rFonts w:eastAsia="SimSun"/>
          <w:sz w:val="24"/>
          <w:szCs w:val="24"/>
          <w:lang w:val="zh-CN" w:eastAsia="zh-CN"/>
        </w:rPr>
        <w:t>周年倡议背景下的理由说明，为此提供关于联合国</w:t>
      </w:r>
      <w:r w:rsidRPr="009B423C">
        <w:rPr>
          <w:rFonts w:eastAsia="SimSun"/>
          <w:sz w:val="24"/>
          <w:szCs w:val="24"/>
          <w:lang w:val="zh-CN" w:eastAsia="zh-CN"/>
        </w:rPr>
        <w:t>80</w:t>
      </w:r>
      <w:r w:rsidRPr="009B423C">
        <w:rPr>
          <w:rFonts w:eastAsia="SimSun"/>
          <w:sz w:val="24"/>
          <w:szCs w:val="24"/>
          <w:lang w:val="zh-CN" w:eastAsia="zh-CN"/>
        </w:rPr>
        <w:t>周年倡议第</w:t>
      </w:r>
      <w:r w:rsidRPr="009B423C">
        <w:rPr>
          <w:rFonts w:eastAsia="SimSun"/>
          <w:sz w:val="24"/>
          <w:szCs w:val="24"/>
          <w:lang w:val="zh-CN" w:eastAsia="zh-CN"/>
        </w:rPr>
        <w:t>27</w:t>
      </w:r>
      <w:r w:rsidRPr="009B423C">
        <w:rPr>
          <w:rFonts w:eastAsia="SimSun"/>
          <w:sz w:val="24"/>
          <w:szCs w:val="24"/>
          <w:lang w:val="zh-CN" w:eastAsia="zh-CN"/>
        </w:rPr>
        <w:t>个工作包的最终报告。</w:t>
      </w:r>
    </w:p>
    <w:p w14:paraId="0C48D067" w14:textId="674C03F7"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这些设想方案是如何产生的？是否考虑了其他设想方案？如果考虑了，为什么没有将其纳入</w:t>
      </w:r>
      <w:r w:rsidRPr="009B423C">
        <w:rPr>
          <w:rFonts w:eastAsia="SimSun"/>
          <w:sz w:val="24"/>
          <w:szCs w:val="24"/>
          <w:lang w:val="zh-CN" w:eastAsia="zh-CN"/>
        </w:rPr>
        <w:t>UNEP/OzL.Pro.WG.1/48/4</w:t>
      </w:r>
      <w:r w:rsidRPr="009B423C">
        <w:rPr>
          <w:rFonts w:eastAsia="SimSun"/>
          <w:sz w:val="24"/>
          <w:szCs w:val="24"/>
          <w:lang w:val="zh-CN" w:eastAsia="zh-CN"/>
        </w:rPr>
        <w:t>号文件？</w:t>
      </w:r>
    </w:p>
    <w:p w14:paraId="606FA914" w14:textId="6ADFECCE"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分析这些设想方案对《基加利修正》履约和遵约的影响。</w:t>
      </w:r>
    </w:p>
    <w:p w14:paraId="36B63DCE" w14:textId="5C62EF23"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更多信息，特别是关于使用人工智能和在线会议的费用估计数，以进一步证实</w:t>
      </w:r>
      <w:r w:rsidRPr="009B423C">
        <w:rPr>
          <w:rFonts w:eastAsia="SimSun"/>
          <w:sz w:val="24"/>
          <w:szCs w:val="24"/>
          <w:lang w:val="zh-CN" w:eastAsia="zh-CN"/>
        </w:rPr>
        <w:t>UNEP/OzL.Pro.WG.1/48/4</w:t>
      </w:r>
      <w:r w:rsidRPr="009B423C">
        <w:rPr>
          <w:rFonts w:eastAsia="SimSun"/>
          <w:sz w:val="24"/>
          <w:szCs w:val="24"/>
          <w:lang w:val="zh-CN" w:eastAsia="zh-CN"/>
        </w:rPr>
        <w:t>号文件第</w:t>
      </w:r>
      <w:r w:rsidRPr="009B423C">
        <w:rPr>
          <w:rFonts w:eastAsia="SimSun"/>
          <w:sz w:val="24"/>
          <w:szCs w:val="24"/>
          <w:lang w:val="zh-CN" w:eastAsia="zh-CN"/>
        </w:rPr>
        <w:t>39</w:t>
      </w:r>
      <w:r w:rsidRPr="009B423C">
        <w:rPr>
          <w:rFonts w:eastAsia="SimSun"/>
          <w:sz w:val="24"/>
          <w:szCs w:val="24"/>
          <w:lang w:val="zh-CN" w:eastAsia="zh-CN"/>
        </w:rPr>
        <w:t>和第</w:t>
      </w:r>
      <w:r w:rsidRPr="009B423C">
        <w:rPr>
          <w:rFonts w:eastAsia="SimSun"/>
          <w:sz w:val="24"/>
          <w:szCs w:val="24"/>
          <w:lang w:val="zh-CN" w:eastAsia="zh-CN"/>
        </w:rPr>
        <w:t>41</w:t>
      </w:r>
      <w:r w:rsidRPr="009B423C">
        <w:rPr>
          <w:rFonts w:eastAsia="SimSun"/>
          <w:sz w:val="24"/>
          <w:szCs w:val="24"/>
          <w:lang w:val="zh-CN" w:eastAsia="zh-CN"/>
        </w:rPr>
        <w:t>段的内容。</w:t>
      </w:r>
    </w:p>
    <w:p w14:paraId="086DE400" w14:textId="598939C4"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采用重点关注费用、质量、评估工作、遵约的设想方案会有哪些影响</w:t>
      </w:r>
      <w:r w:rsidRPr="009B423C">
        <w:rPr>
          <w:rFonts w:eastAsia="SimSun"/>
          <w:sz w:val="24"/>
          <w:szCs w:val="24"/>
          <w:lang w:val="zh-CN" w:eastAsia="zh-CN"/>
        </w:rPr>
        <w:t>/</w:t>
      </w:r>
      <w:r w:rsidRPr="009B423C">
        <w:rPr>
          <w:rFonts w:eastAsia="SimSun"/>
          <w:sz w:val="24"/>
          <w:szCs w:val="24"/>
          <w:lang w:val="zh-CN" w:eastAsia="zh-CN"/>
        </w:rPr>
        <w:t>后果。</w:t>
      </w:r>
    </w:p>
    <w:p w14:paraId="2F514951" w14:textId="20F2578B"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若履行委员会会议仅举行一天、在线举行、没有口译服务，可节省多少费用。</w:t>
      </w:r>
    </w:p>
    <w:p w14:paraId="5C768243" w14:textId="0C15255F"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若不限成员名额工作组的会议举行</w:t>
      </w:r>
      <w:r w:rsidRPr="009B423C">
        <w:rPr>
          <w:rFonts w:eastAsia="SimSun"/>
          <w:sz w:val="24"/>
          <w:szCs w:val="24"/>
          <w:lang w:val="zh-CN" w:eastAsia="zh-CN"/>
        </w:rPr>
        <w:t>3</w:t>
      </w:r>
      <w:r w:rsidRPr="009B423C">
        <w:rPr>
          <w:rFonts w:eastAsia="SimSun"/>
          <w:sz w:val="24"/>
          <w:szCs w:val="24"/>
          <w:lang w:val="zh-CN" w:eastAsia="zh-CN"/>
        </w:rPr>
        <w:t>天或</w:t>
      </w:r>
      <w:r w:rsidRPr="009B423C">
        <w:rPr>
          <w:rFonts w:eastAsia="SimSun"/>
          <w:sz w:val="24"/>
          <w:szCs w:val="24"/>
          <w:lang w:val="zh-CN" w:eastAsia="zh-CN"/>
        </w:rPr>
        <w:t>4</w:t>
      </w:r>
      <w:r w:rsidRPr="009B423C">
        <w:rPr>
          <w:rFonts w:eastAsia="SimSun"/>
          <w:sz w:val="24"/>
          <w:szCs w:val="24"/>
          <w:lang w:val="zh-CN" w:eastAsia="zh-CN"/>
        </w:rPr>
        <w:t>天，可节省多少费用。</w:t>
      </w:r>
    </w:p>
    <w:p w14:paraId="49703C60" w14:textId="60167955"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就如何能节省口译费用提出会议（不限成员名额工作组和缔约方会议）议程安排建议。</w:t>
      </w:r>
    </w:p>
    <w:p w14:paraId="484EE6EE" w14:textId="0B32EA44"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rPr>
      </w:pPr>
      <w:r w:rsidRPr="009B423C">
        <w:rPr>
          <w:rFonts w:eastAsia="SimSun"/>
          <w:sz w:val="24"/>
          <w:szCs w:val="24"/>
          <w:lang w:val="zh-CN" w:eastAsia="zh-CN"/>
        </w:rPr>
        <w:t>拟合并的</w:t>
      </w:r>
      <w:r w:rsidRPr="009B423C">
        <w:rPr>
          <w:rFonts w:eastAsia="SimSun"/>
          <w:sz w:val="24"/>
          <w:szCs w:val="24"/>
          <w:lang w:val="zh-CN" w:eastAsia="zh-CN"/>
        </w:rPr>
        <w:t>UNEP/OzL.Pro.WG.1/48/4/Add.1</w:t>
      </w:r>
      <w:r w:rsidRPr="009B423C">
        <w:rPr>
          <w:rFonts w:eastAsia="SimSun"/>
          <w:sz w:val="24"/>
          <w:szCs w:val="24"/>
          <w:lang w:val="zh-CN" w:eastAsia="zh-CN"/>
        </w:rPr>
        <w:t>号文件表</w:t>
      </w:r>
      <w:r w:rsidRPr="009B423C">
        <w:rPr>
          <w:rFonts w:eastAsia="SimSun"/>
          <w:sz w:val="24"/>
          <w:szCs w:val="24"/>
          <w:lang w:val="zh-CN" w:eastAsia="zh-CN"/>
        </w:rPr>
        <w:t>3</w:t>
      </w:r>
      <w:r w:rsidRPr="009B423C">
        <w:rPr>
          <w:rFonts w:eastAsia="SimSun"/>
          <w:sz w:val="24"/>
          <w:szCs w:val="24"/>
          <w:lang w:val="zh-CN" w:eastAsia="zh-CN"/>
        </w:rPr>
        <w:t>和表</w:t>
      </w:r>
      <w:r w:rsidRPr="009B423C">
        <w:rPr>
          <w:rFonts w:eastAsia="SimSun"/>
          <w:sz w:val="24"/>
          <w:szCs w:val="24"/>
          <w:lang w:val="zh-CN" w:eastAsia="zh-CN"/>
        </w:rPr>
        <w:t>4</w:t>
      </w:r>
      <w:r w:rsidRPr="009B423C">
        <w:rPr>
          <w:rFonts w:eastAsia="SimSun"/>
          <w:sz w:val="24"/>
          <w:szCs w:val="24"/>
          <w:lang w:val="zh-CN" w:eastAsia="zh-CN"/>
        </w:rPr>
        <w:t>。</w:t>
      </w:r>
      <w:r w:rsidRPr="009B423C">
        <w:rPr>
          <w:rFonts w:eastAsia="SimSun"/>
          <w:sz w:val="24"/>
          <w:szCs w:val="24"/>
          <w:lang w:val="zh-CN" w:eastAsia="zh-CN"/>
        </w:rPr>
        <w:t>[</w:t>
      </w:r>
      <w:r w:rsidRPr="009B423C">
        <w:rPr>
          <w:rFonts w:eastAsia="SimSun"/>
          <w:sz w:val="24"/>
          <w:szCs w:val="24"/>
          <w:lang w:val="zh-CN" w:eastAsia="zh-CN"/>
        </w:rPr>
        <w:t>注：技术和经济评估小组充资问题工作队</w:t>
      </w:r>
      <w:r w:rsidRPr="009B423C">
        <w:rPr>
          <w:rFonts w:eastAsia="SimSun"/>
          <w:sz w:val="24"/>
          <w:szCs w:val="24"/>
          <w:lang w:val="zh-CN" w:eastAsia="zh-CN"/>
        </w:rPr>
        <w:t>2025</w:t>
      </w:r>
      <w:r w:rsidRPr="009B423C">
        <w:rPr>
          <w:rFonts w:eastAsia="SimSun"/>
          <w:sz w:val="24"/>
          <w:szCs w:val="24"/>
          <w:lang w:val="zh-CN" w:eastAsia="zh-CN"/>
        </w:rPr>
        <w:t>年未举行会议。</w:t>
      </w:r>
      <w:r w:rsidRPr="009B423C">
        <w:rPr>
          <w:rFonts w:eastAsia="SimSun"/>
          <w:sz w:val="24"/>
          <w:szCs w:val="24"/>
          <w:lang w:val="zh-CN"/>
        </w:rPr>
        <w:t>]</w:t>
      </w:r>
      <w:r w:rsidRPr="009B423C">
        <w:rPr>
          <w:rFonts w:eastAsia="SimSun"/>
          <w:sz w:val="24"/>
          <w:szCs w:val="24"/>
          <w:lang w:val="zh-CN"/>
        </w:rPr>
        <w:t>。</w:t>
      </w:r>
    </w:p>
    <w:p w14:paraId="15FE0437" w14:textId="77777777"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介绍在一切照旧的设想方案下有哪些费用节省方案。</w:t>
      </w:r>
    </w:p>
    <w:p w14:paraId="4CF47DF5" w14:textId="77777777" w:rsidR="008B41A5" w:rsidRPr="009629DD"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pacing w:val="-2"/>
          <w:sz w:val="24"/>
          <w:szCs w:val="24"/>
        </w:rPr>
      </w:pPr>
      <w:r w:rsidRPr="009629DD">
        <w:rPr>
          <w:rFonts w:eastAsia="SimSun" w:hint="eastAsia"/>
          <w:spacing w:val="-2"/>
          <w:sz w:val="24"/>
          <w:szCs w:val="24"/>
          <w:lang w:val="zh-CN" w:eastAsia="zh-CN"/>
        </w:rPr>
        <w:t>评估小组工作和会议频率对评估（质量）的影响。</w:t>
      </w:r>
      <w:proofErr w:type="spellStart"/>
      <w:r w:rsidRPr="009629DD">
        <w:rPr>
          <w:rFonts w:eastAsia="SimSun" w:hint="eastAsia"/>
          <w:spacing w:val="-2"/>
          <w:sz w:val="24"/>
          <w:szCs w:val="24"/>
          <w:lang w:val="zh-CN"/>
        </w:rPr>
        <w:t>须经技经评估组审查</w:t>
      </w:r>
      <w:proofErr w:type="spellEnd"/>
      <w:r w:rsidRPr="009629DD">
        <w:rPr>
          <w:rFonts w:eastAsia="SimSun" w:hint="eastAsia"/>
          <w:spacing w:val="-2"/>
          <w:sz w:val="24"/>
          <w:szCs w:val="24"/>
          <w:lang w:val="zh-CN"/>
        </w:rPr>
        <w:t>。</w:t>
      </w:r>
    </w:p>
    <w:p w14:paraId="5A9100E3" w14:textId="4FC1B537" w:rsidR="008B41A5" w:rsidRPr="009B423C" w:rsidRDefault="00D37D7B">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缔约方需要思考未来十年的工作方案以及这些设想方案如何有助于完成工作。</w:t>
      </w:r>
    </w:p>
    <w:p w14:paraId="07DBD8FD" w14:textId="5551EC3A"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在秘书处的工作历史上，是否有过会议频率减少的情况？这对工作有何影响？</w:t>
      </w:r>
    </w:p>
    <w:p w14:paraId="18201131" w14:textId="22220B45" w:rsidR="008B41A5" w:rsidRPr="009B423C" w:rsidRDefault="008B41A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871" w:hanging="624"/>
        <w:jc w:val="both"/>
        <w:rPr>
          <w:rFonts w:eastAsia="SimSun"/>
          <w:sz w:val="24"/>
          <w:szCs w:val="24"/>
          <w:lang w:eastAsia="zh-CN"/>
        </w:rPr>
      </w:pPr>
      <w:r w:rsidRPr="009B423C">
        <w:rPr>
          <w:rFonts w:eastAsia="SimSun"/>
          <w:sz w:val="24"/>
          <w:szCs w:val="24"/>
          <w:lang w:val="zh-CN" w:eastAsia="zh-CN"/>
        </w:rPr>
        <w:t>可为秘书处探索其他资金来源，例如来自慈善机构或私营部门</w:t>
      </w:r>
      <w:r w:rsidRPr="009B423C">
        <w:rPr>
          <w:rFonts w:eastAsia="SimSun"/>
          <w:sz w:val="24"/>
          <w:szCs w:val="24"/>
          <w:lang w:val="zh-CN" w:eastAsia="zh-CN"/>
        </w:rPr>
        <w:t>[</w:t>
      </w:r>
      <w:r w:rsidRPr="009B423C">
        <w:rPr>
          <w:rFonts w:eastAsia="SimSun"/>
          <w:sz w:val="24"/>
          <w:szCs w:val="24"/>
          <w:lang w:val="zh-CN" w:eastAsia="zh-CN"/>
        </w:rPr>
        <w:t>通过会外活动和展览</w:t>
      </w:r>
      <w:r w:rsidRPr="009B423C">
        <w:rPr>
          <w:rFonts w:eastAsia="SimSun"/>
          <w:sz w:val="24"/>
          <w:szCs w:val="24"/>
          <w:lang w:val="zh-CN" w:eastAsia="zh-CN"/>
        </w:rPr>
        <w:t>]</w:t>
      </w:r>
      <w:r w:rsidRPr="009B423C">
        <w:rPr>
          <w:rFonts w:eastAsia="SimSun"/>
          <w:sz w:val="24"/>
          <w:szCs w:val="24"/>
          <w:lang w:val="zh-CN" w:eastAsia="zh-CN"/>
        </w:rPr>
        <w:t>。</w:t>
      </w:r>
    </w:p>
    <w:p w14:paraId="5A5EFEE6" w14:textId="77777777" w:rsidR="00B906B9" w:rsidRPr="009B423C" w:rsidRDefault="00B906B9" w:rsidP="009B423C">
      <w:pPr>
        <w:pStyle w:val="ZZAnxheader"/>
        <w:jc w:val="both"/>
        <w:rPr>
          <w:rFonts w:eastAsia="SimHei"/>
          <w:sz w:val="32"/>
          <w:szCs w:val="32"/>
          <w:lang w:eastAsia="zh-CN"/>
        </w:rPr>
      </w:pPr>
      <w:r w:rsidRPr="009B423C">
        <w:rPr>
          <w:rFonts w:eastAsia="SimHei"/>
          <w:sz w:val="32"/>
          <w:szCs w:val="32"/>
          <w:lang w:val="zh-CN" w:eastAsia="zh-CN"/>
        </w:rPr>
        <w:lastRenderedPageBreak/>
        <w:t>附件三</w:t>
      </w:r>
      <w:r w:rsidRPr="009B423C">
        <w:rPr>
          <w:rStyle w:val="FootnoteReference"/>
          <w:rFonts w:eastAsia="SimHei"/>
          <w:b w:val="0"/>
          <w:spacing w:val="0"/>
          <w:w w:val="100"/>
          <w:position w:val="0"/>
          <w:sz w:val="32"/>
          <w:szCs w:val="32"/>
          <w:vertAlign w:val="baseline"/>
          <w:lang w:val="zh-CN" w:eastAsia="zh-CN"/>
        </w:rPr>
        <w:footnoteReference w:customMarkFollows="1" w:id="11"/>
        <w:t>*</w:t>
      </w:r>
    </w:p>
    <w:p w14:paraId="0965924D" w14:textId="77777777" w:rsidR="00B906B9" w:rsidRPr="009B423C" w:rsidRDefault="00B906B9" w:rsidP="003532B2">
      <w:pPr>
        <w:pStyle w:val="ZZAnxtitle"/>
        <w:rPr>
          <w:rFonts w:eastAsia="SimHei"/>
          <w:sz w:val="32"/>
          <w:szCs w:val="32"/>
          <w:lang w:eastAsia="zh-CN"/>
        </w:rPr>
      </w:pPr>
      <w:r w:rsidRPr="009B423C">
        <w:rPr>
          <w:rFonts w:eastAsia="SimHei"/>
          <w:sz w:val="32"/>
          <w:szCs w:val="32"/>
          <w:lang w:val="zh-CN" w:eastAsia="zh-CN"/>
        </w:rPr>
        <w:t>技术和经济评估小组关于执行蒙特利尔议定书多边基金</w:t>
      </w:r>
      <w:r w:rsidRPr="009B423C">
        <w:rPr>
          <w:rFonts w:eastAsia="SimHei"/>
          <w:sz w:val="32"/>
          <w:szCs w:val="32"/>
          <w:lang w:val="zh-CN" w:eastAsia="zh-CN"/>
        </w:rPr>
        <w:t>2027–2029</w:t>
      </w:r>
      <w:r w:rsidRPr="009B423C">
        <w:rPr>
          <w:rFonts w:eastAsia="SimHei"/>
          <w:sz w:val="32"/>
          <w:szCs w:val="32"/>
          <w:lang w:val="zh-CN" w:eastAsia="zh-CN"/>
        </w:rPr>
        <w:t>年充资工作的介绍摘要（第</w:t>
      </w:r>
      <w:r w:rsidRPr="009B423C">
        <w:rPr>
          <w:rFonts w:eastAsia="SimHei"/>
          <w:sz w:val="32"/>
          <w:szCs w:val="32"/>
          <w:lang w:val="zh-CN" w:eastAsia="zh-CN"/>
        </w:rPr>
        <w:t>XXXVII/6</w:t>
      </w:r>
      <w:r w:rsidRPr="009B423C">
        <w:rPr>
          <w:rFonts w:eastAsia="SimHei"/>
          <w:sz w:val="32"/>
          <w:szCs w:val="32"/>
          <w:lang w:val="zh-CN" w:eastAsia="zh-CN"/>
        </w:rPr>
        <w:t>号决定）</w:t>
      </w:r>
    </w:p>
    <w:p w14:paraId="18AA5829"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技经评估组充资问题工作队共同主席</w:t>
      </w:r>
      <w:r w:rsidRPr="009B423C">
        <w:rPr>
          <w:rFonts w:eastAsia="SimSun"/>
          <w:sz w:val="24"/>
          <w:szCs w:val="24"/>
          <w:lang w:val="zh-CN" w:eastAsia="zh-CN"/>
        </w:rPr>
        <w:t>Bella Maranion</w:t>
      </w:r>
      <w:r w:rsidRPr="009B423C">
        <w:rPr>
          <w:rFonts w:eastAsia="SimSun"/>
          <w:sz w:val="24"/>
          <w:szCs w:val="24"/>
          <w:lang w:val="zh-CN" w:eastAsia="zh-CN"/>
        </w:rPr>
        <w:t>代表共同主席</w:t>
      </w:r>
      <w:r w:rsidRPr="009B423C">
        <w:rPr>
          <w:rFonts w:eastAsia="SimSun"/>
          <w:sz w:val="24"/>
          <w:szCs w:val="24"/>
          <w:lang w:val="zh-CN" w:eastAsia="zh-CN"/>
        </w:rPr>
        <w:t>Suely Carvalho</w:t>
      </w:r>
      <w:r w:rsidRPr="009B423C">
        <w:rPr>
          <w:rFonts w:eastAsia="SimSun"/>
          <w:sz w:val="24"/>
          <w:szCs w:val="24"/>
          <w:lang w:val="zh-CN" w:eastAsia="zh-CN"/>
        </w:rPr>
        <w:t>和充资问题工作队首先作了介绍。她详细介绍了第</w:t>
      </w:r>
      <w:r w:rsidRPr="009B423C">
        <w:rPr>
          <w:rFonts w:eastAsia="SimSun"/>
          <w:sz w:val="24"/>
          <w:szCs w:val="24"/>
          <w:lang w:val="zh-CN" w:eastAsia="zh-CN"/>
        </w:rPr>
        <w:t>XXXVII/6</w:t>
      </w:r>
      <w:r w:rsidRPr="009B423C">
        <w:rPr>
          <w:rFonts w:eastAsia="SimSun"/>
          <w:sz w:val="24"/>
          <w:szCs w:val="24"/>
          <w:lang w:val="zh-CN" w:eastAsia="zh-CN"/>
        </w:rPr>
        <w:t>号决定中的任务规定，其中请技经评估组编写一份关于执行蒙特利尔议定书多边基金（多边基金）</w:t>
      </w:r>
      <w:r w:rsidRPr="009B423C">
        <w:rPr>
          <w:rFonts w:eastAsia="SimSun"/>
          <w:sz w:val="24"/>
          <w:szCs w:val="24"/>
          <w:lang w:val="zh-CN" w:eastAsia="zh-CN"/>
        </w:rPr>
        <w:t>2027–2029</w:t>
      </w:r>
      <w:r w:rsidRPr="009B423C">
        <w:rPr>
          <w:rFonts w:eastAsia="SimSun"/>
          <w:sz w:val="24"/>
          <w:szCs w:val="24"/>
          <w:lang w:val="zh-CN" w:eastAsia="zh-CN"/>
        </w:rPr>
        <w:t>三年期适当充资额度的报告。她回顾了为技经评估组提供职权范围的决定的关键部分，包括但不限于以下内容：技经评估组将考虑蒙特利尔议定书缔约方和多边基金执行委员会（执行委员会）商定的所有控制措施和相关决定，包括与第</w:t>
      </w:r>
      <w:r w:rsidRPr="009B423C">
        <w:rPr>
          <w:rFonts w:eastAsia="SimSun"/>
          <w:sz w:val="24"/>
          <w:szCs w:val="24"/>
          <w:lang w:val="zh-CN" w:eastAsia="zh-CN"/>
        </w:rPr>
        <w:t>XXVIII/2</w:t>
      </w:r>
      <w:r w:rsidRPr="009B423C">
        <w:rPr>
          <w:rFonts w:eastAsia="SimSun"/>
          <w:sz w:val="24"/>
          <w:szCs w:val="24"/>
          <w:lang w:val="zh-CN" w:eastAsia="zh-CN"/>
        </w:rPr>
        <w:t>号决定以及缔约方会议直至并包括缔约方第三十七次会议和执行委员会直至并包括其第九十八届会议的各项决定相关的决定，只要这些决定需要多边基金在</w:t>
      </w:r>
      <w:r w:rsidRPr="009B423C">
        <w:rPr>
          <w:rFonts w:eastAsia="SimSun"/>
          <w:sz w:val="24"/>
          <w:szCs w:val="24"/>
          <w:lang w:val="zh-CN" w:eastAsia="zh-CN"/>
        </w:rPr>
        <w:t>2027–2029</w:t>
      </w:r>
      <w:r w:rsidRPr="009B423C">
        <w:rPr>
          <w:rFonts w:eastAsia="SimSun"/>
          <w:sz w:val="24"/>
          <w:szCs w:val="24"/>
          <w:lang w:val="zh-CN" w:eastAsia="zh-CN"/>
        </w:rPr>
        <w:t>年期间进行支出；考虑低消费量和极低消费量国家的特殊需要，同时参考执行委员会关于这些国家的相关决定；考虑需要分配资源，使所有第</w:t>
      </w:r>
      <w:r w:rsidRPr="009B423C">
        <w:rPr>
          <w:rFonts w:eastAsia="SimSun"/>
          <w:sz w:val="24"/>
          <w:szCs w:val="24"/>
          <w:lang w:val="zh-CN" w:eastAsia="zh-CN"/>
        </w:rPr>
        <w:t>5</w:t>
      </w:r>
      <w:r w:rsidRPr="009B423C">
        <w:rPr>
          <w:rFonts w:eastAsia="SimSun"/>
          <w:sz w:val="24"/>
          <w:szCs w:val="24"/>
          <w:lang w:val="zh-CN" w:eastAsia="zh-CN"/>
        </w:rPr>
        <w:t>条缔约方均能遵守根据经核准的含氢氯氟烃逐步淘汰管理计划和基加利执行计划作出的削减和进一步承诺；考虑在维修部门内整合数字技术和工具；考虑为支持少数试点项目的供资分配资源、以加强区域大气监测的设想方案；考虑一种得到明确解释的基于遵约的方法，该方法参考但独立于多边基金的业务计划，并基于历史经验、而非仅基于执行委员会核准的成本效益阈值，针对制造行业应用一系列成本效益数据；考虑针对在《蒙特利尔议定书》目标之前自愿提交逐步淘汰氢氟碳化物基加利执行计划的不同数量的第</w:t>
      </w:r>
      <w:r w:rsidRPr="009B423C">
        <w:rPr>
          <w:rFonts w:eastAsia="SimSun"/>
          <w:sz w:val="24"/>
          <w:szCs w:val="24"/>
          <w:lang w:val="zh-CN" w:eastAsia="zh-CN"/>
        </w:rPr>
        <w:t>5</w:t>
      </w:r>
      <w:r w:rsidRPr="009B423C">
        <w:rPr>
          <w:rFonts w:eastAsia="SimSun"/>
          <w:sz w:val="24"/>
          <w:szCs w:val="24"/>
          <w:lang w:val="zh-CN" w:eastAsia="zh-CN"/>
        </w:rPr>
        <w:t>条缔约方的设想方案；评估小组在编写报告时应广泛征求意见；评估小组应努力在不限成员名额工作组第四十八次会议之前及时完成报告；评估小组应提供</w:t>
      </w:r>
      <w:r w:rsidRPr="009B423C">
        <w:rPr>
          <w:rFonts w:eastAsia="SimSun"/>
          <w:sz w:val="24"/>
          <w:szCs w:val="24"/>
          <w:lang w:val="zh-CN" w:eastAsia="zh-CN"/>
        </w:rPr>
        <w:t>2030–2032</w:t>
      </w:r>
      <w:r w:rsidRPr="009B423C">
        <w:rPr>
          <w:rFonts w:eastAsia="SimSun"/>
          <w:sz w:val="24"/>
          <w:szCs w:val="24"/>
          <w:lang w:val="zh-CN" w:eastAsia="zh-CN"/>
        </w:rPr>
        <w:t>年和</w:t>
      </w:r>
      <w:r w:rsidRPr="009B423C">
        <w:rPr>
          <w:rFonts w:eastAsia="SimSun"/>
          <w:sz w:val="24"/>
          <w:szCs w:val="24"/>
          <w:lang w:val="zh-CN" w:eastAsia="zh-CN"/>
        </w:rPr>
        <w:t>2033–2035</w:t>
      </w:r>
      <w:r w:rsidRPr="009B423C">
        <w:rPr>
          <w:rFonts w:eastAsia="SimSun"/>
          <w:sz w:val="24"/>
          <w:szCs w:val="24"/>
          <w:lang w:val="zh-CN" w:eastAsia="zh-CN"/>
        </w:rPr>
        <w:t>年期间的指示性数据，以支持稳定和充足的供资水平；评估小组应以报告附录的形式分享计算细节，以便缔约方能够充分理解评估小组的分析。</w:t>
      </w:r>
    </w:p>
    <w:p w14:paraId="5A04DB9C"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就技经评估组对其报告采取的做法而言，她提到技经评估组成立了一个充资问题工作队，其中包括来自技经评估组及其技术选择委员会的专家成员、外部专家以及一名咨询专家。她指出，</w:t>
      </w:r>
      <w:r w:rsidRPr="009B423C">
        <w:rPr>
          <w:rFonts w:eastAsia="SimSun"/>
          <w:sz w:val="24"/>
          <w:szCs w:val="24"/>
          <w:lang w:val="zh-CN" w:eastAsia="zh-CN"/>
        </w:rPr>
        <w:t>2027–2029</w:t>
      </w:r>
      <w:r w:rsidRPr="009B423C">
        <w:rPr>
          <w:rFonts w:eastAsia="SimSun"/>
          <w:sz w:val="24"/>
          <w:szCs w:val="24"/>
          <w:lang w:val="zh-CN" w:eastAsia="zh-CN"/>
        </w:rPr>
        <w:t>年三年期和接下来的两个三年期是《蒙特利尔议定书》下逐步淘汰臭氧消耗物质和逐步削减氢氟碳化物的重要里程碑。多边基金将向第</w:t>
      </w:r>
      <w:r w:rsidRPr="009B423C">
        <w:rPr>
          <w:rFonts w:eastAsia="SimSun"/>
          <w:sz w:val="24"/>
          <w:szCs w:val="24"/>
          <w:lang w:val="zh-CN" w:eastAsia="zh-CN"/>
        </w:rPr>
        <w:t>5</w:t>
      </w:r>
      <w:r w:rsidRPr="009B423C">
        <w:rPr>
          <w:rFonts w:eastAsia="SimSun"/>
          <w:sz w:val="24"/>
          <w:szCs w:val="24"/>
          <w:lang w:val="zh-CN" w:eastAsia="zh-CN"/>
        </w:rPr>
        <w:t>条缔约方提供资金，以至迟于</w:t>
      </w:r>
      <w:r w:rsidRPr="009B423C">
        <w:rPr>
          <w:rFonts w:eastAsia="SimSun"/>
          <w:sz w:val="24"/>
          <w:szCs w:val="24"/>
          <w:lang w:val="zh-CN" w:eastAsia="zh-CN"/>
        </w:rPr>
        <w:t>2030</w:t>
      </w:r>
      <w:r w:rsidRPr="009B423C">
        <w:rPr>
          <w:rFonts w:eastAsia="SimSun"/>
          <w:sz w:val="24"/>
          <w:szCs w:val="24"/>
          <w:lang w:val="zh-CN" w:eastAsia="zh-CN"/>
        </w:rPr>
        <w:t>年</w:t>
      </w:r>
      <w:r w:rsidRPr="009B423C">
        <w:rPr>
          <w:rFonts w:eastAsia="SimSun"/>
          <w:sz w:val="24"/>
          <w:szCs w:val="24"/>
          <w:lang w:val="zh-CN" w:eastAsia="zh-CN"/>
        </w:rPr>
        <w:t>1</w:t>
      </w:r>
      <w:r w:rsidRPr="009B423C">
        <w:rPr>
          <w:rFonts w:eastAsia="SimSun"/>
          <w:sz w:val="24"/>
          <w:szCs w:val="24"/>
          <w:lang w:val="zh-CN" w:eastAsia="zh-CN"/>
        </w:rPr>
        <w:t>月</w:t>
      </w:r>
      <w:r w:rsidRPr="009B423C">
        <w:rPr>
          <w:rFonts w:eastAsia="SimSun"/>
          <w:sz w:val="24"/>
          <w:szCs w:val="24"/>
          <w:lang w:val="zh-CN" w:eastAsia="zh-CN"/>
        </w:rPr>
        <w:t>1</w:t>
      </w:r>
      <w:r w:rsidRPr="009B423C">
        <w:rPr>
          <w:rFonts w:eastAsia="SimSun"/>
          <w:sz w:val="24"/>
          <w:szCs w:val="24"/>
          <w:lang w:val="zh-CN" w:eastAsia="zh-CN"/>
        </w:rPr>
        <w:t>日完成逐步淘汰含氢氯氟烃，这是《蒙特利尔议定书》下的一项重大成就。在此期间，多边基金还将为第</w:t>
      </w:r>
      <w:r w:rsidRPr="009B423C">
        <w:rPr>
          <w:rFonts w:eastAsia="SimSun"/>
          <w:sz w:val="24"/>
          <w:szCs w:val="24"/>
          <w:lang w:val="zh-CN" w:eastAsia="zh-CN"/>
        </w:rPr>
        <w:t>1</w:t>
      </w:r>
      <w:r w:rsidRPr="009B423C">
        <w:rPr>
          <w:rFonts w:eastAsia="SimSun"/>
          <w:sz w:val="24"/>
          <w:szCs w:val="24"/>
          <w:lang w:val="zh-CN" w:eastAsia="zh-CN"/>
        </w:rPr>
        <w:t>和第</w:t>
      </w:r>
      <w:r w:rsidRPr="009B423C">
        <w:rPr>
          <w:rFonts w:eastAsia="SimSun"/>
          <w:sz w:val="24"/>
          <w:szCs w:val="24"/>
          <w:lang w:val="zh-CN" w:eastAsia="zh-CN"/>
        </w:rPr>
        <w:t>2</w:t>
      </w:r>
      <w:r w:rsidRPr="009B423C">
        <w:rPr>
          <w:rFonts w:eastAsia="SimSun"/>
          <w:sz w:val="24"/>
          <w:szCs w:val="24"/>
          <w:lang w:val="zh-CN" w:eastAsia="zh-CN"/>
        </w:rPr>
        <w:t>类缔约方根据《基加利修正》采取的氢氟碳化物首批削减步骤提供资金。对于第</w:t>
      </w:r>
      <w:r w:rsidRPr="009B423C">
        <w:rPr>
          <w:rFonts w:eastAsia="SimSun"/>
          <w:sz w:val="24"/>
          <w:szCs w:val="24"/>
          <w:lang w:val="zh-CN" w:eastAsia="zh-CN"/>
        </w:rPr>
        <w:t>1</w:t>
      </w:r>
      <w:r w:rsidRPr="009B423C">
        <w:rPr>
          <w:rFonts w:eastAsia="SimSun"/>
          <w:sz w:val="24"/>
          <w:szCs w:val="24"/>
          <w:lang w:val="zh-CN" w:eastAsia="zh-CN"/>
        </w:rPr>
        <w:t>类缔约方，遵约目标是到</w:t>
      </w:r>
      <w:r w:rsidRPr="009B423C">
        <w:rPr>
          <w:rFonts w:eastAsia="SimSun"/>
          <w:sz w:val="24"/>
          <w:szCs w:val="24"/>
          <w:lang w:val="zh-CN" w:eastAsia="zh-CN"/>
        </w:rPr>
        <w:t>2029</w:t>
      </w:r>
      <w:r w:rsidRPr="009B423C">
        <w:rPr>
          <w:rFonts w:eastAsia="SimSun"/>
          <w:sz w:val="24"/>
          <w:szCs w:val="24"/>
          <w:lang w:val="zh-CN" w:eastAsia="zh-CN"/>
        </w:rPr>
        <w:t>年较基线减少</w:t>
      </w:r>
      <w:r w:rsidRPr="009B423C">
        <w:rPr>
          <w:rFonts w:eastAsia="SimSun"/>
          <w:sz w:val="24"/>
          <w:szCs w:val="24"/>
          <w:lang w:val="zh-CN" w:eastAsia="zh-CN"/>
        </w:rPr>
        <w:t>10%</w:t>
      </w:r>
      <w:r w:rsidRPr="009B423C">
        <w:rPr>
          <w:rFonts w:eastAsia="SimSun"/>
          <w:sz w:val="24"/>
          <w:szCs w:val="24"/>
          <w:lang w:val="zh-CN" w:eastAsia="zh-CN"/>
        </w:rPr>
        <w:t>，到</w:t>
      </w:r>
      <w:r w:rsidRPr="009B423C">
        <w:rPr>
          <w:rFonts w:eastAsia="SimSun"/>
          <w:sz w:val="24"/>
          <w:szCs w:val="24"/>
          <w:lang w:val="zh-CN" w:eastAsia="zh-CN"/>
        </w:rPr>
        <w:t>2035</w:t>
      </w:r>
      <w:r w:rsidRPr="009B423C">
        <w:rPr>
          <w:rFonts w:eastAsia="SimSun"/>
          <w:sz w:val="24"/>
          <w:szCs w:val="24"/>
          <w:lang w:val="zh-CN" w:eastAsia="zh-CN"/>
        </w:rPr>
        <w:t>年减少</w:t>
      </w:r>
      <w:r w:rsidRPr="009B423C">
        <w:rPr>
          <w:rFonts w:eastAsia="SimSun"/>
          <w:sz w:val="24"/>
          <w:szCs w:val="24"/>
          <w:lang w:val="zh-CN" w:eastAsia="zh-CN"/>
        </w:rPr>
        <w:t>30%</w:t>
      </w:r>
      <w:r w:rsidRPr="009B423C">
        <w:rPr>
          <w:rFonts w:eastAsia="SimSun"/>
          <w:sz w:val="24"/>
          <w:szCs w:val="24"/>
          <w:lang w:val="zh-CN" w:eastAsia="zh-CN"/>
        </w:rPr>
        <w:t>。对于第</w:t>
      </w:r>
      <w:r w:rsidRPr="009B423C">
        <w:rPr>
          <w:rFonts w:eastAsia="SimSun"/>
          <w:sz w:val="24"/>
          <w:szCs w:val="24"/>
          <w:lang w:val="zh-CN" w:eastAsia="zh-CN"/>
        </w:rPr>
        <w:t>2</w:t>
      </w:r>
      <w:r w:rsidRPr="009B423C">
        <w:rPr>
          <w:rFonts w:eastAsia="SimSun"/>
          <w:sz w:val="24"/>
          <w:szCs w:val="24"/>
          <w:lang w:val="zh-CN" w:eastAsia="zh-CN"/>
        </w:rPr>
        <w:t>类缔约方，遵约目标是在</w:t>
      </w:r>
      <w:r w:rsidRPr="009B423C">
        <w:rPr>
          <w:rFonts w:eastAsia="SimSun"/>
          <w:sz w:val="24"/>
          <w:szCs w:val="24"/>
          <w:lang w:val="zh-CN" w:eastAsia="zh-CN"/>
        </w:rPr>
        <w:t>2028</w:t>
      </w:r>
      <w:r w:rsidRPr="009B423C">
        <w:rPr>
          <w:rFonts w:eastAsia="SimSun"/>
          <w:sz w:val="24"/>
          <w:szCs w:val="24"/>
          <w:lang w:val="zh-CN" w:eastAsia="zh-CN"/>
        </w:rPr>
        <w:t>年冻结，到</w:t>
      </w:r>
      <w:r w:rsidRPr="009B423C">
        <w:rPr>
          <w:rFonts w:eastAsia="SimSun"/>
          <w:sz w:val="24"/>
          <w:szCs w:val="24"/>
          <w:lang w:val="zh-CN" w:eastAsia="zh-CN"/>
        </w:rPr>
        <w:t>2032</w:t>
      </w:r>
      <w:r w:rsidRPr="009B423C">
        <w:rPr>
          <w:rFonts w:eastAsia="SimSun"/>
          <w:sz w:val="24"/>
          <w:szCs w:val="24"/>
          <w:lang w:val="zh-CN" w:eastAsia="zh-CN"/>
        </w:rPr>
        <w:t>年减少</w:t>
      </w:r>
      <w:r w:rsidRPr="009B423C">
        <w:rPr>
          <w:rFonts w:eastAsia="SimSun"/>
          <w:sz w:val="24"/>
          <w:szCs w:val="24"/>
          <w:lang w:val="zh-CN" w:eastAsia="zh-CN"/>
        </w:rPr>
        <w:t>10%</w:t>
      </w:r>
      <w:r w:rsidRPr="009B423C">
        <w:rPr>
          <w:rFonts w:eastAsia="SimSun"/>
          <w:sz w:val="24"/>
          <w:szCs w:val="24"/>
          <w:lang w:val="zh-CN" w:eastAsia="zh-CN"/>
        </w:rPr>
        <w:t>。充资问题工作队对</w:t>
      </w:r>
      <w:r w:rsidRPr="009B423C">
        <w:rPr>
          <w:rFonts w:eastAsia="SimSun"/>
          <w:sz w:val="24"/>
          <w:szCs w:val="24"/>
          <w:lang w:val="zh-CN" w:eastAsia="zh-CN"/>
        </w:rPr>
        <w:t>2027–2029</w:t>
      </w:r>
      <w:r w:rsidRPr="009B423C">
        <w:rPr>
          <w:rFonts w:eastAsia="SimSun"/>
          <w:sz w:val="24"/>
          <w:szCs w:val="24"/>
          <w:lang w:val="zh-CN" w:eastAsia="zh-CN"/>
        </w:rPr>
        <w:t>年和接下来两个三年期估算的资金需求，严格考虑了该决定要求在这些时期内达到的相关遵约目标。</w:t>
      </w:r>
    </w:p>
    <w:p w14:paraId="0769CACA" w14:textId="6EFB4FC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她介绍了充资问题工作队</w:t>
      </w:r>
      <w:r w:rsidRPr="009B423C">
        <w:rPr>
          <w:rFonts w:eastAsia="SimSun"/>
          <w:sz w:val="24"/>
          <w:szCs w:val="24"/>
          <w:lang w:val="zh-CN" w:eastAsia="zh-CN"/>
        </w:rPr>
        <w:t>2026</w:t>
      </w:r>
      <w:r w:rsidRPr="009B423C">
        <w:rPr>
          <w:rFonts w:eastAsia="SimSun"/>
          <w:sz w:val="24"/>
          <w:szCs w:val="24"/>
          <w:lang w:val="zh-CN" w:eastAsia="zh-CN"/>
        </w:rPr>
        <w:t>年编写报告的时间表。为了着手规划其工作，工作队于</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2</w:t>
      </w:r>
      <w:r w:rsidRPr="009B423C">
        <w:rPr>
          <w:rFonts w:eastAsia="SimSun"/>
          <w:sz w:val="24"/>
          <w:szCs w:val="24"/>
          <w:lang w:val="zh-CN" w:eastAsia="zh-CN"/>
        </w:rPr>
        <w:t>月在蒙特利尔举行了会议，会议由多边基金秘书处主办，工作队感谢秘书处的热情接待和对其工作的持续支持。工作队于</w:t>
      </w:r>
      <w:r w:rsidRPr="009B423C">
        <w:rPr>
          <w:rFonts w:eastAsia="SimSun"/>
          <w:sz w:val="24"/>
          <w:szCs w:val="24"/>
          <w:lang w:val="zh-CN" w:eastAsia="zh-CN"/>
        </w:rPr>
        <w:t>5</w:t>
      </w:r>
      <w:r w:rsidRPr="009B423C">
        <w:rPr>
          <w:rFonts w:eastAsia="SimSun"/>
          <w:sz w:val="24"/>
          <w:szCs w:val="24"/>
          <w:lang w:val="zh-CN" w:eastAsia="zh-CN"/>
        </w:rPr>
        <w:t>月提交了本报告，并于</w:t>
      </w:r>
      <w:r w:rsidRPr="009B423C">
        <w:rPr>
          <w:rFonts w:eastAsia="SimSun"/>
          <w:sz w:val="24"/>
          <w:szCs w:val="24"/>
          <w:lang w:val="zh-CN" w:eastAsia="zh-CN"/>
        </w:rPr>
        <w:t>6</w:t>
      </w:r>
      <w:r w:rsidRPr="009B423C">
        <w:rPr>
          <w:rFonts w:eastAsia="SimSun"/>
          <w:sz w:val="24"/>
          <w:szCs w:val="24"/>
          <w:lang w:val="zh-CN" w:eastAsia="zh-CN"/>
        </w:rPr>
        <w:t>月出席了执行委员会第</w:t>
      </w:r>
      <w:r w:rsidR="0075753D">
        <w:rPr>
          <w:rFonts w:eastAsia="SimSun" w:hint="eastAsia"/>
          <w:sz w:val="24"/>
          <w:szCs w:val="24"/>
          <w:lang w:val="zh-CN" w:eastAsia="zh-CN"/>
        </w:rPr>
        <w:t>九十八</w:t>
      </w:r>
      <w:r w:rsidRPr="009B423C">
        <w:rPr>
          <w:rFonts w:eastAsia="SimSun"/>
          <w:sz w:val="24"/>
          <w:szCs w:val="24"/>
          <w:lang w:val="zh-CN" w:eastAsia="zh-CN"/>
        </w:rPr>
        <w:t>届会议，以便跟踪充资问题的相关讨论和决定。工作队期待在本次会议上讨论其报告，并将于</w:t>
      </w:r>
      <w:r w:rsidRPr="009B423C">
        <w:rPr>
          <w:rFonts w:eastAsia="SimSun"/>
          <w:sz w:val="24"/>
          <w:szCs w:val="24"/>
          <w:lang w:val="zh-CN" w:eastAsia="zh-CN"/>
        </w:rPr>
        <w:t>9</w:t>
      </w:r>
      <w:r w:rsidRPr="009B423C">
        <w:rPr>
          <w:rFonts w:eastAsia="SimSun"/>
          <w:sz w:val="24"/>
          <w:szCs w:val="24"/>
          <w:lang w:val="zh-CN" w:eastAsia="zh-CN"/>
        </w:rPr>
        <w:t>月提交补充报告，</w:t>
      </w:r>
      <w:r w:rsidRPr="009B423C">
        <w:rPr>
          <w:rFonts w:eastAsia="SimSun"/>
          <w:sz w:val="24"/>
          <w:szCs w:val="24"/>
          <w:lang w:val="zh-CN" w:eastAsia="zh-CN"/>
        </w:rPr>
        <w:lastRenderedPageBreak/>
        <w:t>供缔约方在</w:t>
      </w:r>
      <w:r w:rsidRPr="009B423C">
        <w:rPr>
          <w:rFonts w:eastAsia="SimSun"/>
          <w:sz w:val="24"/>
          <w:szCs w:val="24"/>
          <w:lang w:val="zh-CN" w:eastAsia="zh-CN"/>
        </w:rPr>
        <w:t>11</w:t>
      </w:r>
      <w:r w:rsidRPr="009B423C">
        <w:rPr>
          <w:rFonts w:eastAsia="SimSun"/>
          <w:sz w:val="24"/>
          <w:szCs w:val="24"/>
          <w:lang w:val="zh-CN" w:eastAsia="zh-CN"/>
        </w:rPr>
        <w:t>月会议上审议。虽然工作队</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5</w:t>
      </w:r>
      <w:r w:rsidRPr="009B423C">
        <w:rPr>
          <w:rFonts w:eastAsia="SimSun"/>
          <w:sz w:val="24"/>
          <w:szCs w:val="24"/>
          <w:lang w:val="zh-CN" w:eastAsia="zh-CN"/>
        </w:rPr>
        <w:t>月为不限成员名额工作组第四十八次会议编写的报告依据的是截至</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4</w:t>
      </w:r>
      <w:r w:rsidRPr="009B423C">
        <w:rPr>
          <w:rFonts w:eastAsia="SimSun"/>
          <w:sz w:val="24"/>
          <w:szCs w:val="24"/>
          <w:lang w:val="zh-CN" w:eastAsia="zh-CN"/>
        </w:rPr>
        <w:t>月工作队可以获得的数据和信息以及执行委员会第九十七届会议的决定，但工作队补充报告将考虑以下等</w:t>
      </w:r>
      <w:r w:rsidRPr="00AD6EA3">
        <w:rPr>
          <w:rFonts w:eastAsia="SimSun"/>
          <w:spacing w:val="-8"/>
          <w:sz w:val="24"/>
          <w:szCs w:val="24"/>
          <w:lang w:val="zh-CN" w:eastAsia="zh-CN"/>
        </w:rPr>
        <w:t>事项：执行委员会第九十八届会议的决定和讨论、不限成员名额工作组第四十八</w:t>
      </w:r>
      <w:r w:rsidRPr="009B423C">
        <w:rPr>
          <w:rFonts w:eastAsia="SimSun"/>
          <w:sz w:val="24"/>
          <w:szCs w:val="24"/>
          <w:lang w:val="zh-CN" w:eastAsia="zh-CN"/>
        </w:rPr>
        <w:t>次会议的讨论和缔约方的指导意见、第</w:t>
      </w:r>
      <w:r w:rsidRPr="009B423C">
        <w:rPr>
          <w:rFonts w:eastAsia="SimSun"/>
          <w:sz w:val="24"/>
          <w:szCs w:val="24"/>
          <w:lang w:val="zh-CN" w:eastAsia="zh-CN"/>
        </w:rPr>
        <w:t>7</w:t>
      </w:r>
      <w:r w:rsidRPr="009B423C">
        <w:rPr>
          <w:rFonts w:eastAsia="SimSun"/>
          <w:sz w:val="24"/>
          <w:szCs w:val="24"/>
          <w:lang w:val="zh-CN" w:eastAsia="zh-CN"/>
        </w:rPr>
        <w:t>条和国家方案数据的更新，《基加利修正》的最新批准状况、影响供资估计数的多边基金数据库的任何其他调整，以及工作队在编写补充报告（</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7</w:t>
      </w:r>
      <w:r w:rsidRPr="009B423C">
        <w:rPr>
          <w:rFonts w:eastAsia="SimSun"/>
          <w:sz w:val="24"/>
          <w:szCs w:val="24"/>
          <w:lang w:val="zh-CN" w:eastAsia="zh-CN"/>
        </w:rPr>
        <w:t>月至</w:t>
      </w:r>
      <w:r w:rsidRPr="009B423C">
        <w:rPr>
          <w:rFonts w:eastAsia="SimSun"/>
          <w:sz w:val="24"/>
          <w:szCs w:val="24"/>
          <w:lang w:val="zh-CN" w:eastAsia="zh-CN"/>
        </w:rPr>
        <w:t>8</w:t>
      </w:r>
      <w:r w:rsidRPr="009B423C">
        <w:rPr>
          <w:rFonts w:eastAsia="SimSun"/>
          <w:sz w:val="24"/>
          <w:szCs w:val="24"/>
          <w:lang w:val="zh-CN" w:eastAsia="zh-CN"/>
        </w:rPr>
        <w:t>月）期间可以获得的任何其他相关信息和新数据。</w:t>
      </w:r>
    </w:p>
    <w:p w14:paraId="00955611"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Maranion</w:t>
      </w:r>
      <w:r w:rsidRPr="009B423C">
        <w:rPr>
          <w:rFonts w:eastAsia="SimSun"/>
          <w:sz w:val="24"/>
          <w:szCs w:val="24"/>
          <w:lang w:val="zh-CN" w:eastAsia="zh-CN"/>
        </w:rPr>
        <w:t>女士随后谈到逐步淘汰含氢氯氟烃的资金问题。在计算本三年期含氢氯氟烃逐步淘汰的资金需求时考虑的一个情况是，绝大多数含氢氯氟烃逐步淘汰管理计划正在应对到</w:t>
      </w:r>
      <w:r w:rsidRPr="009B423C">
        <w:rPr>
          <w:rFonts w:eastAsia="SimSun"/>
          <w:sz w:val="24"/>
          <w:szCs w:val="24"/>
          <w:lang w:val="zh-CN" w:eastAsia="zh-CN"/>
        </w:rPr>
        <w:t>2030</w:t>
      </w:r>
      <w:r w:rsidRPr="009B423C">
        <w:rPr>
          <w:rFonts w:eastAsia="SimSun"/>
          <w:sz w:val="24"/>
          <w:szCs w:val="24"/>
          <w:lang w:val="zh-CN" w:eastAsia="zh-CN"/>
        </w:rPr>
        <w:t>年实现完全淘汰的问题。希望到</w:t>
      </w:r>
      <w:r w:rsidRPr="009B423C">
        <w:rPr>
          <w:rFonts w:eastAsia="SimSun"/>
          <w:sz w:val="24"/>
          <w:szCs w:val="24"/>
          <w:lang w:val="zh-CN" w:eastAsia="zh-CN"/>
        </w:rPr>
        <w:t>2030</w:t>
      </w:r>
      <w:r w:rsidRPr="009B423C">
        <w:rPr>
          <w:rFonts w:eastAsia="SimSun"/>
          <w:sz w:val="24"/>
          <w:szCs w:val="24"/>
          <w:lang w:val="zh-CN" w:eastAsia="zh-CN"/>
        </w:rPr>
        <w:t>年</w:t>
      </w:r>
      <w:r w:rsidRPr="009B423C">
        <w:rPr>
          <w:rFonts w:eastAsia="SimSun"/>
          <w:sz w:val="24"/>
          <w:szCs w:val="24"/>
          <w:lang w:val="zh-CN" w:eastAsia="zh-CN"/>
        </w:rPr>
        <w:t>1</w:t>
      </w:r>
      <w:r w:rsidRPr="009B423C">
        <w:rPr>
          <w:rFonts w:eastAsia="SimSun"/>
          <w:sz w:val="24"/>
          <w:szCs w:val="24"/>
          <w:lang w:val="zh-CN" w:eastAsia="zh-CN"/>
        </w:rPr>
        <w:t>月</w:t>
      </w:r>
      <w:r w:rsidRPr="009B423C">
        <w:rPr>
          <w:rFonts w:eastAsia="SimSun"/>
          <w:sz w:val="24"/>
          <w:szCs w:val="24"/>
          <w:lang w:val="zh-CN" w:eastAsia="zh-CN"/>
        </w:rPr>
        <w:t>1</w:t>
      </w:r>
      <w:r w:rsidRPr="009B423C">
        <w:rPr>
          <w:rFonts w:eastAsia="SimSun"/>
          <w:sz w:val="24"/>
          <w:szCs w:val="24"/>
          <w:lang w:val="zh-CN" w:eastAsia="zh-CN"/>
        </w:rPr>
        <w:t>日完全淘汰含氢氯氟烃的缔约方必须通过监管和政策措施确保在该日期之后不会进口含氢氯氟烃，但根据《蒙特利尔议定书》的规定，允许在</w:t>
      </w:r>
      <w:r w:rsidRPr="009B423C">
        <w:rPr>
          <w:rFonts w:eastAsia="SimSun"/>
          <w:sz w:val="24"/>
          <w:szCs w:val="24"/>
          <w:lang w:val="zh-CN" w:eastAsia="zh-CN"/>
        </w:rPr>
        <w:t>2030</w:t>
      </w:r>
      <w:r w:rsidRPr="009B423C">
        <w:rPr>
          <w:rFonts w:eastAsia="SimSun"/>
          <w:sz w:val="24"/>
          <w:szCs w:val="24"/>
          <w:lang w:val="zh-CN" w:eastAsia="zh-CN"/>
        </w:rPr>
        <w:t>年至</w:t>
      </w:r>
      <w:r w:rsidRPr="009B423C">
        <w:rPr>
          <w:rFonts w:eastAsia="SimSun"/>
          <w:sz w:val="24"/>
          <w:szCs w:val="24"/>
          <w:lang w:val="zh-CN" w:eastAsia="zh-CN"/>
        </w:rPr>
        <w:t>2040</w:t>
      </w:r>
      <w:r w:rsidRPr="009B423C">
        <w:rPr>
          <w:rFonts w:eastAsia="SimSun"/>
          <w:sz w:val="24"/>
          <w:szCs w:val="24"/>
          <w:lang w:val="zh-CN" w:eastAsia="zh-CN"/>
        </w:rPr>
        <w:t>年之间必要时用于保养余量的</w:t>
      </w:r>
      <w:r w:rsidRPr="009B423C">
        <w:rPr>
          <w:rFonts w:eastAsia="SimSun"/>
          <w:sz w:val="24"/>
          <w:szCs w:val="24"/>
          <w:lang w:val="zh-CN" w:eastAsia="zh-CN"/>
        </w:rPr>
        <w:t>2.5%</w:t>
      </w:r>
      <w:r w:rsidRPr="009B423C">
        <w:rPr>
          <w:rFonts w:eastAsia="SimSun"/>
          <w:sz w:val="24"/>
          <w:szCs w:val="24"/>
          <w:lang w:val="zh-CN" w:eastAsia="zh-CN"/>
        </w:rPr>
        <w:t>除外。如果某国意图在</w:t>
      </w:r>
      <w:r w:rsidRPr="009B423C">
        <w:rPr>
          <w:rFonts w:eastAsia="SimSun"/>
          <w:sz w:val="24"/>
          <w:szCs w:val="24"/>
          <w:lang w:val="zh-CN" w:eastAsia="zh-CN"/>
        </w:rPr>
        <w:t>2030–2040</w:t>
      </w:r>
      <w:r w:rsidRPr="009B423C">
        <w:rPr>
          <w:rFonts w:eastAsia="SimSun"/>
          <w:sz w:val="24"/>
          <w:szCs w:val="24"/>
          <w:lang w:val="zh-CN" w:eastAsia="zh-CN"/>
        </w:rPr>
        <w:t>年期间进行消费，则需修改其与执行委员会签订的涵盖</w:t>
      </w:r>
      <w:r w:rsidRPr="009B423C">
        <w:rPr>
          <w:rFonts w:eastAsia="SimSun"/>
          <w:sz w:val="24"/>
          <w:szCs w:val="24"/>
          <w:lang w:val="zh-CN" w:eastAsia="zh-CN"/>
        </w:rPr>
        <w:t>2030</w:t>
      </w:r>
      <w:r w:rsidRPr="009B423C">
        <w:rPr>
          <w:rFonts w:eastAsia="SimSun"/>
          <w:sz w:val="24"/>
          <w:szCs w:val="24"/>
          <w:lang w:val="zh-CN" w:eastAsia="zh-CN"/>
        </w:rPr>
        <w:t>年之后时期的协议。对协议的修改可能会影响目标，但不会影响供资水平。因此，充资问题工作队认为所有剩余有资格获得资助的消费量问题将至迟于</w:t>
      </w:r>
      <w:r w:rsidRPr="009B423C">
        <w:rPr>
          <w:rFonts w:eastAsia="SimSun"/>
          <w:sz w:val="24"/>
          <w:szCs w:val="24"/>
          <w:lang w:val="zh-CN" w:eastAsia="zh-CN"/>
        </w:rPr>
        <w:t>2030</w:t>
      </w:r>
      <w:r w:rsidRPr="009B423C">
        <w:rPr>
          <w:rFonts w:eastAsia="SimSun"/>
          <w:sz w:val="24"/>
          <w:szCs w:val="24"/>
          <w:lang w:val="zh-CN" w:eastAsia="zh-CN"/>
        </w:rPr>
        <w:t>年得到解决。实现含氢氯氟烃逐步淘汰遵约目标的资金总额包含以下成本费用：含氢氯氟烃生产部门的成本；含氢氯氟烃消费部门（包括低消费量国家的能源效率项目）的成本；项目准备与验证费用。该任务尚未完成，因为仍需解决剩余消费量问题，以完成含氢氯氟烃的逐步淘汰。</w:t>
      </w:r>
    </w:p>
    <w:p w14:paraId="7C1383DE" w14:textId="77777777" w:rsidR="00B906B9" w:rsidRPr="006B67FE"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pacing w:val="-4"/>
          <w:sz w:val="24"/>
          <w:szCs w:val="24"/>
          <w:lang w:eastAsia="zh-CN"/>
        </w:rPr>
      </w:pPr>
      <w:r w:rsidRPr="006B67FE">
        <w:rPr>
          <w:rFonts w:eastAsia="SimSun"/>
          <w:spacing w:val="-4"/>
          <w:sz w:val="24"/>
          <w:szCs w:val="24"/>
          <w:lang w:val="zh-CN" w:eastAsia="zh-CN"/>
        </w:rPr>
        <w:t>对于生产部门，</w:t>
      </w:r>
      <w:r w:rsidRPr="006B67FE">
        <w:rPr>
          <w:rFonts w:eastAsia="SimSun"/>
          <w:spacing w:val="-4"/>
          <w:sz w:val="24"/>
          <w:szCs w:val="24"/>
          <w:lang w:val="zh-CN" w:eastAsia="zh-CN"/>
        </w:rPr>
        <w:t>2027–2029</w:t>
      </w:r>
      <w:r w:rsidRPr="006B67FE">
        <w:rPr>
          <w:rFonts w:eastAsia="SimSun"/>
          <w:spacing w:val="-4"/>
          <w:sz w:val="24"/>
          <w:szCs w:val="24"/>
          <w:lang w:val="zh-CN" w:eastAsia="zh-CN"/>
        </w:rPr>
        <w:t>三年期的供资需求总额估计为</w:t>
      </w:r>
      <w:r w:rsidRPr="006B67FE">
        <w:rPr>
          <w:rFonts w:eastAsia="SimSun"/>
          <w:spacing w:val="-4"/>
          <w:sz w:val="24"/>
          <w:szCs w:val="24"/>
          <w:lang w:val="zh-CN" w:eastAsia="zh-CN"/>
        </w:rPr>
        <w:t>2 354</w:t>
      </w:r>
      <w:r w:rsidRPr="006B67FE">
        <w:rPr>
          <w:rFonts w:eastAsia="SimSun"/>
          <w:spacing w:val="-4"/>
          <w:sz w:val="24"/>
          <w:szCs w:val="24"/>
          <w:lang w:val="zh-CN" w:eastAsia="zh-CN"/>
        </w:rPr>
        <w:t>万美元。详见报告第</w:t>
      </w:r>
      <w:r w:rsidRPr="006B67FE">
        <w:rPr>
          <w:rFonts w:eastAsia="SimSun"/>
          <w:spacing w:val="-4"/>
          <w:sz w:val="24"/>
          <w:szCs w:val="24"/>
          <w:lang w:val="zh-CN" w:eastAsia="zh-CN"/>
        </w:rPr>
        <w:t>2.9</w:t>
      </w:r>
      <w:r w:rsidRPr="006B67FE">
        <w:rPr>
          <w:rFonts w:eastAsia="SimSun"/>
          <w:spacing w:val="-4"/>
          <w:sz w:val="24"/>
          <w:szCs w:val="24"/>
          <w:lang w:val="zh-CN" w:eastAsia="zh-CN"/>
        </w:rPr>
        <w:t>节。只考虑了一个缔约方（中国）获得</w:t>
      </w:r>
      <w:r w:rsidRPr="006B67FE">
        <w:rPr>
          <w:rFonts w:eastAsia="SimSun"/>
          <w:spacing w:val="-4"/>
          <w:sz w:val="24"/>
          <w:szCs w:val="24"/>
          <w:lang w:val="zh-CN" w:eastAsia="zh-CN"/>
        </w:rPr>
        <w:t>2027–2029</w:t>
      </w:r>
      <w:r w:rsidRPr="006B67FE">
        <w:rPr>
          <w:rFonts w:eastAsia="SimSun"/>
          <w:spacing w:val="-4"/>
          <w:sz w:val="24"/>
          <w:szCs w:val="24"/>
          <w:lang w:val="zh-CN" w:eastAsia="zh-CN"/>
        </w:rPr>
        <w:t>年资助的问题。</w:t>
      </w:r>
    </w:p>
    <w:p w14:paraId="13B6D69C" w14:textId="5DCCE0C4"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对于消费部门，充资问题工作队的含氢氯氟烃遵约模型载于报告的附件</w:t>
      </w:r>
      <w:r w:rsidRPr="009B423C">
        <w:rPr>
          <w:rFonts w:eastAsia="SimSun"/>
          <w:sz w:val="24"/>
          <w:szCs w:val="24"/>
          <w:lang w:val="zh-CN" w:eastAsia="zh-CN"/>
        </w:rPr>
        <w:t>1</w:t>
      </w:r>
      <w:r w:rsidRPr="009B423C">
        <w:rPr>
          <w:rFonts w:eastAsia="SimSun"/>
          <w:sz w:val="24"/>
          <w:szCs w:val="24"/>
          <w:lang w:val="zh-CN" w:eastAsia="zh-CN"/>
        </w:rPr>
        <w:t>。工作队遵约模型中遵循的</w:t>
      </w:r>
      <w:r w:rsidRPr="009B423C">
        <w:rPr>
          <w:rFonts w:eastAsia="SimSun"/>
          <w:sz w:val="24"/>
          <w:szCs w:val="24"/>
          <w:lang w:val="zh-CN" w:eastAsia="zh-CN"/>
        </w:rPr>
        <w:t>A</w:t>
      </w:r>
      <w:r w:rsidRPr="009B423C">
        <w:rPr>
          <w:rFonts w:eastAsia="SimSun"/>
          <w:sz w:val="24"/>
          <w:szCs w:val="24"/>
          <w:lang w:val="zh-CN" w:eastAsia="zh-CN"/>
        </w:rPr>
        <w:t>到</w:t>
      </w:r>
      <w:r w:rsidRPr="009B423C">
        <w:rPr>
          <w:rFonts w:eastAsia="SimSun"/>
          <w:sz w:val="24"/>
          <w:szCs w:val="24"/>
          <w:lang w:val="zh-CN" w:eastAsia="zh-CN"/>
        </w:rPr>
        <w:t>E</w:t>
      </w:r>
      <w:r w:rsidRPr="009B423C">
        <w:rPr>
          <w:rFonts w:eastAsia="SimSun"/>
          <w:sz w:val="24"/>
          <w:szCs w:val="24"/>
          <w:lang w:val="zh-CN" w:eastAsia="zh-CN"/>
        </w:rPr>
        <w:t>步骤提供了截至执行委员会第</w:t>
      </w:r>
      <w:r w:rsidR="00CD44C7">
        <w:rPr>
          <w:rFonts w:eastAsia="SimSun" w:hint="eastAsia"/>
          <w:sz w:val="24"/>
          <w:szCs w:val="24"/>
          <w:lang w:val="zh-CN" w:eastAsia="zh-CN"/>
        </w:rPr>
        <w:t>九十七</w:t>
      </w:r>
      <w:r w:rsidRPr="009B423C">
        <w:rPr>
          <w:rFonts w:eastAsia="SimSun"/>
          <w:sz w:val="24"/>
          <w:szCs w:val="24"/>
          <w:lang w:val="zh-CN" w:eastAsia="zh-CN"/>
        </w:rPr>
        <w:t>届会议的估计所需资金概况。在</w:t>
      </w:r>
      <w:r w:rsidRPr="009B423C">
        <w:rPr>
          <w:rFonts w:eastAsia="SimSun"/>
          <w:sz w:val="24"/>
          <w:szCs w:val="24"/>
          <w:lang w:val="zh-CN" w:eastAsia="zh-CN"/>
        </w:rPr>
        <w:t>A</w:t>
      </w:r>
      <w:r w:rsidRPr="009B423C">
        <w:rPr>
          <w:rFonts w:eastAsia="SimSun"/>
          <w:sz w:val="24"/>
          <w:szCs w:val="24"/>
          <w:lang w:val="zh-CN" w:eastAsia="zh-CN"/>
        </w:rPr>
        <w:t>步骤中，截至执行委员会第</w:t>
      </w:r>
      <w:r w:rsidR="00CD44C7">
        <w:rPr>
          <w:rFonts w:eastAsia="SimSun" w:hint="eastAsia"/>
          <w:sz w:val="24"/>
          <w:szCs w:val="24"/>
          <w:lang w:val="zh-CN" w:eastAsia="zh-CN"/>
        </w:rPr>
        <w:t>九十七</w:t>
      </w:r>
      <w:r w:rsidRPr="009B423C">
        <w:rPr>
          <w:rFonts w:eastAsia="SimSun"/>
          <w:sz w:val="24"/>
          <w:szCs w:val="24"/>
          <w:lang w:val="zh-CN" w:eastAsia="zh-CN"/>
        </w:rPr>
        <w:t>届会议，承诺资金将支持</w:t>
      </w:r>
      <w:r w:rsidRPr="009B423C">
        <w:rPr>
          <w:rFonts w:eastAsia="SimSun"/>
          <w:sz w:val="24"/>
          <w:szCs w:val="24"/>
          <w:lang w:val="zh-CN" w:eastAsia="zh-CN"/>
        </w:rPr>
        <w:t>116</w:t>
      </w:r>
      <w:r w:rsidRPr="009B423C">
        <w:rPr>
          <w:rFonts w:eastAsia="SimSun"/>
          <w:sz w:val="24"/>
          <w:szCs w:val="24"/>
          <w:lang w:val="zh-CN" w:eastAsia="zh-CN"/>
        </w:rPr>
        <w:t>个已核准含氢氯氟烃逐步淘汰管理计划并达成到</w:t>
      </w:r>
      <w:r w:rsidRPr="009B423C">
        <w:rPr>
          <w:rFonts w:eastAsia="SimSun"/>
          <w:sz w:val="24"/>
          <w:szCs w:val="24"/>
          <w:lang w:val="zh-CN" w:eastAsia="zh-CN"/>
        </w:rPr>
        <w:t>2030</w:t>
      </w:r>
      <w:r w:rsidRPr="009B423C">
        <w:rPr>
          <w:rFonts w:eastAsia="SimSun"/>
          <w:sz w:val="24"/>
          <w:szCs w:val="24"/>
          <w:lang w:val="zh-CN" w:eastAsia="zh-CN"/>
        </w:rPr>
        <w:t>年全面淘汰协议的第</w:t>
      </w:r>
      <w:r w:rsidRPr="009B423C">
        <w:rPr>
          <w:rFonts w:eastAsia="SimSun"/>
          <w:sz w:val="24"/>
          <w:szCs w:val="24"/>
          <w:lang w:val="zh-CN" w:eastAsia="zh-CN"/>
        </w:rPr>
        <w:t>5</w:t>
      </w:r>
      <w:r w:rsidRPr="009B423C">
        <w:rPr>
          <w:rFonts w:eastAsia="SimSun"/>
          <w:sz w:val="24"/>
          <w:szCs w:val="24"/>
          <w:lang w:val="zh-CN" w:eastAsia="zh-CN"/>
        </w:rPr>
        <w:t>条缔约方。在</w:t>
      </w:r>
      <w:r w:rsidRPr="009B423C">
        <w:rPr>
          <w:rFonts w:eastAsia="SimSun"/>
          <w:sz w:val="24"/>
          <w:szCs w:val="24"/>
          <w:lang w:val="zh-CN" w:eastAsia="zh-CN"/>
        </w:rPr>
        <w:t>B</w:t>
      </w:r>
      <w:r w:rsidRPr="009B423C">
        <w:rPr>
          <w:rFonts w:eastAsia="SimSun"/>
          <w:sz w:val="24"/>
          <w:szCs w:val="24"/>
          <w:lang w:val="zh-CN" w:eastAsia="zh-CN"/>
        </w:rPr>
        <w:t>步骤中，工作队审议了为三个已取消含氢氯氟烃逐步淘汰管理计划的第</w:t>
      </w:r>
      <w:r w:rsidRPr="009B423C">
        <w:rPr>
          <w:rFonts w:eastAsia="SimSun"/>
          <w:sz w:val="24"/>
          <w:szCs w:val="24"/>
          <w:lang w:val="zh-CN" w:eastAsia="zh-CN"/>
        </w:rPr>
        <w:t>5</w:t>
      </w:r>
      <w:r w:rsidRPr="009B423C">
        <w:rPr>
          <w:rFonts w:eastAsia="SimSun"/>
          <w:sz w:val="24"/>
          <w:szCs w:val="24"/>
          <w:lang w:val="zh-CN" w:eastAsia="zh-CN"/>
        </w:rPr>
        <w:t>条缔约方提供的新资金，</w:t>
      </w:r>
      <w:r w:rsidRPr="00FA2EEE">
        <w:rPr>
          <w:rFonts w:eastAsia="SimSun" w:hint="eastAsia"/>
          <w:sz w:val="24"/>
          <w:szCs w:val="24"/>
          <w:lang w:val="zh-CN" w:eastAsia="zh-CN"/>
        </w:rPr>
        <w:t>工作队认为这三个缔约方将重新提交其含氢氯氟烃逐步淘汰管理计划</w:t>
      </w:r>
      <w:r w:rsidRPr="009B423C">
        <w:rPr>
          <w:rFonts w:eastAsia="SimSun"/>
          <w:sz w:val="24"/>
          <w:szCs w:val="24"/>
          <w:lang w:val="zh-CN" w:eastAsia="zh-CN"/>
        </w:rPr>
        <w:t>，以便在下一个三年期实现全面淘汰。在</w:t>
      </w:r>
      <w:r w:rsidRPr="009B423C">
        <w:rPr>
          <w:rFonts w:eastAsia="SimSun"/>
          <w:sz w:val="24"/>
          <w:szCs w:val="24"/>
          <w:lang w:val="zh-CN" w:eastAsia="zh-CN"/>
        </w:rPr>
        <w:t>C</w:t>
      </w:r>
      <w:r w:rsidRPr="009B423C">
        <w:rPr>
          <w:rFonts w:eastAsia="SimSun"/>
          <w:sz w:val="24"/>
          <w:szCs w:val="24"/>
          <w:lang w:val="zh-CN" w:eastAsia="zh-CN"/>
        </w:rPr>
        <w:t>步骤中，工作队审议了已核准的含氢氯氟烃逐步淘汰管理计划阶段的承诺资金，并计算了估计资金，以应对协议未达到</w:t>
      </w:r>
      <w:r w:rsidRPr="009B423C">
        <w:rPr>
          <w:rFonts w:eastAsia="SimSun"/>
          <w:sz w:val="24"/>
          <w:szCs w:val="24"/>
          <w:lang w:val="zh-CN" w:eastAsia="zh-CN"/>
        </w:rPr>
        <w:t>100%</w:t>
      </w:r>
      <w:r w:rsidRPr="009B423C">
        <w:rPr>
          <w:rFonts w:eastAsia="SimSun"/>
          <w:sz w:val="24"/>
          <w:szCs w:val="24"/>
          <w:lang w:val="zh-CN" w:eastAsia="zh-CN"/>
        </w:rPr>
        <w:t>完全淘汰的缔约方的剩余符合资格消费量问题。根据职权范围中的要求，工作队基于制造业的不同成本效益阈值提出了两种设想方案，并根据第</w:t>
      </w:r>
      <w:r w:rsidRPr="009B423C">
        <w:rPr>
          <w:rFonts w:eastAsia="SimSun"/>
          <w:sz w:val="24"/>
          <w:szCs w:val="24"/>
          <w:lang w:val="zh-CN" w:eastAsia="zh-CN"/>
        </w:rPr>
        <w:t>74/50</w:t>
      </w:r>
      <w:r w:rsidRPr="009B423C">
        <w:rPr>
          <w:rFonts w:eastAsia="SimSun"/>
          <w:sz w:val="24"/>
          <w:szCs w:val="24"/>
          <w:lang w:val="zh-CN" w:eastAsia="zh-CN"/>
        </w:rPr>
        <w:t>号决定单独计算了针对低消费量国家的新估计资金。接下来的几张幻灯片详细介绍了针对</w:t>
      </w:r>
      <w:r w:rsidRPr="009B423C">
        <w:rPr>
          <w:rFonts w:eastAsia="SimSun"/>
          <w:sz w:val="24"/>
          <w:szCs w:val="24"/>
          <w:lang w:val="zh-CN" w:eastAsia="zh-CN"/>
        </w:rPr>
        <w:t>15</w:t>
      </w:r>
      <w:r w:rsidRPr="009B423C">
        <w:rPr>
          <w:rFonts w:eastAsia="SimSun"/>
          <w:sz w:val="24"/>
          <w:szCs w:val="24"/>
          <w:lang w:val="zh-CN" w:eastAsia="zh-CN"/>
        </w:rPr>
        <w:t>个非低消费量国家缔约方的步骤</w:t>
      </w:r>
      <w:r w:rsidRPr="009B423C">
        <w:rPr>
          <w:rFonts w:eastAsia="SimSun"/>
          <w:sz w:val="24"/>
          <w:szCs w:val="24"/>
          <w:lang w:val="zh-CN" w:eastAsia="zh-CN"/>
        </w:rPr>
        <w:t>C</w:t>
      </w:r>
      <w:r w:rsidRPr="009B423C">
        <w:rPr>
          <w:rFonts w:eastAsia="SimSun"/>
          <w:sz w:val="24"/>
          <w:szCs w:val="24"/>
          <w:lang w:val="zh-CN" w:eastAsia="zh-CN"/>
        </w:rPr>
        <w:t>，因为这对供资水平的影响最大。此外，该模型还分别考虑了步骤</w:t>
      </w:r>
      <w:r w:rsidRPr="009B423C">
        <w:rPr>
          <w:rFonts w:eastAsia="SimSun"/>
          <w:sz w:val="24"/>
          <w:szCs w:val="24"/>
          <w:lang w:val="zh-CN" w:eastAsia="zh-CN"/>
        </w:rPr>
        <w:t>D</w:t>
      </w:r>
      <w:r w:rsidRPr="009B423C">
        <w:rPr>
          <w:rFonts w:eastAsia="SimSun"/>
          <w:sz w:val="24"/>
          <w:szCs w:val="24"/>
          <w:lang w:val="zh-CN" w:eastAsia="zh-CN"/>
        </w:rPr>
        <w:t>和步骤</w:t>
      </w:r>
      <w:r w:rsidRPr="009B423C">
        <w:rPr>
          <w:rFonts w:eastAsia="SimSun"/>
          <w:sz w:val="24"/>
          <w:szCs w:val="24"/>
          <w:lang w:val="zh-CN" w:eastAsia="zh-CN"/>
        </w:rPr>
        <w:t>E</w:t>
      </w:r>
      <w:r w:rsidRPr="009B423C">
        <w:rPr>
          <w:rFonts w:eastAsia="SimSun"/>
          <w:sz w:val="24"/>
          <w:szCs w:val="24"/>
          <w:lang w:val="zh-CN" w:eastAsia="zh-CN"/>
        </w:rPr>
        <w:t>、根据第</w:t>
      </w:r>
      <w:r w:rsidRPr="009B423C">
        <w:rPr>
          <w:rFonts w:eastAsia="SimSun"/>
          <w:sz w:val="24"/>
          <w:szCs w:val="24"/>
          <w:lang w:val="zh-CN" w:eastAsia="zh-CN"/>
        </w:rPr>
        <w:t>89/6</w:t>
      </w:r>
      <w:r w:rsidRPr="009B423C">
        <w:rPr>
          <w:rFonts w:eastAsia="SimSun"/>
          <w:sz w:val="24"/>
          <w:szCs w:val="24"/>
          <w:lang w:val="zh-CN" w:eastAsia="zh-CN"/>
        </w:rPr>
        <w:t>号决定提交的低消费量国家缔约方能效文件，以及所有新项目准备和验证费用。</w:t>
      </w:r>
    </w:p>
    <w:p w14:paraId="6853E088"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在设想方案</w:t>
      </w:r>
      <w:r w:rsidRPr="009B423C">
        <w:rPr>
          <w:rFonts w:eastAsia="SimSun"/>
          <w:sz w:val="24"/>
          <w:szCs w:val="24"/>
          <w:lang w:val="zh-CN" w:eastAsia="zh-CN"/>
        </w:rPr>
        <w:t>1</w:t>
      </w:r>
      <w:r w:rsidRPr="009B423C">
        <w:rPr>
          <w:rFonts w:eastAsia="SimSun"/>
          <w:sz w:val="24"/>
          <w:szCs w:val="24"/>
          <w:lang w:val="zh-CN" w:eastAsia="zh-CN"/>
        </w:rPr>
        <w:t>下，名为</w:t>
      </w:r>
      <w:r w:rsidRPr="009B423C">
        <w:rPr>
          <w:rFonts w:ascii="SimSun" w:eastAsia="SimSun" w:hAnsi="SimSun"/>
          <w:sz w:val="24"/>
          <w:szCs w:val="24"/>
          <w:lang w:val="zh-CN" w:eastAsia="zh-CN"/>
        </w:rPr>
        <w:t>“</w:t>
      </w:r>
      <w:r w:rsidRPr="009B423C">
        <w:rPr>
          <w:rFonts w:eastAsia="SimSun"/>
          <w:sz w:val="24"/>
          <w:szCs w:val="24"/>
          <w:lang w:val="zh-CN" w:eastAsia="zh-CN"/>
        </w:rPr>
        <w:t>ExCom 89/10/Rev.1</w:t>
      </w:r>
      <w:r w:rsidRPr="009B423C">
        <w:rPr>
          <w:rFonts w:eastAsia="SimSun"/>
          <w:sz w:val="24"/>
          <w:szCs w:val="24"/>
          <w:lang w:val="zh-CN" w:eastAsia="zh-CN"/>
        </w:rPr>
        <w:t>号文件的充资问题工作队分析</w:t>
      </w:r>
      <w:r w:rsidRPr="009B423C">
        <w:rPr>
          <w:rFonts w:ascii="SimSun" w:eastAsia="SimSun" w:hAnsi="SimSun"/>
          <w:sz w:val="24"/>
          <w:szCs w:val="24"/>
          <w:lang w:val="zh-CN" w:eastAsia="zh-CN"/>
        </w:rPr>
        <w:t>”</w:t>
      </w:r>
      <w:r w:rsidRPr="009B423C">
        <w:rPr>
          <w:rFonts w:eastAsia="SimSun"/>
          <w:sz w:val="24"/>
          <w:szCs w:val="24"/>
          <w:lang w:val="zh-CN" w:eastAsia="zh-CN"/>
        </w:rPr>
        <w:t>的文件（充资问题工作队报告附件</w:t>
      </w:r>
      <w:r w:rsidRPr="009B423C">
        <w:rPr>
          <w:rFonts w:eastAsia="SimSun"/>
          <w:sz w:val="24"/>
          <w:szCs w:val="24"/>
          <w:lang w:val="zh-CN" w:eastAsia="zh-CN"/>
        </w:rPr>
        <w:t>2</w:t>
      </w:r>
      <w:r w:rsidRPr="009B423C">
        <w:rPr>
          <w:rFonts w:eastAsia="SimSun"/>
          <w:sz w:val="24"/>
          <w:szCs w:val="24"/>
          <w:lang w:val="zh-CN" w:eastAsia="zh-CN"/>
        </w:rPr>
        <w:t>）中详细介绍了针对制造业使用的成本效益阈值。工作队填补了一些逐案考虑行业的成本效益空白。对于中国，工作队根据</w:t>
      </w:r>
      <w:r w:rsidRPr="009B423C">
        <w:rPr>
          <w:rFonts w:eastAsia="SimSun"/>
          <w:sz w:val="24"/>
          <w:szCs w:val="24"/>
          <w:lang w:val="zh-CN" w:eastAsia="zh-CN"/>
        </w:rPr>
        <w:t>ExCom 89/10/Rev.1</w:t>
      </w:r>
      <w:r w:rsidRPr="009B423C">
        <w:rPr>
          <w:rFonts w:eastAsia="SimSun"/>
          <w:sz w:val="24"/>
          <w:szCs w:val="24"/>
          <w:lang w:val="zh-CN" w:eastAsia="zh-CN"/>
        </w:rPr>
        <w:t>号文件中列出的中国投资项目收集了每个行业的平均成本效益信息。对于其他</w:t>
      </w:r>
      <w:r w:rsidRPr="009B423C">
        <w:rPr>
          <w:rFonts w:eastAsia="SimSun"/>
          <w:sz w:val="24"/>
          <w:szCs w:val="24"/>
          <w:lang w:val="zh-CN" w:eastAsia="zh-CN"/>
        </w:rPr>
        <w:t>14</w:t>
      </w:r>
      <w:r w:rsidRPr="009B423C">
        <w:rPr>
          <w:rFonts w:eastAsia="SimSun"/>
          <w:sz w:val="24"/>
          <w:szCs w:val="24"/>
          <w:lang w:val="zh-CN" w:eastAsia="zh-CN"/>
        </w:rPr>
        <w:t>个缔约方，工作队收集了针对所列投资项目的每个行业平均成本效益信息，其中不包括中国的项目。对于所有</w:t>
      </w:r>
      <w:r w:rsidRPr="009B423C">
        <w:rPr>
          <w:rFonts w:eastAsia="SimSun"/>
          <w:sz w:val="24"/>
          <w:szCs w:val="24"/>
          <w:lang w:val="zh-CN" w:eastAsia="zh-CN"/>
        </w:rPr>
        <w:t>15</w:t>
      </w:r>
      <w:r w:rsidRPr="009B423C">
        <w:rPr>
          <w:rFonts w:eastAsia="SimSun"/>
          <w:sz w:val="24"/>
          <w:szCs w:val="24"/>
          <w:lang w:val="zh-CN" w:eastAsia="zh-CN"/>
        </w:rPr>
        <w:t>个非低消费量国家缔约方，工作队应用了维修部门成本准则中的</w:t>
      </w:r>
      <w:r w:rsidRPr="009B423C">
        <w:rPr>
          <w:rFonts w:eastAsia="SimSun"/>
          <w:sz w:val="24"/>
          <w:szCs w:val="24"/>
          <w:lang w:val="zh-CN" w:eastAsia="zh-CN"/>
        </w:rPr>
        <w:t>4.8</w:t>
      </w:r>
      <w:r w:rsidRPr="009B423C">
        <w:rPr>
          <w:rFonts w:eastAsia="SimSun"/>
          <w:sz w:val="24"/>
          <w:szCs w:val="24"/>
          <w:lang w:val="zh-CN" w:eastAsia="zh-CN"/>
        </w:rPr>
        <w:t>美元</w:t>
      </w:r>
      <w:r w:rsidRPr="009B423C">
        <w:rPr>
          <w:rFonts w:eastAsia="SimSun"/>
          <w:sz w:val="24"/>
          <w:szCs w:val="24"/>
          <w:lang w:val="zh-CN" w:eastAsia="zh-CN"/>
        </w:rPr>
        <w:t>/</w:t>
      </w:r>
      <w:r w:rsidRPr="009B423C">
        <w:rPr>
          <w:rFonts w:eastAsia="SimSun"/>
          <w:sz w:val="24"/>
          <w:szCs w:val="24"/>
          <w:lang w:val="zh-CN" w:eastAsia="zh-CN"/>
        </w:rPr>
        <w:t>千克这一数值。</w:t>
      </w:r>
      <w:r w:rsidRPr="009B423C">
        <w:rPr>
          <w:rFonts w:eastAsia="SimSun"/>
          <w:sz w:val="24"/>
          <w:szCs w:val="24"/>
          <w:lang w:val="zh-CN" w:eastAsia="zh-CN"/>
        </w:rPr>
        <w:lastRenderedPageBreak/>
        <w:t>在设想方案</w:t>
      </w:r>
      <w:r w:rsidRPr="009B423C">
        <w:rPr>
          <w:rFonts w:eastAsia="SimSun"/>
          <w:sz w:val="24"/>
          <w:szCs w:val="24"/>
          <w:lang w:val="zh-CN" w:eastAsia="zh-CN"/>
        </w:rPr>
        <w:t>1</w:t>
      </w:r>
      <w:r w:rsidRPr="009B423C">
        <w:rPr>
          <w:rFonts w:eastAsia="SimSun"/>
          <w:sz w:val="24"/>
          <w:szCs w:val="24"/>
          <w:lang w:val="zh-CN" w:eastAsia="zh-CN"/>
        </w:rPr>
        <w:t>下，将</w:t>
      </w:r>
      <w:r w:rsidRPr="009B423C">
        <w:rPr>
          <w:rFonts w:eastAsia="SimSun"/>
          <w:sz w:val="24"/>
          <w:szCs w:val="24"/>
          <w:lang w:val="zh-CN" w:eastAsia="zh-CN"/>
        </w:rPr>
        <w:t>9.6%</w:t>
      </w:r>
      <w:r w:rsidRPr="009B423C">
        <w:rPr>
          <w:rFonts w:eastAsia="SimSun"/>
          <w:sz w:val="24"/>
          <w:szCs w:val="24"/>
          <w:lang w:val="zh-CN" w:eastAsia="zh-CN"/>
        </w:rPr>
        <w:t>的支助费用包括在内并应用制造业的历史成本效益数值，</w:t>
      </w:r>
      <w:r w:rsidRPr="009B423C">
        <w:rPr>
          <w:rFonts w:eastAsia="SimSun"/>
          <w:sz w:val="24"/>
          <w:szCs w:val="24"/>
          <w:lang w:val="zh-CN" w:eastAsia="zh-CN"/>
        </w:rPr>
        <w:t>15</w:t>
      </w:r>
      <w:r w:rsidRPr="009B423C">
        <w:rPr>
          <w:rFonts w:eastAsia="SimSun"/>
          <w:sz w:val="24"/>
          <w:szCs w:val="24"/>
          <w:lang w:val="zh-CN" w:eastAsia="zh-CN"/>
        </w:rPr>
        <w:t>个非低消费量缔约方消费部门</w:t>
      </w:r>
      <w:r w:rsidRPr="009B423C">
        <w:rPr>
          <w:rFonts w:eastAsia="SimSun"/>
          <w:sz w:val="24"/>
          <w:szCs w:val="24"/>
          <w:lang w:val="zh-CN" w:eastAsia="zh-CN"/>
        </w:rPr>
        <w:t>100%</w:t>
      </w:r>
      <w:r w:rsidRPr="009B423C">
        <w:rPr>
          <w:rFonts w:eastAsia="SimSun"/>
          <w:sz w:val="24"/>
          <w:szCs w:val="24"/>
          <w:lang w:val="zh-CN" w:eastAsia="zh-CN"/>
        </w:rPr>
        <w:t>淘汰的估计资金为</w:t>
      </w:r>
      <w:r w:rsidRPr="009B423C">
        <w:rPr>
          <w:rFonts w:eastAsia="SimSun"/>
          <w:sz w:val="24"/>
          <w:szCs w:val="24"/>
          <w:lang w:val="zh-CN" w:eastAsia="zh-CN"/>
        </w:rPr>
        <w:t>3.7</w:t>
      </w:r>
      <w:r w:rsidRPr="009B423C">
        <w:rPr>
          <w:rFonts w:eastAsia="SimSun"/>
          <w:sz w:val="24"/>
          <w:szCs w:val="24"/>
          <w:lang w:val="zh-CN" w:eastAsia="zh-CN"/>
        </w:rPr>
        <w:t>亿美元。</w:t>
      </w:r>
    </w:p>
    <w:p w14:paraId="74D9B4A5"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在设想方案</w:t>
      </w:r>
      <w:r w:rsidRPr="009B423C">
        <w:rPr>
          <w:rFonts w:eastAsia="SimSun"/>
          <w:sz w:val="24"/>
          <w:szCs w:val="24"/>
          <w:lang w:val="zh-CN" w:eastAsia="zh-CN"/>
        </w:rPr>
        <w:t>2</w:t>
      </w:r>
      <w:r w:rsidRPr="009B423C">
        <w:rPr>
          <w:rFonts w:eastAsia="SimSun"/>
          <w:sz w:val="24"/>
          <w:szCs w:val="24"/>
          <w:lang w:val="zh-CN" w:eastAsia="zh-CN"/>
        </w:rPr>
        <w:t>下，对于所有</w:t>
      </w:r>
      <w:r w:rsidRPr="009B423C">
        <w:rPr>
          <w:rFonts w:eastAsia="SimSun"/>
          <w:sz w:val="24"/>
          <w:szCs w:val="24"/>
          <w:lang w:val="zh-CN" w:eastAsia="zh-CN"/>
        </w:rPr>
        <w:t>15</w:t>
      </w:r>
      <w:r w:rsidRPr="009B423C">
        <w:rPr>
          <w:rFonts w:eastAsia="SimSun"/>
          <w:sz w:val="24"/>
          <w:szCs w:val="24"/>
          <w:lang w:val="zh-CN" w:eastAsia="zh-CN"/>
        </w:rPr>
        <w:t>个缔约方，充资问题工作队使用了含氢氯氟烃成本准则中的制造行业成本效益上限阈值，并填补了逐案考虑的行业的一些成本效益空白。对于维修行业，工作队应用了</w:t>
      </w:r>
      <w:r w:rsidRPr="009B423C">
        <w:rPr>
          <w:rFonts w:eastAsia="SimSun"/>
          <w:sz w:val="24"/>
          <w:szCs w:val="24"/>
          <w:lang w:val="zh-CN" w:eastAsia="zh-CN"/>
        </w:rPr>
        <w:t>4.8</w:t>
      </w:r>
      <w:r w:rsidRPr="009B423C">
        <w:rPr>
          <w:rFonts w:eastAsia="SimSun"/>
          <w:sz w:val="24"/>
          <w:szCs w:val="24"/>
          <w:lang w:val="zh-CN" w:eastAsia="zh-CN"/>
        </w:rPr>
        <w:t>美元</w:t>
      </w:r>
      <w:r w:rsidRPr="009B423C">
        <w:rPr>
          <w:rFonts w:eastAsia="SimSun"/>
          <w:sz w:val="24"/>
          <w:szCs w:val="24"/>
          <w:lang w:val="zh-CN" w:eastAsia="zh-CN"/>
        </w:rPr>
        <w:t>/</w:t>
      </w:r>
      <w:r w:rsidRPr="009B423C">
        <w:rPr>
          <w:rFonts w:eastAsia="SimSun"/>
          <w:sz w:val="24"/>
          <w:szCs w:val="24"/>
          <w:lang w:val="zh-CN" w:eastAsia="zh-CN"/>
        </w:rPr>
        <w:t>千克（成本准则）这一数值。在设想方案</w:t>
      </w:r>
      <w:r w:rsidRPr="009B423C">
        <w:rPr>
          <w:rFonts w:eastAsia="SimSun"/>
          <w:sz w:val="24"/>
          <w:szCs w:val="24"/>
          <w:lang w:val="zh-CN" w:eastAsia="zh-CN"/>
        </w:rPr>
        <w:t>2</w:t>
      </w:r>
      <w:r w:rsidRPr="009B423C">
        <w:rPr>
          <w:rFonts w:eastAsia="SimSun"/>
          <w:sz w:val="24"/>
          <w:szCs w:val="24"/>
          <w:lang w:val="zh-CN" w:eastAsia="zh-CN"/>
        </w:rPr>
        <w:t>下，将</w:t>
      </w:r>
      <w:r w:rsidRPr="009B423C">
        <w:rPr>
          <w:rFonts w:eastAsia="SimSun"/>
          <w:sz w:val="24"/>
          <w:szCs w:val="24"/>
          <w:lang w:val="zh-CN" w:eastAsia="zh-CN"/>
        </w:rPr>
        <w:t>9.6%</w:t>
      </w:r>
      <w:r w:rsidRPr="009B423C">
        <w:rPr>
          <w:rFonts w:eastAsia="SimSun"/>
          <w:sz w:val="24"/>
          <w:szCs w:val="24"/>
          <w:lang w:val="zh-CN" w:eastAsia="zh-CN"/>
        </w:rPr>
        <w:t>的支助费用包括在内并应用成本准则中的制造业成本效益数值，</w:t>
      </w:r>
      <w:r w:rsidRPr="009B423C">
        <w:rPr>
          <w:rFonts w:eastAsia="SimSun"/>
          <w:sz w:val="24"/>
          <w:szCs w:val="24"/>
          <w:lang w:val="zh-CN" w:eastAsia="zh-CN"/>
        </w:rPr>
        <w:t>15</w:t>
      </w:r>
      <w:r w:rsidRPr="009B423C">
        <w:rPr>
          <w:rFonts w:eastAsia="SimSun"/>
          <w:sz w:val="24"/>
          <w:szCs w:val="24"/>
          <w:lang w:val="zh-CN" w:eastAsia="zh-CN"/>
        </w:rPr>
        <w:t>个非低消费量缔约方消费部门</w:t>
      </w:r>
      <w:r w:rsidRPr="009B423C">
        <w:rPr>
          <w:rFonts w:eastAsia="SimSun"/>
          <w:sz w:val="24"/>
          <w:szCs w:val="24"/>
          <w:lang w:val="zh-CN" w:eastAsia="zh-CN"/>
        </w:rPr>
        <w:t>100%</w:t>
      </w:r>
      <w:r w:rsidRPr="009B423C">
        <w:rPr>
          <w:rFonts w:eastAsia="SimSun"/>
          <w:sz w:val="24"/>
          <w:szCs w:val="24"/>
          <w:lang w:val="zh-CN" w:eastAsia="zh-CN"/>
        </w:rPr>
        <w:t>淘汰的估计资金为</w:t>
      </w:r>
      <w:r w:rsidRPr="009B423C">
        <w:rPr>
          <w:rFonts w:eastAsia="SimSun"/>
          <w:sz w:val="24"/>
          <w:szCs w:val="24"/>
          <w:lang w:val="zh-CN" w:eastAsia="zh-CN"/>
        </w:rPr>
        <w:t>5.06</w:t>
      </w:r>
      <w:r w:rsidRPr="009B423C">
        <w:rPr>
          <w:rFonts w:eastAsia="SimSun"/>
          <w:sz w:val="24"/>
          <w:szCs w:val="24"/>
          <w:lang w:val="zh-CN" w:eastAsia="zh-CN"/>
        </w:rPr>
        <w:t>亿美元。</w:t>
      </w:r>
    </w:p>
    <w:p w14:paraId="5EF405B7"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充资问题工作队将两种设想方案应用于</w:t>
      </w:r>
      <w:r w:rsidRPr="009B423C">
        <w:rPr>
          <w:rFonts w:eastAsia="SimSun"/>
          <w:sz w:val="24"/>
          <w:szCs w:val="24"/>
          <w:lang w:val="zh-CN" w:eastAsia="zh-CN"/>
        </w:rPr>
        <w:t>15</w:t>
      </w:r>
      <w:r w:rsidRPr="009B423C">
        <w:rPr>
          <w:rFonts w:eastAsia="SimSun"/>
          <w:sz w:val="24"/>
          <w:szCs w:val="24"/>
          <w:lang w:val="zh-CN" w:eastAsia="zh-CN"/>
        </w:rPr>
        <w:t>个非低消费量国家缔约方完全淘汰含氢氯氟烃的情况，以此估计了供资范围；此后，还对制造业的资金进行了</w:t>
      </w:r>
      <w:r w:rsidRPr="009B423C">
        <w:rPr>
          <w:rFonts w:eastAsia="SimSun"/>
          <w:sz w:val="24"/>
          <w:szCs w:val="24"/>
          <w:lang w:val="zh-CN" w:eastAsia="zh-CN"/>
        </w:rPr>
        <w:t>15%</w:t>
      </w:r>
      <w:r w:rsidRPr="009B423C">
        <w:rPr>
          <w:rFonts w:eastAsia="SimSun"/>
          <w:sz w:val="24"/>
          <w:szCs w:val="24"/>
          <w:lang w:val="zh-CN" w:eastAsia="zh-CN"/>
        </w:rPr>
        <w:t>的扣除，以考虑外国所有权。在针对补充报告考虑指导意见之前，尚未包括项目管理股费用。生产和消费部门的总资金估计数（包括能效、项目准备和验证）是使用充资问题工作队建议的资源配置方案进行分配的，具体如下：</w:t>
      </w:r>
      <w:r w:rsidRPr="009B423C">
        <w:rPr>
          <w:rFonts w:eastAsia="SimSun"/>
          <w:sz w:val="24"/>
          <w:szCs w:val="24"/>
          <w:lang w:val="zh-CN" w:eastAsia="zh-CN"/>
        </w:rPr>
        <w:t>2027–2029</w:t>
      </w:r>
      <w:r w:rsidRPr="009B423C">
        <w:rPr>
          <w:rFonts w:eastAsia="SimSun"/>
          <w:sz w:val="24"/>
          <w:szCs w:val="24"/>
          <w:lang w:val="zh-CN" w:eastAsia="zh-CN"/>
        </w:rPr>
        <w:t>年分配</w:t>
      </w:r>
      <w:r w:rsidRPr="009B423C">
        <w:rPr>
          <w:rFonts w:eastAsia="SimSun"/>
          <w:sz w:val="24"/>
          <w:szCs w:val="24"/>
          <w:lang w:val="zh-CN" w:eastAsia="zh-CN"/>
        </w:rPr>
        <w:t>90%</w:t>
      </w:r>
      <w:r w:rsidRPr="009B423C">
        <w:rPr>
          <w:rFonts w:eastAsia="SimSun"/>
          <w:sz w:val="24"/>
          <w:szCs w:val="24"/>
          <w:lang w:val="zh-CN" w:eastAsia="zh-CN"/>
        </w:rPr>
        <w:t>的资金，</w:t>
      </w:r>
      <w:r w:rsidRPr="009B423C">
        <w:rPr>
          <w:rFonts w:eastAsia="SimSun"/>
          <w:sz w:val="24"/>
          <w:szCs w:val="24"/>
          <w:lang w:val="zh-CN" w:eastAsia="zh-CN"/>
        </w:rPr>
        <w:t>2029</w:t>
      </w:r>
      <w:r w:rsidRPr="009B423C">
        <w:rPr>
          <w:rFonts w:eastAsia="SimSun"/>
          <w:sz w:val="24"/>
          <w:szCs w:val="24"/>
          <w:lang w:val="zh-CN" w:eastAsia="zh-CN"/>
        </w:rPr>
        <w:t>年后针对最后一批款项分配</w:t>
      </w:r>
      <w:r w:rsidRPr="009B423C">
        <w:rPr>
          <w:rFonts w:eastAsia="SimSun"/>
          <w:sz w:val="24"/>
          <w:szCs w:val="24"/>
          <w:lang w:val="zh-CN" w:eastAsia="zh-CN"/>
        </w:rPr>
        <w:t>10%</w:t>
      </w:r>
      <w:r w:rsidRPr="009B423C">
        <w:rPr>
          <w:rFonts w:eastAsia="SimSun"/>
          <w:sz w:val="24"/>
          <w:szCs w:val="24"/>
          <w:lang w:val="zh-CN" w:eastAsia="zh-CN"/>
        </w:rPr>
        <w:t>的资金。对于设想方案</w:t>
      </w:r>
      <w:r w:rsidRPr="009B423C">
        <w:rPr>
          <w:rFonts w:eastAsia="SimSun"/>
          <w:sz w:val="24"/>
          <w:szCs w:val="24"/>
          <w:lang w:val="zh-CN" w:eastAsia="zh-CN"/>
        </w:rPr>
        <w:t>1</w:t>
      </w:r>
      <w:r w:rsidRPr="009B423C">
        <w:rPr>
          <w:rFonts w:eastAsia="SimSun"/>
          <w:sz w:val="24"/>
          <w:szCs w:val="24"/>
          <w:lang w:val="zh-CN" w:eastAsia="zh-CN"/>
        </w:rPr>
        <w:t>下的消费部门，拟议资金分配估计数为：</w:t>
      </w:r>
      <w:r w:rsidRPr="009B423C">
        <w:rPr>
          <w:rFonts w:eastAsia="SimSun"/>
          <w:sz w:val="24"/>
          <w:szCs w:val="24"/>
          <w:lang w:val="zh-CN" w:eastAsia="zh-CN"/>
        </w:rPr>
        <w:t>2027–2029</w:t>
      </w:r>
      <w:r w:rsidRPr="009B423C">
        <w:rPr>
          <w:rFonts w:eastAsia="SimSun"/>
          <w:sz w:val="24"/>
          <w:szCs w:val="24"/>
          <w:lang w:val="zh-CN" w:eastAsia="zh-CN"/>
        </w:rPr>
        <w:t>年</w:t>
      </w:r>
      <w:r w:rsidRPr="009B423C">
        <w:rPr>
          <w:rFonts w:eastAsia="SimSun"/>
          <w:sz w:val="24"/>
          <w:szCs w:val="24"/>
          <w:lang w:val="zh-CN" w:eastAsia="zh-CN"/>
        </w:rPr>
        <w:t>4.276</w:t>
      </w:r>
      <w:r w:rsidRPr="009B423C">
        <w:rPr>
          <w:rFonts w:eastAsia="SimSun"/>
          <w:sz w:val="24"/>
          <w:szCs w:val="24"/>
          <w:lang w:val="zh-CN" w:eastAsia="zh-CN"/>
        </w:rPr>
        <w:t>亿美元，</w:t>
      </w:r>
      <w:r w:rsidRPr="009B423C">
        <w:rPr>
          <w:rFonts w:eastAsia="SimSun"/>
          <w:sz w:val="24"/>
          <w:szCs w:val="24"/>
          <w:lang w:val="zh-CN" w:eastAsia="zh-CN"/>
        </w:rPr>
        <w:t>2030</w:t>
      </w:r>
      <w:r w:rsidRPr="009B423C">
        <w:rPr>
          <w:rFonts w:eastAsia="SimSun"/>
          <w:sz w:val="24"/>
          <w:szCs w:val="24"/>
          <w:lang w:val="zh-CN" w:eastAsia="zh-CN"/>
        </w:rPr>
        <w:t>年</w:t>
      </w:r>
      <w:r w:rsidRPr="009B423C">
        <w:rPr>
          <w:rFonts w:eastAsia="SimSun"/>
          <w:sz w:val="24"/>
          <w:szCs w:val="24"/>
          <w:lang w:val="zh-CN" w:eastAsia="zh-CN"/>
        </w:rPr>
        <w:t>5 900</w:t>
      </w:r>
      <w:r w:rsidRPr="009B423C">
        <w:rPr>
          <w:rFonts w:eastAsia="SimSun"/>
          <w:sz w:val="24"/>
          <w:szCs w:val="24"/>
          <w:lang w:val="zh-CN" w:eastAsia="zh-CN"/>
        </w:rPr>
        <w:t>万美元。对于设想方案</w:t>
      </w:r>
      <w:r w:rsidRPr="009B423C">
        <w:rPr>
          <w:rFonts w:eastAsia="SimSun"/>
          <w:sz w:val="24"/>
          <w:szCs w:val="24"/>
          <w:lang w:val="zh-CN" w:eastAsia="zh-CN"/>
        </w:rPr>
        <w:t>2</w:t>
      </w:r>
      <w:r w:rsidRPr="009B423C">
        <w:rPr>
          <w:rFonts w:eastAsia="SimSun"/>
          <w:sz w:val="24"/>
          <w:szCs w:val="24"/>
          <w:lang w:val="zh-CN" w:eastAsia="zh-CN"/>
        </w:rPr>
        <w:t>，拟议资金分配估计数为：</w:t>
      </w:r>
      <w:r w:rsidRPr="009B423C">
        <w:rPr>
          <w:rFonts w:eastAsia="SimSun"/>
          <w:sz w:val="24"/>
          <w:szCs w:val="24"/>
          <w:lang w:val="zh-CN" w:eastAsia="zh-CN"/>
        </w:rPr>
        <w:t>2027–2029</w:t>
      </w:r>
      <w:r w:rsidRPr="009B423C">
        <w:rPr>
          <w:rFonts w:eastAsia="SimSun"/>
          <w:sz w:val="24"/>
          <w:szCs w:val="24"/>
          <w:lang w:val="zh-CN" w:eastAsia="zh-CN"/>
        </w:rPr>
        <w:t>年</w:t>
      </w:r>
      <w:r w:rsidRPr="009B423C">
        <w:rPr>
          <w:rFonts w:eastAsia="SimSun"/>
          <w:sz w:val="24"/>
          <w:szCs w:val="24"/>
          <w:lang w:val="zh-CN" w:eastAsia="zh-CN"/>
        </w:rPr>
        <w:t>5.49</w:t>
      </w:r>
      <w:r w:rsidRPr="009B423C">
        <w:rPr>
          <w:rFonts w:eastAsia="SimSun"/>
          <w:sz w:val="24"/>
          <w:szCs w:val="24"/>
          <w:lang w:val="zh-CN" w:eastAsia="zh-CN"/>
        </w:rPr>
        <w:t>亿美元，</w:t>
      </w:r>
      <w:r w:rsidRPr="009B423C">
        <w:rPr>
          <w:rFonts w:eastAsia="SimSun"/>
          <w:sz w:val="24"/>
          <w:szCs w:val="24"/>
          <w:lang w:val="zh-CN" w:eastAsia="zh-CN"/>
        </w:rPr>
        <w:t>2030</w:t>
      </w:r>
      <w:r w:rsidRPr="009B423C">
        <w:rPr>
          <w:rFonts w:eastAsia="SimSun"/>
          <w:sz w:val="24"/>
          <w:szCs w:val="24"/>
          <w:lang w:val="zh-CN" w:eastAsia="zh-CN"/>
        </w:rPr>
        <w:t>年</w:t>
      </w:r>
      <w:r w:rsidRPr="009B423C">
        <w:rPr>
          <w:rFonts w:eastAsia="SimSun"/>
          <w:sz w:val="24"/>
          <w:szCs w:val="24"/>
          <w:lang w:val="zh-CN" w:eastAsia="zh-CN"/>
        </w:rPr>
        <w:t>7 250</w:t>
      </w:r>
      <w:r w:rsidRPr="009B423C">
        <w:rPr>
          <w:rFonts w:eastAsia="SimSun"/>
          <w:sz w:val="24"/>
          <w:szCs w:val="24"/>
          <w:lang w:val="zh-CN" w:eastAsia="zh-CN"/>
        </w:rPr>
        <w:t>万美元。含氢氯氟烃生产和消费行业的总估计资金范围为：</w:t>
      </w:r>
      <w:r w:rsidRPr="009B423C">
        <w:rPr>
          <w:rFonts w:eastAsia="SimSun"/>
          <w:sz w:val="24"/>
          <w:szCs w:val="24"/>
          <w:lang w:val="zh-CN" w:eastAsia="zh-CN"/>
        </w:rPr>
        <w:t>2027–2029</w:t>
      </w:r>
      <w:r w:rsidRPr="009B423C">
        <w:rPr>
          <w:rFonts w:eastAsia="SimSun"/>
          <w:sz w:val="24"/>
          <w:szCs w:val="24"/>
          <w:lang w:val="zh-CN" w:eastAsia="zh-CN"/>
        </w:rPr>
        <w:t>年</w:t>
      </w:r>
      <w:r w:rsidRPr="009B423C">
        <w:rPr>
          <w:rFonts w:eastAsia="SimSun"/>
          <w:sz w:val="24"/>
          <w:szCs w:val="24"/>
          <w:lang w:val="zh-CN" w:eastAsia="zh-CN"/>
        </w:rPr>
        <w:t>4.51–5.73</w:t>
      </w:r>
      <w:r w:rsidRPr="009B423C">
        <w:rPr>
          <w:rFonts w:eastAsia="SimSun"/>
          <w:sz w:val="24"/>
          <w:szCs w:val="24"/>
          <w:lang w:val="zh-CN" w:eastAsia="zh-CN"/>
        </w:rPr>
        <w:t>亿美元，</w:t>
      </w:r>
      <w:r w:rsidRPr="009B423C">
        <w:rPr>
          <w:rFonts w:eastAsia="SimSun"/>
          <w:sz w:val="24"/>
          <w:szCs w:val="24"/>
          <w:lang w:val="zh-CN" w:eastAsia="zh-CN"/>
        </w:rPr>
        <w:t>2030</w:t>
      </w:r>
      <w:r w:rsidRPr="009B423C">
        <w:rPr>
          <w:rFonts w:eastAsia="SimSun"/>
          <w:sz w:val="24"/>
          <w:szCs w:val="24"/>
          <w:lang w:val="zh-CN" w:eastAsia="zh-CN"/>
        </w:rPr>
        <w:t>年</w:t>
      </w:r>
      <w:r w:rsidRPr="009B423C">
        <w:rPr>
          <w:rFonts w:eastAsia="SimSun"/>
          <w:sz w:val="24"/>
          <w:szCs w:val="24"/>
          <w:lang w:val="zh-CN" w:eastAsia="zh-CN"/>
        </w:rPr>
        <w:t>8 250–9 600</w:t>
      </w:r>
      <w:r w:rsidRPr="009B423C">
        <w:rPr>
          <w:rFonts w:eastAsia="SimSun"/>
          <w:sz w:val="24"/>
          <w:szCs w:val="24"/>
          <w:lang w:val="zh-CN" w:eastAsia="zh-CN"/>
        </w:rPr>
        <w:t>万美元。</w:t>
      </w:r>
    </w:p>
    <w:p w14:paraId="528C2D59"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充资问题工作队共同主席</w:t>
      </w:r>
      <w:r w:rsidRPr="009B423C">
        <w:rPr>
          <w:rFonts w:eastAsia="SimSun"/>
          <w:sz w:val="24"/>
          <w:szCs w:val="24"/>
          <w:lang w:val="zh-CN" w:eastAsia="zh-CN"/>
        </w:rPr>
        <w:t>Carvalho</w:t>
      </w:r>
      <w:r w:rsidRPr="009B423C">
        <w:rPr>
          <w:rFonts w:eastAsia="SimSun"/>
          <w:sz w:val="24"/>
          <w:szCs w:val="24"/>
          <w:lang w:val="zh-CN" w:eastAsia="zh-CN"/>
        </w:rPr>
        <w:t>女士随后开始介绍氢氟碳化物逐步削减的估计资金。她指出，工作队职权范围要求提供三个三年期（</w:t>
      </w:r>
      <w:r w:rsidRPr="009B423C">
        <w:rPr>
          <w:rFonts w:eastAsia="SimSun"/>
          <w:sz w:val="24"/>
          <w:szCs w:val="24"/>
          <w:lang w:val="zh-CN" w:eastAsia="zh-CN"/>
        </w:rPr>
        <w:t>2027</w:t>
      </w:r>
      <w:r w:rsidRPr="009B423C">
        <w:rPr>
          <w:rFonts w:eastAsia="SimSun"/>
          <w:sz w:val="24"/>
          <w:szCs w:val="24"/>
          <w:lang w:val="zh-CN" w:eastAsia="zh-CN"/>
        </w:rPr>
        <w:t>年至</w:t>
      </w:r>
      <w:r w:rsidRPr="009B423C">
        <w:rPr>
          <w:rFonts w:eastAsia="SimSun"/>
          <w:sz w:val="24"/>
          <w:szCs w:val="24"/>
          <w:lang w:val="zh-CN" w:eastAsia="zh-CN"/>
        </w:rPr>
        <w:t>2035</w:t>
      </w:r>
      <w:r w:rsidRPr="009B423C">
        <w:rPr>
          <w:rFonts w:eastAsia="SimSun"/>
          <w:sz w:val="24"/>
          <w:szCs w:val="24"/>
          <w:lang w:val="zh-CN" w:eastAsia="zh-CN"/>
        </w:rPr>
        <w:t>年）的资金估计数，</w:t>
      </w:r>
      <w:r w:rsidRPr="009B423C">
        <w:rPr>
          <w:rFonts w:eastAsia="SimSun"/>
          <w:sz w:val="24"/>
          <w:szCs w:val="24"/>
          <w:lang w:val="zh-CN" w:eastAsia="zh-CN"/>
        </w:rPr>
        <w:t>2027</w:t>
      </w:r>
      <w:r w:rsidRPr="009B423C">
        <w:rPr>
          <w:rFonts w:eastAsia="SimSun"/>
          <w:sz w:val="24"/>
          <w:szCs w:val="24"/>
          <w:lang w:val="zh-CN" w:eastAsia="zh-CN"/>
        </w:rPr>
        <w:t>年至</w:t>
      </w:r>
      <w:r w:rsidRPr="009B423C">
        <w:rPr>
          <w:rFonts w:eastAsia="SimSun"/>
          <w:sz w:val="24"/>
          <w:szCs w:val="24"/>
          <w:lang w:val="zh-CN" w:eastAsia="zh-CN"/>
        </w:rPr>
        <w:t>2035</w:t>
      </w:r>
      <w:r w:rsidRPr="009B423C">
        <w:rPr>
          <w:rFonts w:eastAsia="SimSun"/>
          <w:sz w:val="24"/>
          <w:szCs w:val="24"/>
          <w:lang w:val="zh-CN" w:eastAsia="zh-CN"/>
        </w:rPr>
        <w:t>年期间的控制目标是：第</w:t>
      </w:r>
      <w:r w:rsidRPr="009B423C">
        <w:rPr>
          <w:rFonts w:eastAsia="SimSun"/>
          <w:sz w:val="24"/>
          <w:szCs w:val="24"/>
          <w:lang w:val="zh-CN" w:eastAsia="zh-CN"/>
        </w:rPr>
        <w:t>1</w:t>
      </w:r>
      <w:r w:rsidRPr="009B423C">
        <w:rPr>
          <w:rFonts w:eastAsia="SimSun"/>
          <w:sz w:val="24"/>
          <w:szCs w:val="24"/>
          <w:lang w:val="zh-CN" w:eastAsia="zh-CN"/>
        </w:rPr>
        <w:t>类到</w:t>
      </w:r>
      <w:r w:rsidRPr="009B423C">
        <w:rPr>
          <w:rFonts w:eastAsia="SimSun"/>
          <w:sz w:val="24"/>
          <w:szCs w:val="24"/>
          <w:lang w:val="zh-CN" w:eastAsia="zh-CN"/>
        </w:rPr>
        <w:t>2029</w:t>
      </w:r>
      <w:r w:rsidRPr="009B423C">
        <w:rPr>
          <w:rFonts w:eastAsia="SimSun"/>
          <w:sz w:val="24"/>
          <w:szCs w:val="24"/>
          <w:lang w:val="zh-CN" w:eastAsia="zh-CN"/>
        </w:rPr>
        <w:t>年减少</w:t>
      </w:r>
      <w:r w:rsidRPr="009B423C">
        <w:rPr>
          <w:rFonts w:eastAsia="SimSun"/>
          <w:sz w:val="24"/>
          <w:szCs w:val="24"/>
          <w:lang w:val="zh-CN" w:eastAsia="zh-CN"/>
        </w:rPr>
        <w:t>10%</w:t>
      </w:r>
      <w:r w:rsidRPr="009B423C">
        <w:rPr>
          <w:rFonts w:eastAsia="SimSun"/>
          <w:sz w:val="24"/>
          <w:szCs w:val="24"/>
          <w:lang w:val="zh-CN" w:eastAsia="zh-CN"/>
        </w:rPr>
        <w:t>，到</w:t>
      </w:r>
      <w:r w:rsidRPr="009B423C">
        <w:rPr>
          <w:rFonts w:eastAsia="SimSun"/>
          <w:sz w:val="24"/>
          <w:szCs w:val="24"/>
          <w:lang w:val="zh-CN" w:eastAsia="zh-CN"/>
        </w:rPr>
        <w:t>2035</w:t>
      </w:r>
      <w:r w:rsidRPr="009B423C">
        <w:rPr>
          <w:rFonts w:eastAsia="SimSun"/>
          <w:sz w:val="24"/>
          <w:szCs w:val="24"/>
          <w:lang w:val="zh-CN" w:eastAsia="zh-CN"/>
        </w:rPr>
        <w:t>年减少</w:t>
      </w:r>
      <w:r w:rsidRPr="009B423C">
        <w:rPr>
          <w:rFonts w:eastAsia="SimSun"/>
          <w:sz w:val="24"/>
          <w:szCs w:val="24"/>
          <w:lang w:val="zh-CN" w:eastAsia="zh-CN"/>
        </w:rPr>
        <w:t>30%</w:t>
      </w:r>
      <w:r w:rsidRPr="009B423C">
        <w:rPr>
          <w:rFonts w:eastAsia="SimSun"/>
          <w:sz w:val="24"/>
          <w:szCs w:val="24"/>
          <w:lang w:val="zh-CN" w:eastAsia="zh-CN"/>
        </w:rPr>
        <w:t>；第</w:t>
      </w:r>
      <w:r w:rsidRPr="009B423C">
        <w:rPr>
          <w:rFonts w:eastAsia="SimSun"/>
          <w:sz w:val="24"/>
          <w:szCs w:val="24"/>
          <w:lang w:val="zh-CN" w:eastAsia="zh-CN"/>
        </w:rPr>
        <w:t>2</w:t>
      </w:r>
      <w:r w:rsidRPr="009B423C">
        <w:rPr>
          <w:rFonts w:eastAsia="SimSun"/>
          <w:sz w:val="24"/>
          <w:szCs w:val="24"/>
          <w:lang w:val="zh-CN" w:eastAsia="zh-CN"/>
        </w:rPr>
        <w:t>类到</w:t>
      </w:r>
      <w:r w:rsidRPr="009B423C">
        <w:rPr>
          <w:rFonts w:eastAsia="SimSun"/>
          <w:sz w:val="24"/>
          <w:szCs w:val="24"/>
          <w:lang w:val="zh-CN" w:eastAsia="zh-CN"/>
        </w:rPr>
        <w:t>2028</w:t>
      </w:r>
      <w:r w:rsidRPr="009B423C">
        <w:rPr>
          <w:rFonts w:eastAsia="SimSun"/>
          <w:sz w:val="24"/>
          <w:szCs w:val="24"/>
          <w:lang w:val="zh-CN" w:eastAsia="zh-CN"/>
        </w:rPr>
        <w:t>年冻结，到</w:t>
      </w:r>
      <w:r w:rsidRPr="009B423C">
        <w:rPr>
          <w:rFonts w:eastAsia="SimSun"/>
          <w:sz w:val="24"/>
          <w:szCs w:val="24"/>
          <w:lang w:val="zh-CN" w:eastAsia="zh-CN"/>
        </w:rPr>
        <w:t>2032</w:t>
      </w:r>
      <w:r w:rsidRPr="009B423C">
        <w:rPr>
          <w:rFonts w:eastAsia="SimSun"/>
          <w:sz w:val="24"/>
          <w:szCs w:val="24"/>
          <w:lang w:val="zh-CN" w:eastAsia="zh-CN"/>
        </w:rPr>
        <w:t>年减少</w:t>
      </w:r>
      <w:r w:rsidRPr="009B423C">
        <w:rPr>
          <w:rFonts w:eastAsia="SimSun"/>
          <w:sz w:val="24"/>
          <w:szCs w:val="24"/>
          <w:lang w:val="zh-CN" w:eastAsia="zh-CN"/>
        </w:rPr>
        <w:t>10%</w:t>
      </w:r>
      <w:r w:rsidRPr="009B423C">
        <w:rPr>
          <w:rFonts w:eastAsia="SimSun"/>
          <w:sz w:val="24"/>
          <w:szCs w:val="24"/>
          <w:lang w:val="zh-CN" w:eastAsia="zh-CN"/>
        </w:rPr>
        <w:t>。工作队根据两种设想方案估计了第</w:t>
      </w:r>
      <w:r w:rsidRPr="009B423C">
        <w:rPr>
          <w:rFonts w:eastAsia="SimSun"/>
          <w:sz w:val="24"/>
          <w:szCs w:val="24"/>
          <w:lang w:val="zh-CN" w:eastAsia="zh-CN"/>
        </w:rPr>
        <w:t>1</w:t>
      </w:r>
      <w:r w:rsidRPr="009B423C">
        <w:rPr>
          <w:rFonts w:eastAsia="SimSun"/>
          <w:sz w:val="24"/>
          <w:szCs w:val="24"/>
          <w:lang w:val="zh-CN" w:eastAsia="zh-CN"/>
        </w:rPr>
        <w:t>类缔约方（基加利执行计划第一和第二阶段）和第</w:t>
      </w:r>
      <w:r w:rsidRPr="009B423C">
        <w:rPr>
          <w:rFonts w:eastAsia="SimSun"/>
          <w:sz w:val="24"/>
          <w:szCs w:val="24"/>
          <w:lang w:val="zh-CN" w:eastAsia="zh-CN"/>
        </w:rPr>
        <w:t>2</w:t>
      </w:r>
      <w:r w:rsidRPr="009B423C">
        <w:rPr>
          <w:rFonts w:eastAsia="SimSun"/>
          <w:sz w:val="24"/>
          <w:szCs w:val="24"/>
          <w:lang w:val="zh-CN" w:eastAsia="zh-CN"/>
        </w:rPr>
        <w:t>类缔约方（冻结和基加利执行计划第一阶段）的资金需求：设想方案</w:t>
      </w:r>
      <w:r w:rsidRPr="009B423C">
        <w:rPr>
          <w:rFonts w:eastAsia="SimSun"/>
          <w:sz w:val="24"/>
          <w:szCs w:val="24"/>
          <w:lang w:val="zh-CN" w:eastAsia="zh-CN"/>
        </w:rPr>
        <w:t>1</w:t>
      </w:r>
      <w:r w:rsidRPr="009B423C">
        <w:rPr>
          <w:rFonts w:eastAsia="SimSun"/>
          <w:sz w:val="24"/>
          <w:szCs w:val="24"/>
          <w:lang w:val="zh-CN" w:eastAsia="zh-CN"/>
        </w:rPr>
        <w:t>，应用成本效益值但不对中小企业作比例折算；设想方案</w:t>
      </w:r>
      <w:r w:rsidRPr="009B423C">
        <w:rPr>
          <w:rFonts w:eastAsia="SimSun"/>
          <w:sz w:val="24"/>
          <w:szCs w:val="24"/>
          <w:lang w:val="zh-CN" w:eastAsia="zh-CN"/>
        </w:rPr>
        <w:t>2</w:t>
      </w:r>
      <w:r w:rsidRPr="009B423C">
        <w:rPr>
          <w:rFonts w:eastAsia="SimSun"/>
          <w:sz w:val="24"/>
          <w:szCs w:val="24"/>
          <w:lang w:val="zh-CN" w:eastAsia="zh-CN"/>
        </w:rPr>
        <w:t>，应用成本效益值且对中小企业作比例折算。对于每种设想方案，总资金是根据资源分配时间表</w:t>
      </w:r>
      <w:r w:rsidRPr="009B423C">
        <w:rPr>
          <w:rFonts w:eastAsia="SimSun"/>
          <w:sz w:val="24"/>
          <w:szCs w:val="24"/>
          <w:lang w:val="zh-CN" w:eastAsia="zh-CN"/>
        </w:rPr>
        <w:t>A</w:t>
      </w:r>
      <w:r w:rsidRPr="009B423C">
        <w:rPr>
          <w:rFonts w:eastAsia="SimSun"/>
          <w:sz w:val="24"/>
          <w:szCs w:val="24"/>
          <w:lang w:val="zh-CN" w:eastAsia="zh-CN"/>
        </w:rPr>
        <w:t>和</w:t>
      </w:r>
      <w:r w:rsidRPr="009B423C">
        <w:rPr>
          <w:rFonts w:eastAsia="SimSun"/>
          <w:sz w:val="24"/>
          <w:szCs w:val="24"/>
          <w:lang w:val="zh-CN" w:eastAsia="zh-CN"/>
        </w:rPr>
        <w:t>B</w:t>
      </w:r>
      <w:r w:rsidRPr="009B423C">
        <w:rPr>
          <w:rFonts w:eastAsia="SimSun"/>
          <w:sz w:val="24"/>
          <w:szCs w:val="24"/>
          <w:lang w:val="zh-CN" w:eastAsia="zh-CN"/>
        </w:rPr>
        <w:t>在三个三年期中分配的。</w:t>
      </w:r>
    </w:p>
    <w:p w14:paraId="66B49070" w14:textId="4613105C"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Carvalho</w:t>
      </w:r>
      <w:r w:rsidRPr="009B423C">
        <w:rPr>
          <w:rFonts w:eastAsia="SimSun"/>
          <w:sz w:val="24"/>
          <w:szCs w:val="24"/>
          <w:lang w:val="zh-CN" w:eastAsia="zh-CN"/>
        </w:rPr>
        <w:t>女士随后概述了充资问题工作队氢氟碳化物消费部门遵约模型中的步骤，详见报告附件</w:t>
      </w:r>
      <w:r w:rsidRPr="009B423C">
        <w:rPr>
          <w:rFonts w:eastAsia="SimSun"/>
          <w:sz w:val="24"/>
          <w:szCs w:val="24"/>
          <w:lang w:val="zh-CN" w:eastAsia="zh-CN"/>
        </w:rPr>
        <w:t>4</w:t>
      </w:r>
      <w:r w:rsidRPr="009B423C">
        <w:rPr>
          <w:rFonts w:eastAsia="SimSun"/>
          <w:sz w:val="24"/>
          <w:szCs w:val="24"/>
          <w:lang w:val="zh-CN" w:eastAsia="zh-CN"/>
        </w:rPr>
        <w:t>。在第</w:t>
      </w:r>
      <w:r w:rsidRPr="009B423C">
        <w:rPr>
          <w:rFonts w:eastAsia="SimSun"/>
          <w:sz w:val="24"/>
          <w:szCs w:val="24"/>
          <w:lang w:val="zh-CN" w:eastAsia="zh-CN"/>
        </w:rPr>
        <w:t>1</w:t>
      </w:r>
      <w:r w:rsidRPr="009B423C">
        <w:rPr>
          <w:rFonts w:eastAsia="SimSun"/>
          <w:sz w:val="24"/>
          <w:szCs w:val="24"/>
          <w:lang w:val="zh-CN" w:eastAsia="zh-CN"/>
        </w:rPr>
        <w:t>步中，截至执行委员会第</w:t>
      </w:r>
      <w:r w:rsidR="00100F0D">
        <w:rPr>
          <w:rFonts w:eastAsia="SimSun" w:hint="eastAsia"/>
          <w:sz w:val="24"/>
          <w:szCs w:val="24"/>
          <w:lang w:val="zh-CN" w:eastAsia="zh-CN"/>
        </w:rPr>
        <w:t>九十七</w:t>
      </w:r>
      <w:r w:rsidRPr="009B423C">
        <w:rPr>
          <w:rFonts w:eastAsia="SimSun"/>
          <w:sz w:val="24"/>
          <w:szCs w:val="24"/>
          <w:lang w:val="zh-CN" w:eastAsia="zh-CN"/>
        </w:rPr>
        <w:t>届会议，第</w:t>
      </w:r>
      <w:r w:rsidRPr="009B423C">
        <w:rPr>
          <w:rFonts w:eastAsia="SimSun"/>
          <w:sz w:val="24"/>
          <w:szCs w:val="24"/>
          <w:lang w:val="zh-CN" w:eastAsia="zh-CN"/>
        </w:rPr>
        <w:t>1</w:t>
      </w:r>
      <w:r w:rsidRPr="009B423C">
        <w:rPr>
          <w:rFonts w:eastAsia="SimSun"/>
          <w:sz w:val="24"/>
          <w:szCs w:val="24"/>
          <w:lang w:val="zh-CN" w:eastAsia="zh-CN"/>
        </w:rPr>
        <w:t>类中有</w:t>
      </w:r>
      <w:r w:rsidRPr="009B423C">
        <w:rPr>
          <w:rFonts w:eastAsia="SimSun"/>
          <w:sz w:val="24"/>
          <w:szCs w:val="24"/>
          <w:lang w:val="zh-CN" w:eastAsia="zh-CN"/>
        </w:rPr>
        <w:t>83</w:t>
      </w:r>
      <w:r w:rsidRPr="009B423C">
        <w:rPr>
          <w:rFonts w:eastAsia="SimSun"/>
          <w:sz w:val="24"/>
          <w:szCs w:val="24"/>
          <w:lang w:val="zh-CN" w:eastAsia="zh-CN"/>
        </w:rPr>
        <w:t>个缔约方的基加利执行计划第一阶段已获核准，但商定的较基线水平削减的百分比各不相同。该模型涉及：</w:t>
      </w:r>
      <w:proofErr w:type="gramStart"/>
      <w:r w:rsidR="00C57047">
        <w:rPr>
          <w:rFonts w:eastAsia="SimSun" w:hint="eastAsia"/>
          <w:sz w:val="24"/>
          <w:szCs w:val="24"/>
          <w:lang w:val="zh-CN" w:eastAsia="zh-CN"/>
        </w:rPr>
        <w:t>(</w:t>
      </w:r>
      <w:r w:rsidRPr="009B423C">
        <w:rPr>
          <w:rFonts w:eastAsia="SimSun"/>
          <w:sz w:val="24"/>
          <w:szCs w:val="24"/>
          <w:lang w:val="zh-CN" w:eastAsia="zh-CN"/>
        </w:rPr>
        <w:t>a)</w:t>
      </w:r>
      <w:proofErr w:type="gramEnd"/>
      <w:r w:rsidRPr="009B423C">
        <w:rPr>
          <w:rFonts w:eastAsia="SimSun"/>
          <w:sz w:val="24"/>
          <w:szCs w:val="24"/>
          <w:lang w:val="zh-CN" w:eastAsia="zh-CN"/>
        </w:rPr>
        <w:t xml:space="preserve"> </w:t>
      </w:r>
      <w:r w:rsidRPr="009B423C">
        <w:rPr>
          <w:rFonts w:eastAsia="SimSun"/>
          <w:sz w:val="24"/>
          <w:szCs w:val="24"/>
          <w:lang w:val="zh-CN" w:eastAsia="zh-CN"/>
        </w:rPr>
        <w:t>为所有</w:t>
      </w:r>
      <w:r w:rsidRPr="009B423C">
        <w:rPr>
          <w:rFonts w:eastAsia="SimSun"/>
          <w:sz w:val="24"/>
          <w:szCs w:val="24"/>
          <w:lang w:val="zh-CN" w:eastAsia="zh-CN"/>
        </w:rPr>
        <w:t>83</w:t>
      </w:r>
      <w:r w:rsidRPr="009B423C">
        <w:rPr>
          <w:rFonts w:eastAsia="SimSun"/>
          <w:sz w:val="24"/>
          <w:szCs w:val="24"/>
          <w:lang w:val="zh-CN" w:eastAsia="zh-CN"/>
        </w:rPr>
        <w:t>个已核准的基加利执行计划第一阶段提供承诺资金；</w:t>
      </w:r>
      <w:proofErr w:type="gramStart"/>
      <w:r w:rsidR="00C57047">
        <w:rPr>
          <w:rFonts w:eastAsia="SimSun" w:hint="eastAsia"/>
          <w:sz w:val="24"/>
          <w:szCs w:val="24"/>
          <w:lang w:val="zh-CN" w:eastAsia="zh-CN"/>
        </w:rPr>
        <w:t>(</w:t>
      </w:r>
      <w:r w:rsidRPr="009B423C">
        <w:rPr>
          <w:rFonts w:eastAsia="SimSun"/>
          <w:sz w:val="24"/>
          <w:szCs w:val="24"/>
          <w:lang w:val="zh-CN" w:eastAsia="zh-CN"/>
        </w:rPr>
        <w:t>b)</w:t>
      </w:r>
      <w:proofErr w:type="gramEnd"/>
      <w:r w:rsidRPr="009B423C">
        <w:rPr>
          <w:rFonts w:eastAsia="SimSun"/>
          <w:sz w:val="24"/>
          <w:szCs w:val="24"/>
          <w:lang w:val="zh-CN" w:eastAsia="zh-CN"/>
        </w:rPr>
        <w:t xml:space="preserve"> </w:t>
      </w:r>
      <w:r w:rsidRPr="009B423C">
        <w:rPr>
          <w:rFonts w:eastAsia="SimSun"/>
          <w:sz w:val="24"/>
          <w:szCs w:val="24"/>
          <w:lang w:val="zh-CN" w:eastAsia="zh-CN"/>
        </w:rPr>
        <w:t>为（总共</w:t>
      </w:r>
      <w:r w:rsidRPr="009B423C">
        <w:rPr>
          <w:rFonts w:eastAsia="SimSun"/>
          <w:sz w:val="24"/>
          <w:szCs w:val="24"/>
          <w:lang w:val="zh-CN" w:eastAsia="zh-CN"/>
        </w:rPr>
        <w:t>83</w:t>
      </w:r>
      <w:r w:rsidRPr="009B423C">
        <w:rPr>
          <w:rFonts w:eastAsia="SimSun"/>
          <w:sz w:val="24"/>
          <w:szCs w:val="24"/>
          <w:lang w:val="zh-CN" w:eastAsia="zh-CN"/>
        </w:rPr>
        <w:t>个缔约方中）</w:t>
      </w:r>
      <w:r w:rsidRPr="009B423C">
        <w:rPr>
          <w:rFonts w:eastAsia="SimSun"/>
          <w:sz w:val="24"/>
          <w:szCs w:val="24"/>
          <w:lang w:val="zh-CN" w:eastAsia="zh-CN"/>
        </w:rPr>
        <w:t>70</w:t>
      </w:r>
      <w:r w:rsidRPr="009B423C">
        <w:rPr>
          <w:rFonts w:eastAsia="SimSun"/>
          <w:sz w:val="24"/>
          <w:szCs w:val="24"/>
          <w:lang w:val="zh-CN" w:eastAsia="zh-CN"/>
        </w:rPr>
        <w:t>个氢氟碳化物削减幅度低于基线水平的</w:t>
      </w:r>
      <w:r w:rsidRPr="009B423C">
        <w:rPr>
          <w:rFonts w:eastAsia="SimSun"/>
          <w:sz w:val="24"/>
          <w:szCs w:val="24"/>
          <w:lang w:val="zh-CN" w:eastAsia="zh-CN"/>
        </w:rPr>
        <w:t>30%</w:t>
      </w:r>
      <w:r w:rsidRPr="009B423C">
        <w:rPr>
          <w:rFonts w:eastAsia="SimSun"/>
          <w:sz w:val="24"/>
          <w:szCs w:val="24"/>
          <w:lang w:val="zh-CN" w:eastAsia="zh-CN"/>
        </w:rPr>
        <w:t>的缔约方提供基加利执行计划第二阶段的新资金。有</w:t>
      </w:r>
      <w:r w:rsidRPr="009B423C">
        <w:rPr>
          <w:rFonts w:eastAsia="SimSun"/>
          <w:sz w:val="24"/>
          <w:szCs w:val="24"/>
          <w:lang w:val="zh-CN" w:eastAsia="zh-CN"/>
        </w:rPr>
        <w:t>13</w:t>
      </w:r>
      <w:r w:rsidRPr="009B423C">
        <w:rPr>
          <w:rFonts w:eastAsia="SimSun"/>
          <w:sz w:val="24"/>
          <w:szCs w:val="24"/>
          <w:lang w:val="zh-CN" w:eastAsia="zh-CN"/>
        </w:rPr>
        <w:t>个缔约方的削减量等于或超过</w:t>
      </w:r>
      <w:r w:rsidRPr="009B423C">
        <w:rPr>
          <w:rFonts w:eastAsia="SimSun"/>
          <w:sz w:val="24"/>
          <w:szCs w:val="24"/>
          <w:lang w:val="zh-CN" w:eastAsia="zh-CN"/>
        </w:rPr>
        <w:t>30%</w:t>
      </w:r>
      <w:r w:rsidRPr="009B423C">
        <w:rPr>
          <w:rFonts w:eastAsia="SimSun"/>
          <w:sz w:val="24"/>
          <w:szCs w:val="24"/>
          <w:lang w:val="zh-CN" w:eastAsia="zh-CN"/>
        </w:rPr>
        <w:t>，但工作队没有将其纳入其估计资金中，因为它们已经获得了实现</w:t>
      </w:r>
      <w:r w:rsidRPr="009B423C">
        <w:rPr>
          <w:rFonts w:eastAsia="SimSun"/>
          <w:sz w:val="24"/>
          <w:szCs w:val="24"/>
          <w:lang w:val="zh-CN" w:eastAsia="zh-CN"/>
        </w:rPr>
        <w:t>2035</w:t>
      </w:r>
      <w:r w:rsidRPr="009B423C">
        <w:rPr>
          <w:rFonts w:eastAsia="SimSun"/>
          <w:sz w:val="24"/>
          <w:szCs w:val="24"/>
          <w:lang w:val="zh-CN" w:eastAsia="zh-CN"/>
        </w:rPr>
        <w:t>年后削减目标的资金。在第</w:t>
      </w:r>
      <w:r w:rsidRPr="009B423C">
        <w:rPr>
          <w:rFonts w:eastAsia="SimSun"/>
          <w:sz w:val="24"/>
          <w:szCs w:val="24"/>
          <w:lang w:val="zh-CN" w:eastAsia="zh-CN"/>
        </w:rPr>
        <w:t>2</w:t>
      </w:r>
      <w:r w:rsidRPr="009B423C">
        <w:rPr>
          <w:rFonts w:eastAsia="SimSun"/>
          <w:sz w:val="24"/>
          <w:szCs w:val="24"/>
          <w:lang w:val="zh-CN" w:eastAsia="zh-CN"/>
        </w:rPr>
        <w:t>步中，第</w:t>
      </w:r>
      <w:r w:rsidRPr="009B423C">
        <w:rPr>
          <w:rFonts w:eastAsia="SimSun"/>
          <w:sz w:val="24"/>
          <w:szCs w:val="24"/>
          <w:lang w:val="zh-CN" w:eastAsia="zh-CN"/>
        </w:rPr>
        <w:t>1</w:t>
      </w:r>
      <w:r w:rsidRPr="009B423C">
        <w:rPr>
          <w:rFonts w:eastAsia="SimSun"/>
          <w:sz w:val="24"/>
          <w:szCs w:val="24"/>
          <w:lang w:val="zh-CN" w:eastAsia="zh-CN"/>
        </w:rPr>
        <w:t>和第</w:t>
      </w:r>
      <w:r w:rsidRPr="009B423C">
        <w:rPr>
          <w:rFonts w:eastAsia="SimSun"/>
          <w:sz w:val="24"/>
          <w:szCs w:val="24"/>
          <w:lang w:val="zh-CN" w:eastAsia="zh-CN"/>
        </w:rPr>
        <w:t>2</w:t>
      </w:r>
      <w:r w:rsidRPr="009B423C">
        <w:rPr>
          <w:rFonts w:eastAsia="SimSun"/>
          <w:sz w:val="24"/>
          <w:szCs w:val="24"/>
          <w:lang w:val="zh-CN" w:eastAsia="zh-CN"/>
        </w:rPr>
        <w:t>类中有</w:t>
      </w:r>
      <w:r w:rsidRPr="009B423C">
        <w:rPr>
          <w:rFonts w:eastAsia="SimSun"/>
          <w:sz w:val="24"/>
          <w:szCs w:val="24"/>
          <w:lang w:val="zh-CN" w:eastAsia="zh-CN"/>
        </w:rPr>
        <w:t>42</w:t>
      </w:r>
      <w:r w:rsidRPr="009B423C">
        <w:rPr>
          <w:rFonts w:eastAsia="SimSun"/>
          <w:sz w:val="24"/>
          <w:szCs w:val="24"/>
          <w:lang w:val="zh-CN" w:eastAsia="zh-CN"/>
        </w:rPr>
        <w:t>个缔约方已经批准了《基加利修正》，但基加利执行计划第一阶段尚</w:t>
      </w:r>
      <w:r w:rsidRPr="00032F9A">
        <w:rPr>
          <w:rFonts w:eastAsia="SimSun"/>
          <w:spacing w:val="8"/>
          <w:sz w:val="24"/>
          <w:szCs w:val="24"/>
          <w:lang w:val="zh-CN" w:eastAsia="zh-CN"/>
        </w:rPr>
        <w:t>未获得核准：</w:t>
      </w:r>
      <w:proofErr w:type="gramStart"/>
      <w:r w:rsidR="00C57047" w:rsidRPr="00032F9A">
        <w:rPr>
          <w:rFonts w:eastAsia="SimSun" w:hint="eastAsia"/>
          <w:spacing w:val="8"/>
          <w:sz w:val="24"/>
          <w:szCs w:val="24"/>
          <w:lang w:val="zh-CN" w:eastAsia="zh-CN"/>
        </w:rPr>
        <w:t>(</w:t>
      </w:r>
      <w:r w:rsidRPr="00032F9A">
        <w:rPr>
          <w:rFonts w:eastAsia="SimSun"/>
          <w:spacing w:val="8"/>
          <w:sz w:val="24"/>
          <w:szCs w:val="24"/>
          <w:lang w:val="zh-CN" w:eastAsia="zh-CN"/>
        </w:rPr>
        <w:t>a)</w:t>
      </w:r>
      <w:proofErr w:type="gramEnd"/>
      <w:r w:rsidRPr="00032F9A">
        <w:rPr>
          <w:rFonts w:eastAsia="SimSun"/>
          <w:spacing w:val="8"/>
          <w:sz w:val="24"/>
          <w:szCs w:val="24"/>
          <w:lang w:val="zh-CN" w:eastAsia="zh-CN"/>
        </w:rPr>
        <w:t xml:space="preserve"> </w:t>
      </w:r>
      <w:r w:rsidRPr="00032F9A">
        <w:rPr>
          <w:rFonts w:eastAsia="SimSun"/>
          <w:spacing w:val="8"/>
          <w:sz w:val="24"/>
          <w:szCs w:val="24"/>
          <w:lang w:val="zh-CN" w:eastAsia="zh-CN"/>
        </w:rPr>
        <w:t>对于第</w:t>
      </w:r>
      <w:r w:rsidRPr="00032F9A">
        <w:rPr>
          <w:rFonts w:eastAsia="SimSun"/>
          <w:spacing w:val="8"/>
          <w:sz w:val="24"/>
          <w:szCs w:val="24"/>
          <w:lang w:val="zh-CN" w:eastAsia="zh-CN"/>
        </w:rPr>
        <w:t>1</w:t>
      </w:r>
      <w:r w:rsidRPr="00032F9A">
        <w:rPr>
          <w:rFonts w:eastAsia="SimSun"/>
          <w:spacing w:val="8"/>
          <w:sz w:val="24"/>
          <w:szCs w:val="24"/>
          <w:lang w:val="zh-CN" w:eastAsia="zh-CN"/>
        </w:rPr>
        <w:t>类，估计有</w:t>
      </w:r>
      <w:r w:rsidRPr="00032F9A">
        <w:rPr>
          <w:rFonts w:eastAsia="SimSun"/>
          <w:spacing w:val="8"/>
          <w:sz w:val="24"/>
          <w:szCs w:val="24"/>
          <w:lang w:val="zh-CN" w:eastAsia="zh-CN"/>
        </w:rPr>
        <w:t>36</w:t>
      </w:r>
      <w:r w:rsidRPr="00032F9A">
        <w:rPr>
          <w:rFonts w:eastAsia="SimSun"/>
          <w:spacing w:val="8"/>
          <w:sz w:val="24"/>
          <w:szCs w:val="24"/>
          <w:lang w:val="zh-CN" w:eastAsia="zh-CN"/>
        </w:rPr>
        <w:t>个第</w:t>
      </w:r>
      <w:r w:rsidRPr="00032F9A">
        <w:rPr>
          <w:rFonts w:eastAsia="SimSun"/>
          <w:spacing w:val="8"/>
          <w:sz w:val="24"/>
          <w:szCs w:val="24"/>
          <w:lang w:val="zh-CN" w:eastAsia="zh-CN"/>
        </w:rPr>
        <w:t>5</w:t>
      </w:r>
      <w:r w:rsidRPr="00032F9A">
        <w:rPr>
          <w:rFonts w:eastAsia="SimSun"/>
          <w:spacing w:val="8"/>
          <w:sz w:val="24"/>
          <w:szCs w:val="24"/>
          <w:lang w:val="zh-CN" w:eastAsia="zh-CN"/>
        </w:rPr>
        <w:t>条缔约方将获得新的资金，</w:t>
      </w:r>
      <w:r w:rsidRPr="00032F9A">
        <w:rPr>
          <w:rFonts w:eastAsia="SimSun"/>
          <w:spacing w:val="4"/>
          <w:sz w:val="24"/>
          <w:szCs w:val="24"/>
          <w:lang w:val="zh-CN" w:eastAsia="zh-CN"/>
        </w:rPr>
        <w:t>以提交基加利执行计划第一和第二阶段（到</w:t>
      </w:r>
      <w:r w:rsidRPr="00032F9A">
        <w:rPr>
          <w:rFonts w:eastAsia="SimSun"/>
          <w:spacing w:val="4"/>
          <w:sz w:val="24"/>
          <w:szCs w:val="24"/>
          <w:lang w:val="zh-CN" w:eastAsia="zh-CN"/>
        </w:rPr>
        <w:t>2029</w:t>
      </w:r>
      <w:r w:rsidRPr="00032F9A">
        <w:rPr>
          <w:rFonts w:eastAsia="SimSun"/>
          <w:spacing w:val="4"/>
          <w:sz w:val="24"/>
          <w:szCs w:val="24"/>
          <w:lang w:val="zh-CN" w:eastAsia="zh-CN"/>
        </w:rPr>
        <w:t>年</w:t>
      </w:r>
      <w:r w:rsidRPr="00032F9A">
        <w:rPr>
          <w:rFonts w:eastAsia="SimSun"/>
          <w:spacing w:val="4"/>
          <w:sz w:val="24"/>
          <w:szCs w:val="24"/>
          <w:lang w:val="zh-CN" w:eastAsia="zh-CN"/>
        </w:rPr>
        <w:t>10%</w:t>
      </w:r>
      <w:r w:rsidRPr="00032F9A">
        <w:rPr>
          <w:rFonts w:eastAsia="SimSun"/>
          <w:spacing w:val="4"/>
          <w:sz w:val="24"/>
          <w:szCs w:val="24"/>
          <w:lang w:val="zh-CN" w:eastAsia="zh-CN"/>
        </w:rPr>
        <w:t>，到</w:t>
      </w:r>
      <w:r w:rsidRPr="00032F9A">
        <w:rPr>
          <w:rFonts w:eastAsia="SimSun"/>
          <w:spacing w:val="4"/>
          <w:sz w:val="24"/>
          <w:szCs w:val="24"/>
          <w:lang w:val="zh-CN" w:eastAsia="zh-CN"/>
        </w:rPr>
        <w:t>2035</w:t>
      </w:r>
      <w:r w:rsidRPr="00032F9A">
        <w:rPr>
          <w:rFonts w:eastAsia="SimSun"/>
          <w:spacing w:val="4"/>
          <w:sz w:val="24"/>
          <w:szCs w:val="24"/>
          <w:lang w:val="zh-CN" w:eastAsia="zh-CN"/>
        </w:rPr>
        <w:t>年</w:t>
      </w:r>
      <w:r w:rsidRPr="00032F9A">
        <w:rPr>
          <w:rFonts w:eastAsia="SimSun"/>
          <w:spacing w:val="4"/>
          <w:sz w:val="24"/>
          <w:szCs w:val="24"/>
          <w:lang w:val="zh-CN" w:eastAsia="zh-CN"/>
        </w:rPr>
        <w:t>30%</w:t>
      </w:r>
      <w:r w:rsidRPr="00032F9A">
        <w:rPr>
          <w:rFonts w:eastAsia="SimSun"/>
          <w:spacing w:val="4"/>
          <w:sz w:val="24"/>
          <w:szCs w:val="24"/>
          <w:lang w:val="zh-CN" w:eastAsia="zh-CN"/>
        </w:rPr>
        <w:t>）</w:t>
      </w:r>
      <w:r w:rsidRPr="00032F9A">
        <w:rPr>
          <w:rFonts w:eastAsia="SimSun"/>
          <w:spacing w:val="8"/>
          <w:sz w:val="24"/>
          <w:szCs w:val="24"/>
          <w:lang w:val="zh-CN" w:eastAsia="zh-CN"/>
        </w:rPr>
        <w:t>；</w:t>
      </w:r>
      <w:proofErr w:type="gramStart"/>
      <w:r w:rsidR="00C57047" w:rsidRPr="00032F9A">
        <w:rPr>
          <w:rFonts w:eastAsia="SimSun" w:hint="eastAsia"/>
          <w:spacing w:val="8"/>
          <w:sz w:val="24"/>
          <w:szCs w:val="24"/>
          <w:lang w:val="zh-CN" w:eastAsia="zh-CN"/>
        </w:rPr>
        <w:t>(</w:t>
      </w:r>
      <w:r w:rsidRPr="00032F9A">
        <w:rPr>
          <w:rFonts w:eastAsia="SimSun"/>
          <w:spacing w:val="8"/>
          <w:sz w:val="24"/>
          <w:szCs w:val="24"/>
          <w:lang w:val="zh-CN" w:eastAsia="zh-CN"/>
        </w:rPr>
        <w:t>b)</w:t>
      </w:r>
      <w:proofErr w:type="gramEnd"/>
      <w:r w:rsidRPr="00032F9A">
        <w:rPr>
          <w:rFonts w:eastAsia="SimSun"/>
          <w:spacing w:val="8"/>
          <w:sz w:val="24"/>
          <w:szCs w:val="24"/>
          <w:lang w:val="zh-CN" w:eastAsia="zh-CN"/>
        </w:rPr>
        <w:t xml:space="preserve"> </w:t>
      </w:r>
      <w:r w:rsidRPr="00032F9A">
        <w:rPr>
          <w:rFonts w:eastAsia="SimSun"/>
          <w:spacing w:val="8"/>
          <w:sz w:val="24"/>
          <w:szCs w:val="24"/>
          <w:lang w:val="zh-CN" w:eastAsia="zh-CN"/>
        </w:rPr>
        <w:t>对于第</w:t>
      </w:r>
      <w:r w:rsidRPr="00032F9A">
        <w:rPr>
          <w:rFonts w:eastAsia="SimSun"/>
          <w:spacing w:val="8"/>
          <w:sz w:val="24"/>
          <w:szCs w:val="24"/>
          <w:lang w:val="zh-CN" w:eastAsia="zh-CN"/>
        </w:rPr>
        <w:t>2</w:t>
      </w:r>
      <w:r w:rsidRPr="00032F9A">
        <w:rPr>
          <w:rFonts w:eastAsia="SimSun"/>
          <w:spacing w:val="8"/>
          <w:sz w:val="24"/>
          <w:szCs w:val="24"/>
          <w:lang w:val="zh-CN" w:eastAsia="zh-CN"/>
        </w:rPr>
        <w:t>类：向</w:t>
      </w:r>
      <w:r w:rsidRPr="009B423C">
        <w:rPr>
          <w:rFonts w:eastAsia="SimSun"/>
          <w:sz w:val="24"/>
          <w:szCs w:val="24"/>
          <w:lang w:val="zh-CN" w:eastAsia="zh-CN"/>
        </w:rPr>
        <w:t>六个缔约方提供新资金，以应对到</w:t>
      </w:r>
      <w:r w:rsidRPr="009B423C">
        <w:rPr>
          <w:rFonts w:eastAsia="SimSun"/>
          <w:sz w:val="24"/>
          <w:szCs w:val="24"/>
          <w:lang w:val="zh-CN" w:eastAsia="zh-CN"/>
        </w:rPr>
        <w:t>2028</w:t>
      </w:r>
      <w:r w:rsidRPr="009B423C">
        <w:rPr>
          <w:rFonts w:eastAsia="SimSun"/>
          <w:sz w:val="24"/>
          <w:szCs w:val="24"/>
          <w:lang w:val="zh-CN" w:eastAsia="zh-CN"/>
        </w:rPr>
        <w:t>年冻结和到</w:t>
      </w:r>
      <w:r w:rsidRPr="009B423C">
        <w:rPr>
          <w:rFonts w:eastAsia="SimSun"/>
          <w:sz w:val="24"/>
          <w:szCs w:val="24"/>
          <w:lang w:val="zh-CN" w:eastAsia="zh-CN"/>
        </w:rPr>
        <w:t>2032</w:t>
      </w:r>
      <w:r w:rsidRPr="009B423C">
        <w:rPr>
          <w:rFonts w:eastAsia="SimSun"/>
          <w:sz w:val="24"/>
          <w:szCs w:val="24"/>
          <w:lang w:val="zh-CN" w:eastAsia="zh-CN"/>
        </w:rPr>
        <w:t>年削减</w:t>
      </w:r>
      <w:r w:rsidRPr="009B423C">
        <w:rPr>
          <w:rFonts w:eastAsia="SimSun"/>
          <w:sz w:val="24"/>
          <w:szCs w:val="24"/>
          <w:lang w:val="zh-CN" w:eastAsia="zh-CN"/>
        </w:rPr>
        <w:t>10%</w:t>
      </w:r>
      <w:r w:rsidRPr="009B423C">
        <w:rPr>
          <w:rFonts w:eastAsia="SimSun"/>
          <w:sz w:val="24"/>
          <w:szCs w:val="24"/>
          <w:lang w:val="zh-CN" w:eastAsia="zh-CN"/>
        </w:rPr>
        <w:t>的问题。对于第</w:t>
      </w:r>
      <w:r w:rsidRPr="009B423C">
        <w:rPr>
          <w:rFonts w:eastAsia="SimSun"/>
          <w:sz w:val="24"/>
          <w:szCs w:val="24"/>
          <w:lang w:val="zh-CN" w:eastAsia="zh-CN"/>
        </w:rPr>
        <w:t>3</w:t>
      </w:r>
      <w:r w:rsidRPr="009B423C">
        <w:rPr>
          <w:rFonts w:eastAsia="SimSun"/>
          <w:sz w:val="24"/>
          <w:szCs w:val="24"/>
          <w:lang w:val="zh-CN" w:eastAsia="zh-CN"/>
        </w:rPr>
        <w:t>步，有</w:t>
      </w:r>
      <w:r w:rsidRPr="009B423C">
        <w:rPr>
          <w:rFonts w:eastAsia="SimSun"/>
          <w:sz w:val="24"/>
          <w:szCs w:val="24"/>
          <w:lang w:val="zh-CN" w:eastAsia="zh-CN"/>
        </w:rPr>
        <w:t>19</w:t>
      </w:r>
      <w:r w:rsidRPr="009B423C">
        <w:rPr>
          <w:rFonts w:eastAsia="SimSun"/>
          <w:sz w:val="24"/>
          <w:szCs w:val="24"/>
          <w:lang w:val="zh-CN" w:eastAsia="zh-CN"/>
        </w:rPr>
        <w:t>个缔约方尚未批准《基加利修正》；工作队预计</w:t>
      </w:r>
      <w:r w:rsidRPr="009B423C">
        <w:rPr>
          <w:rFonts w:eastAsia="SimSun"/>
          <w:sz w:val="24"/>
          <w:szCs w:val="24"/>
          <w:lang w:val="zh-CN" w:eastAsia="zh-CN"/>
        </w:rPr>
        <w:t>2027–2029</w:t>
      </w:r>
      <w:r w:rsidRPr="009B423C">
        <w:rPr>
          <w:rFonts w:eastAsia="SimSun"/>
          <w:sz w:val="24"/>
          <w:szCs w:val="24"/>
          <w:lang w:val="zh-CN" w:eastAsia="zh-CN"/>
        </w:rPr>
        <w:t>年批准率将达到</w:t>
      </w:r>
      <w:r w:rsidRPr="009B423C">
        <w:rPr>
          <w:rFonts w:eastAsia="SimSun"/>
          <w:sz w:val="24"/>
          <w:szCs w:val="24"/>
          <w:lang w:val="zh-CN" w:eastAsia="zh-CN"/>
        </w:rPr>
        <w:t>100%</w:t>
      </w:r>
      <w:r w:rsidRPr="009B423C">
        <w:rPr>
          <w:rFonts w:eastAsia="SimSun"/>
          <w:sz w:val="24"/>
          <w:szCs w:val="24"/>
          <w:lang w:val="zh-CN" w:eastAsia="zh-CN"/>
        </w:rPr>
        <w:t>：</w:t>
      </w:r>
      <w:proofErr w:type="gramStart"/>
      <w:r w:rsidR="00C57047">
        <w:rPr>
          <w:rFonts w:eastAsia="SimSun" w:hint="eastAsia"/>
          <w:sz w:val="24"/>
          <w:szCs w:val="24"/>
          <w:lang w:val="zh-CN" w:eastAsia="zh-CN"/>
        </w:rPr>
        <w:t>(</w:t>
      </w:r>
      <w:r w:rsidRPr="009B423C">
        <w:rPr>
          <w:rFonts w:eastAsia="SimSun"/>
          <w:sz w:val="24"/>
          <w:szCs w:val="24"/>
          <w:lang w:val="zh-CN" w:eastAsia="zh-CN"/>
        </w:rPr>
        <w:t>a)</w:t>
      </w:r>
      <w:proofErr w:type="gramEnd"/>
      <w:r w:rsidRPr="009B423C">
        <w:rPr>
          <w:rFonts w:eastAsia="SimSun"/>
          <w:sz w:val="24"/>
          <w:szCs w:val="24"/>
          <w:lang w:val="zh-CN" w:eastAsia="zh-CN"/>
        </w:rPr>
        <w:t xml:space="preserve"> </w:t>
      </w:r>
      <w:r w:rsidRPr="009B423C">
        <w:rPr>
          <w:rFonts w:eastAsia="SimSun"/>
          <w:sz w:val="24"/>
          <w:szCs w:val="24"/>
          <w:lang w:val="zh-CN" w:eastAsia="zh-CN"/>
        </w:rPr>
        <w:t>对于第</w:t>
      </w:r>
      <w:r w:rsidRPr="009B423C">
        <w:rPr>
          <w:rFonts w:eastAsia="SimSun"/>
          <w:sz w:val="24"/>
          <w:szCs w:val="24"/>
          <w:lang w:val="zh-CN" w:eastAsia="zh-CN"/>
        </w:rPr>
        <w:t>1</w:t>
      </w:r>
      <w:r w:rsidRPr="009B423C">
        <w:rPr>
          <w:rFonts w:eastAsia="SimSun"/>
          <w:sz w:val="24"/>
          <w:szCs w:val="24"/>
          <w:lang w:val="zh-CN" w:eastAsia="zh-CN"/>
        </w:rPr>
        <w:t>类，为</w:t>
      </w:r>
      <w:r w:rsidRPr="009B423C">
        <w:rPr>
          <w:rFonts w:eastAsia="SimSun"/>
          <w:sz w:val="24"/>
          <w:szCs w:val="24"/>
          <w:lang w:val="zh-CN" w:eastAsia="zh-CN"/>
        </w:rPr>
        <w:t>16</w:t>
      </w:r>
      <w:r w:rsidRPr="009B423C">
        <w:rPr>
          <w:rFonts w:eastAsia="SimSun"/>
          <w:sz w:val="24"/>
          <w:szCs w:val="24"/>
          <w:lang w:val="zh-CN" w:eastAsia="zh-CN"/>
        </w:rPr>
        <w:t>个第</w:t>
      </w:r>
      <w:r w:rsidRPr="009B423C">
        <w:rPr>
          <w:rFonts w:eastAsia="SimSun"/>
          <w:sz w:val="24"/>
          <w:szCs w:val="24"/>
          <w:lang w:val="zh-CN" w:eastAsia="zh-CN"/>
        </w:rPr>
        <w:t>5</w:t>
      </w:r>
      <w:r w:rsidRPr="009B423C">
        <w:rPr>
          <w:rFonts w:eastAsia="SimSun"/>
          <w:sz w:val="24"/>
          <w:szCs w:val="24"/>
          <w:lang w:val="zh-CN" w:eastAsia="zh-CN"/>
        </w:rPr>
        <w:t>条缔约方提供新资金；</w:t>
      </w:r>
      <w:proofErr w:type="gramStart"/>
      <w:r w:rsidR="00C57047">
        <w:rPr>
          <w:rFonts w:eastAsia="SimSun" w:hint="eastAsia"/>
          <w:sz w:val="24"/>
          <w:szCs w:val="24"/>
          <w:lang w:val="zh-CN" w:eastAsia="zh-CN"/>
        </w:rPr>
        <w:t>(</w:t>
      </w:r>
      <w:r w:rsidRPr="009B423C">
        <w:rPr>
          <w:rFonts w:eastAsia="SimSun"/>
          <w:sz w:val="24"/>
          <w:szCs w:val="24"/>
          <w:lang w:val="zh-CN" w:eastAsia="zh-CN"/>
        </w:rPr>
        <w:t>b)</w:t>
      </w:r>
      <w:proofErr w:type="gramEnd"/>
      <w:r w:rsidRPr="009B423C">
        <w:rPr>
          <w:rFonts w:eastAsia="SimSun"/>
          <w:sz w:val="24"/>
          <w:szCs w:val="24"/>
          <w:lang w:val="zh-CN" w:eastAsia="zh-CN"/>
        </w:rPr>
        <w:t xml:space="preserve"> </w:t>
      </w:r>
      <w:r w:rsidRPr="009B423C">
        <w:rPr>
          <w:rFonts w:eastAsia="SimSun"/>
          <w:sz w:val="24"/>
          <w:szCs w:val="24"/>
          <w:lang w:val="zh-CN" w:eastAsia="zh-CN"/>
        </w:rPr>
        <w:t>对于第</w:t>
      </w:r>
      <w:r w:rsidRPr="009B423C">
        <w:rPr>
          <w:rFonts w:eastAsia="SimSun"/>
          <w:sz w:val="24"/>
          <w:szCs w:val="24"/>
          <w:lang w:val="zh-CN" w:eastAsia="zh-CN"/>
        </w:rPr>
        <w:t>2</w:t>
      </w:r>
      <w:r w:rsidRPr="009B423C">
        <w:rPr>
          <w:rFonts w:eastAsia="SimSun"/>
          <w:sz w:val="24"/>
          <w:szCs w:val="24"/>
          <w:lang w:val="zh-CN" w:eastAsia="zh-CN"/>
        </w:rPr>
        <w:t>类，为三个缔约方提供新资金。对于</w:t>
      </w:r>
      <w:r w:rsidRPr="009B423C">
        <w:rPr>
          <w:rFonts w:eastAsia="SimSun"/>
          <w:sz w:val="24"/>
          <w:szCs w:val="24"/>
          <w:lang w:val="zh-CN" w:eastAsia="zh-CN"/>
        </w:rPr>
        <w:t>2027</w:t>
      </w:r>
      <w:r w:rsidRPr="009B423C">
        <w:rPr>
          <w:rFonts w:eastAsia="SimSun"/>
          <w:sz w:val="24"/>
          <w:szCs w:val="24"/>
          <w:lang w:val="zh-CN" w:eastAsia="zh-CN"/>
        </w:rPr>
        <w:t>年至</w:t>
      </w:r>
      <w:r w:rsidRPr="009B423C">
        <w:rPr>
          <w:rFonts w:eastAsia="SimSun"/>
          <w:sz w:val="24"/>
          <w:szCs w:val="24"/>
          <w:lang w:val="zh-CN" w:eastAsia="zh-CN"/>
        </w:rPr>
        <w:t>2035</w:t>
      </w:r>
      <w:r w:rsidRPr="009B423C">
        <w:rPr>
          <w:rFonts w:eastAsia="SimSun"/>
          <w:sz w:val="24"/>
          <w:szCs w:val="24"/>
          <w:lang w:val="zh-CN" w:eastAsia="zh-CN"/>
        </w:rPr>
        <w:t>年期间，两种设想方案的第一和第二阶段的估计总资金范围为</w:t>
      </w:r>
      <w:r w:rsidRPr="009B423C">
        <w:rPr>
          <w:rFonts w:eastAsia="SimSun"/>
          <w:sz w:val="24"/>
          <w:szCs w:val="24"/>
          <w:lang w:val="zh-CN" w:eastAsia="zh-CN"/>
        </w:rPr>
        <w:t>21.90</w:t>
      </w:r>
      <w:r w:rsidRPr="009B423C">
        <w:rPr>
          <w:rFonts w:eastAsia="SimSun"/>
          <w:sz w:val="24"/>
          <w:szCs w:val="24"/>
          <w:lang w:val="zh-CN" w:eastAsia="zh-CN"/>
        </w:rPr>
        <w:t>亿至</w:t>
      </w:r>
      <w:r w:rsidRPr="009B423C">
        <w:rPr>
          <w:rFonts w:eastAsia="SimSun"/>
          <w:sz w:val="24"/>
          <w:szCs w:val="24"/>
          <w:lang w:val="zh-CN" w:eastAsia="zh-CN"/>
        </w:rPr>
        <w:t>22.56</w:t>
      </w:r>
      <w:r w:rsidRPr="009B423C">
        <w:rPr>
          <w:rFonts w:eastAsia="SimSun"/>
          <w:sz w:val="24"/>
          <w:szCs w:val="24"/>
          <w:lang w:val="zh-CN" w:eastAsia="zh-CN"/>
        </w:rPr>
        <w:t>亿美元。</w:t>
      </w:r>
    </w:p>
    <w:p w14:paraId="3816021D"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lastRenderedPageBreak/>
        <w:t>在缺乏可靠的国家方案数据的情况下，</w:t>
      </w:r>
      <w:r w:rsidRPr="009B423C">
        <w:rPr>
          <w:rFonts w:eastAsia="SimSun"/>
          <w:sz w:val="24"/>
          <w:szCs w:val="24"/>
          <w:lang w:val="zh-CN" w:eastAsia="zh-CN"/>
        </w:rPr>
        <w:t>Carvalho</w:t>
      </w:r>
      <w:r w:rsidRPr="009B423C">
        <w:rPr>
          <w:rFonts w:eastAsia="SimSun"/>
          <w:sz w:val="24"/>
          <w:szCs w:val="24"/>
          <w:lang w:val="zh-CN" w:eastAsia="zh-CN"/>
        </w:rPr>
        <w:t>女士介绍了根据各缔约方按化学品报告的第</w:t>
      </w:r>
      <w:r w:rsidRPr="009B423C">
        <w:rPr>
          <w:rFonts w:eastAsia="SimSun"/>
          <w:sz w:val="24"/>
          <w:szCs w:val="24"/>
          <w:lang w:val="zh-CN" w:eastAsia="zh-CN"/>
        </w:rPr>
        <w:t>7</w:t>
      </w:r>
      <w:r w:rsidRPr="009B423C">
        <w:rPr>
          <w:rFonts w:eastAsia="SimSun"/>
          <w:sz w:val="24"/>
          <w:szCs w:val="24"/>
          <w:lang w:val="zh-CN" w:eastAsia="zh-CN"/>
        </w:rPr>
        <w:t>条数据得出的消费量在各行业的百分比分布。充资问题工作队根据基线消费水平将国家分组，即基线最高的缔约方，其次是</w:t>
      </w:r>
      <w:r w:rsidRPr="009B423C">
        <w:rPr>
          <w:rFonts w:eastAsia="SimSun"/>
          <w:sz w:val="24"/>
          <w:szCs w:val="24"/>
          <w:lang w:val="zh-CN" w:eastAsia="zh-CN"/>
        </w:rPr>
        <w:t>10</w:t>
      </w:r>
      <w:r w:rsidRPr="009B423C">
        <w:rPr>
          <w:rFonts w:eastAsia="SimSun"/>
          <w:sz w:val="24"/>
          <w:szCs w:val="24"/>
          <w:lang w:val="zh-CN" w:eastAsia="zh-CN"/>
        </w:rPr>
        <w:t>个最大的缔约方，以此类推。单独考虑了第</w:t>
      </w:r>
      <w:r w:rsidRPr="009B423C">
        <w:rPr>
          <w:rFonts w:eastAsia="SimSun"/>
          <w:sz w:val="24"/>
          <w:szCs w:val="24"/>
          <w:lang w:val="zh-CN" w:eastAsia="zh-CN"/>
        </w:rPr>
        <w:t>2</w:t>
      </w:r>
      <w:r w:rsidRPr="009B423C">
        <w:rPr>
          <w:rFonts w:eastAsia="SimSun"/>
          <w:sz w:val="24"/>
          <w:szCs w:val="24"/>
          <w:lang w:val="zh-CN" w:eastAsia="zh-CN"/>
        </w:rPr>
        <w:t>类缔约方。她还介绍了在设想情况</w:t>
      </w:r>
      <w:r w:rsidRPr="009B423C">
        <w:rPr>
          <w:rFonts w:eastAsia="SimSun"/>
          <w:sz w:val="24"/>
          <w:szCs w:val="24"/>
          <w:lang w:val="zh-CN" w:eastAsia="zh-CN"/>
        </w:rPr>
        <w:t>1</w:t>
      </w:r>
      <w:r w:rsidRPr="009B423C">
        <w:rPr>
          <w:rFonts w:eastAsia="SimSun"/>
          <w:sz w:val="24"/>
          <w:szCs w:val="24"/>
          <w:lang w:val="zh-CN" w:eastAsia="zh-CN"/>
        </w:rPr>
        <w:t>（对中小企业作比例折算）和设想情况</w:t>
      </w:r>
      <w:r w:rsidRPr="009B423C">
        <w:rPr>
          <w:rFonts w:eastAsia="SimSun"/>
          <w:sz w:val="24"/>
          <w:szCs w:val="24"/>
          <w:lang w:val="zh-CN" w:eastAsia="zh-CN"/>
        </w:rPr>
        <w:t>2</w:t>
      </w:r>
      <w:r w:rsidRPr="009B423C">
        <w:rPr>
          <w:rFonts w:eastAsia="SimSun"/>
          <w:sz w:val="24"/>
          <w:szCs w:val="24"/>
          <w:lang w:val="zh-CN" w:eastAsia="zh-CN"/>
        </w:rPr>
        <w:t>（对中小企业作比例折算）中采用的行业成本效益阈值。</w:t>
      </w:r>
    </w:p>
    <w:p w14:paraId="3F5BDBD1"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她随后介绍了充资问题工作队关于三个三年期中的两个建议资源分配时间表</w:t>
      </w:r>
      <w:r w:rsidRPr="009B423C">
        <w:rPr>
          <w:rFonts w:eastAsia="SimSun"/>
          <w:sz w:val="24"/>
          <w:szCs w:val="24"/>
          <w:lang w:val="zh-CN" w:eastAsia="zh-CN"/>
        </w:rPr>
        <w:t>A</w:t>
      </w:r>
      <w:r w:rsidRPr="009B423C">
        <w:rPr>
          <w:rFonts w:eastAsia="SimSun"/>
          <w:sz w:val="24"/>
          <w:szCs w:val="24"/>
          <w:lang w:val="zh-CN" w:eastAsia="zh-CN"/>
        </w:rPr>
        <w:t>和</w:t>
      </w:r>
      <w:r w:rsidRPr="009B423C">
        <w:rPr>
          <w:rFonts w:eastAsia="SimSun"/>
          <w:sz w:val="24"/>
          <w:szCs w:val="24"/>
          <w:lang w:val="zh-CN" w:eastAsia="zh-CN"/>
        </w:rPr>
        <w:t>B</w:t>
      </w:r>
      <w:r w:rsidRPr="009B423C">
        <w:rPr>
          <w:rFonts w:eastAsia="SimSun"/>
          <w:sz w:val="24"/>
          <w:szCs w:val="24"/>
          <w:lang w:val="zh-CN" w:eastAsia="zh-CN"/>
        </w:rPr>
        <w:t>的提案。对于时间表</w:t>
      </w:r>
      <w:r w:rsidRPr="009B423C">
        <w:rPr>
          <w:rFonts w:eastAsia="SimSun"/>
          <w:sz w:val="24"/>
          <w:szCs w:val="24"/>
          <w:lang w:val="zh-CN" w:eastAsia="zh-CN"/>
        </w:rPr>
        <w:t>A</w:t>
      </w:r>
      <w:r w:rsidRPr="009B423C">
        <w:rPr>
          <w:rFonts w:eastAsia="SimSun"/>
          <w:sz w:val="24"/>
          <w:szCs w:val="24"/>
          <w:lang w:val="zh-CN" w:eastAsia="zh-CN"/>
        </w:rPr>
        <w:t>，充资问题工作队认为第一阶段已核准的第</w:t>
      </w:r>
      <w:r w:rsidRPr="009B423C">
        <w:rPr>
          <w:rFonts w:eastAsia="SimSun"/>
          <w:sz w:val="24"/>
          <w:szCs w:val="24"/>
          <w:lang w:val="zh-CN" w:eastAsia="zh-CN"/>
        </w:rPr>
        <w:t>1</w:t>
      </w:r>
      <w:r w:rsidRPr="009B423C">
        <w:rPr>
          <w:rFonts w:eastAsia="SimSun"/>
          <w:sz w:val="24"/>
          <w:szCs w:val="24"/>
          <w:lang w:val="zh-CN" w:eastAsia="zh-CN"/>
        </w:rPr>
        <w:t>类缔约方可能已为在下一个三年期内进行第二阶段作好准备，第二阶段所需资金可在</w:t>
      </w:r>
      <w:r w:rsidRPr="009B423C">
        <w:rPr>
          <w:rFonts w:eastAsia="SimSun"/>
          <w:sz w:val="24"/>
          <w:szCs w:val="24"/>
          <w:lang w:val="zh-CN" w:eastAsia="zh-CN"/>
        </w:rPr>
        <w:t>2027–2029</w:t>
      </w:r>
      <w:r w:rsidRPr="009B423C">
        <w:rPr>
          <w:rFonts w:eastAsia="SimSun"/>
          <w:sz w:val="24"/>
          <w:szCs w:val="24"/>
          <w:lang w:val="zh-CN" w:eastAsia="zh-CN"/>
        </w:rPr>
        <w:t>年分配</w:t>
      </w:r>
      <w:r w:rsidRPr="009B423C">
        <w:rPr>
          <w:rFonts w:eastAsia="SimSun"/>
          <w:sz w:val="24"/>
          <w:szCs w:val="24"/>
          <w:lang w:val="zh-CN" w:eastAsia="zh-CN"/>
        </w:rPr>
        <w:t>60%</w:t>
      </w:r>
      <w:r w:rsidRPr="009B423C">
        <w:rPr>
          <w:rFonts w:eastAsia="SimSun"/>
          <w:sz w:val="24"/>
          <w:szCs w:val="24"/>
          <w:lang w:val="zh-CN" w:eastAsia="zh-CN"/>
        </w:rPr>
        <w:t>，在</w:t>
      </w:r>
      <w:r w:rsidRPr="009B423C">
        <w:rPr>
          <w:rFonts w:eastAsia="SimSun"/>
          <w:sz w:val="24"/>
          <w:szCs w:val="24"/>
          <w:lang w:val="zh-CN" w:eastAsia="zh-CN"/>
        </w:rPr>
        <w:t>2030–2032</w:t>
      </w:r>
      <w:r w:rsidRPr="009B423C">
        <w:rPr>
          <w:rFonts w:eastAsia="SimSun"/>
          <w:sz w:val="24"/>
          <w:szCs w:val="24"/>
          <w:lang w:val="zh-CN" w:eastAsia="zh-CN"/>
        </w:rPr>
        <w:t>年分配</w:t>
      </w:r>
      <w:r w:rsidRPr="009B423C">
        <w:rPr>
          <w:rFonts w:eastAsia="SimSun"/>
          <w:sz w:val="24"/>
          <w:szCs w:val="24"/>
          <w:lang w:val="zh-CN" w:eastAsia="zh-CN"/>
        </w:rPr>
        <w:t>40%</w:t>
      </w:r>
      <w:r w:rsidRPr="009B423C">
        <w:rPr>
          <w:rFonts w:eastAsia="SimSun"/>
          <w:sz w:val="24"/>
          <w:szCs w:val="24"/>
          <w:lang w:val="zh-CN" w:eastAsia="zh-CN"/>
        </w:rPr>
        <w:t>。对于时间表</w:t>
      </w:r>
      <w:r w:rsidRPr="009B423C">
        <w:rPr>
          <w:rFonts w:eastAsia="SimSun"/>
          <w:sz w:val="24"/>
          <w:szCs w:val="24"/>
          <w:lang w:val="zh-CN" w:eastAsia="zh-CN"/>
        </w:rPr>
        <w:t>B</w:t>
      </w:r>
      <w:r w:rsidRPr="009B423C">
        <w:rPr>
          <w:rFonts w:eastAsia="SimSun"/>
          <w:sz w:val="24"/>
          <w:szCs w:val="24"/>
          <w:lang w:val="zh-CN" w:eastAsia="zh-CN"/>
        </w:rPr>
        <w:t>，将按</w:t>
      </w:r>
      <w:proofErr w:type="gramStart"/>
      <w:r w:rsidRPr="009B423C">
        <w:rPr>
          <w:rFonts w:eastAsia="SimSun"/>
          <w:sz w:val="24"/>
          <w:szCs w:val="24"/>
          <w:lang w:val="zh-CN" w:eastAsia="zh-CN"/>
        </w:rPr>
        <w:t>60% /</w:t>
      </w:r>
      <w:proofErr w:type="gramEnd"/>
      <w:r w:rsidRPr="009B423C">
        <w:rPr>
          <w:rFonts w:eastAsia="SimSun"/>
          <w:sz w:val="24"/>
          <w:szCs w:val="24"/>
          <w:lang w:val="zh-CN" w:eastAsia="zh-CN"/>
        </w:rPr>
        <w:t>40%</w:t>
      </w:r>
      <w:r w:rsidRPr="009B423C">
        <w:rPr>
          <w:rFonts w:eastAsia="SimSun"/>
          <w:sz w:val="24"/>
          <w:szCs w:val="24"/>
          <w:lang w:val="zh-CN" w:eastAsia="zh-CN"/>
        </w:rPr>
        <w:t>的比例分配，但时间是自</w:t>
      </w:r>
      <w:r w:rsidRPr="009B423C">
        <w:rPr>
          <w:rFonts w:eastAsia="SimSun"/>
          <w:sz w:val="24"/>
          <w:szCs w:val="24"/>
          <w:lang w:val="zh-CN" w:eastAsia="zh-CN"/>
        </w:rPr>
        <w:t>2030</w:t>
      </w:r>
      <w:r w:rsidRPr="009B423C">
        <w:rPr>
          <w:rFonts w:eastAsia="SimSun"/>
          <w:sz w:val="24"/>
          <w:szCs w:val="24"/>
          <w:lang w:val="zh-CN" w:eastAsia="zh-CN"/>
        </w:rPr>
        <w:t>年以后。这不是指</w:t>
      </w:r>
      <w:r w:rsidRPr="009B423C">
        <w:rPr>
          <w:rFonts w:eastAsia="SimSun"/>
          <w:sz w:val="24"/>
          <w:szCs w:val="24"/>
          <w:lang w:val="zh-CN" w:eastAsia="zh-CN"/>
        </w:rPr>
        <w:t>60%</w:t>
      </w:r>
      <w:r w:rsidRPr="009B423C">
        <w:rPr>
          <w:rFonts w:eastAsia="SimSun"/>
          <w:sz w:val="24"/>
          <w:szCs w:val="24"/>
          <w:lang w:val="zh-CN" w:eastAsia="zh-CN"/>
        </w:rPr>
        <w:t>的缔约方，而是为将进入该三年期的缔约方所提供资金的</w:t>
      </w:r>
      <w:r w:rsidRPr="009B423C">
        <w:rPr>
          <w:rFonts w:eastAsia="SimSun"/>
          <w:sz w:val="24"/>
          <w:szCs w:val="24"/>
          <w:lang w:val="zh-CN" w:eastAsia="zh-CN"/>
        </w:rPr>
        <w:t>60%</w:t>
      </w:r>
      <w:r w:rsidRPr="009B423C">
        <w:rPr>
          <w:rFonts w:eastAsia="SimSun"/>
          <w:sz w:val="24"/>
          <w:szCs w:val="24"/>
          <w:lang w:val="zh-CN" w:eastAsia="zh-CN"/>
        </w:rPr>
        <w:t>。分配提案可以进行相应调整，即期望第二阶段基加利执行方案的一部分在下一个三年期（</w:t>
      </w:r>
      <w:r w:rsidRPr="009B423C">
        <w:rPr>
          <w:rFonts w:eastAsia="SimSun"/>
          <w:sz w:val="24"/>
          <w:szCs w:val="24"/>
          <w:lang w:val="zh-CN" w:eastAsia="zh-CN"/>
        </w:rPr>
        <w:t>2027–2029</w:t>
      </w:r>
      <w:r w:rsidRPr="009B423C">
        <w:rPr>
          <w:rFonts w:eastAsia="SimSun"/>
          <w:sz w:val="24"/>
          <w:szCs w:val="24"/>
          <w:lang w:val="zh-CN" w:eastAsia="zh-CN"/>
        </w:rPr>
        <w:t>年）得到加快核准，或者按照时间表</w:t>
      </w:r>
      <w:r w:rsidRPr="009B423C">
        <w:rPr>
          <w:rFonts w:eastAsia="SimSun"/>
          <w:sz w:val="24"/>
          <w:szCs w:val="24"/>
          <w:lang w:val="zh-CN" w:eastAsia="zh-CN"/>
        </w:rPr>
        <w:t>B</w:t>
      </w:r>
      <w:r w:rsidRPr="009B423C">
        <w:rPr>
          <w:rFonts w:eastAsia="SimSun"/>
          <w:sz w:val="24"/>
          <w:szCs w:val="24"/>
          <w:lang w:val="zh-CN" w:eastAsia="zh-CN"/>
        </w:rPr>
        <w:t>中的安排，让第二阶段基加利执行方案在接下来的两个三年期内获得资金。针对没有任何基加利执行方案的第</w:t>
      </w:r>
      <w:r w:rsidRPr="009B423C">
        <w:rPr>
          <w:rFonts w:eastAsia="SimSun"/>
          <w:sz w:val="24"/>
          <w:szCs w:val="24"/>
          <w:lang w:val="zh-CN" w:eastAsia="zh-CN"/>
        </w:rPr>
        <w:t>1</w:t>
      </w:r>
      <w:r w:rsidRPr="009B423C">
        <w:rPr>
          <w:rFonts w:eastAsia="SimSun"/>
          <w:sz w:val="24"/>
          <w:szCs w:val="24"/>
          <w:lang w:val="zh-CN" w:eastAsia="zh-CN"/>
        </w:rPr>
        <w:t>类缔约方，迫切需要在下一个三年期内为基加利执行方案第一阶段提供</w:t>
      </w:r>
      <w:r w:rsidRPr="009B423C">
        <w:rPr>
          <w:rFonts w:eastAsia="SimSun"/>
          <w:sz w:val="24"/>
          <w:szCs w:val="24"/>
          <w:lang w:val="zh-CN" w:eastAsia="zh-CN"/>
        </w:rPr>
        <w:t>100%</w:t>
      </w:r>
      <w:r w:rsidRPr="009B423C">
        <w:rPr>
          <w:rFonts w:eastAsia="SimSun"/>
          <w:sz w:val="24"/>
          <w:szCs w:val="24"/>
          <w:lang w:val="zh-CN" w:eastAsia="zh-CN"/>
        </w:rPr>
        <w:t>的资金，以便到</w:t>
      </w:r>
      <w:r w:rsidRPr="009B423C">
        <w:rPr>
          <w:rFonts w:eastAsia="SimSun"/>
          <w:sz w:val="24"/>
          <w:szCs w:val="24"/>
          <w:lang w:val="zh-CN" w:eastAsia="zh-CN"/>
        </w:rPr>
        <w:t>2029</w:t>
      </w:r>
      <w:r w:rsidRPr="009B423C">
        <w:rPr>
          <w:rFonts w:eastAsia="SimSun"/>
          <w:sz w:val="24"/>
          <w:szCs w:val="24"/>
          <w:lang w:val="zh-CN" w:eastAsia="zh-CN"/>
        </w:rPr>
        <w:t>年实现</w:t>
      </w:r>
      <w:r w:rsidRPr="009B423C">
        <w:rPr>
          <w:rFonts w:eastAsia="SimSun"/>
          <w:sz w:val="24"/>
          <w:szCs w:val="24"/>
          <w:lang w:val="zh-CN" w:eastAsia="zh-CN"/>
        </w:rPr>
        <w:t>10%</w:t>
      </w:r>
      <w:r w:rsidRPr="009B423C">
        <w:rPr>
          <w:rFonts w:eastAsia="SimSun"/>
          <w:sz w:val="24"/>
          <w:szCs w:val="24"/>
          <w:lang w:val="zh-CN" w:eastAsia="zh-CN"/>
        </w:rPr>
        <w:t>的削减。</w:t>
      </w:r>
    </w:p>
    <w:p w14:paraId="420CAD21"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时间表</w:t>
      </w:r>
      <w:r w:rsidRPr="009B423C">
        <w:rPr>
          <w:rFonts w:eastAsia="SimSun"/>
          <w:sz w:val="24"/>
          <w:szCs w:val="24"/>
          <w:lang w:val="zh-CN" w:eastAsia="zh-CN"/>
        </w:rPr>
        <w:t>B</w:t>
      </w:r>
      <w:r w:rsidRPr="009B423C">
        <w:rPr>
          <w:rFonts w:eastAsia="SimSun"/>
          <w:sz w:val="24"/>
          <w:szCs w:val="24"/>
          <w:lang w:val="zh-CN" w:eastAsia="zh-CN"/>
        </w:rPr>
        <w:t>与</w:t>
      </w:r>
      <w:r w:rsidRPr="009B423C">
        <w:rPr>
          <w:rFonts w:eastAsia="SimSun"/>
          <w:sz w:val="24"/>
          <w:szCs w:val="24"/>
          <w:lang w:val="zh-CN" w:eastAsia="zh-CN"/>
        </w:rPr>
        <w:t>A</w:t>
      </w:r>
      <w:r w:rsidRPr="009B423C">
        <w:rPr>
          <w:rFonts w:eastAsia="SimSun"/>
          <w:sz w:val="24"/>
          <w:szCs w:val="24"/>
          <w:lang w:val="zh-CN" w:eastAsia="zh-CN"/>
        </w:rPr>
        <w:t>类似，但考虑在</w:t>
      </w:r>
      <w:r w:rsidRPr="009B423C">
        <w:rPr>
          <w:rFonts w:eastAsia="SimSun"/>
          <w:sz w:val="24"/>
          <w:szCs w:val="24"/>
          <w:lang w:val="zh-CN" w:eastAsia="zh-CN"/>
        </w:rPr>
        <w:t>2030–2032</w:t>
      </w:r>
      <w:r w:rsidRPr="009B423C">
        <w:rPr>
          <w:rFonts w:eastAsia="SimSun"/>
          <w:sz w:val="24"/>
          <w:szCs w:val="24"/>
          <w:lang w:val="zh-CN" w:eastAsia="zh-CN"/>
        </w:rPr>
        <w:t>年支付最后一批款项的</w:t>
      </w:r>
      <w:r w:rsidRPr="009B423C">
        <w:rPr>
          <w:rFonts w:eastAsia="SimSun"/>
          <w:sz w:val="24"/>
          <w:szCs w:val="24"/>
          <w:lang w:val="zh-CN" w:eastAsia="zh-CN"/>
        </w:rPr>
        <w:t>10%</w:t>
      </w:r>
      <w:r w:rsidRPr="009B423C">
        <w:rPr>
          <w:rFonts w:eastAsia="SimSun"/>
          <w:sz w:val="24"/>
          <w:szCs w:val="24"/>
          <w:lang w:val="zh-CN" w:eastAsia="zh-CN"/>
        </w:rPr>
        <w:t>。这些缔约方可能还需要加快第二阶段基加利执行计划，以便到</w:t>
      </w:r>
      <w:r w:rsidRPr="009B423C">
        <w:rPr>
          <w:rFonts w:eastAsia="SimSun"/>
          <w:sz w:val="24"/>
          <w:szCs w:val="24"/>
          <w:lang w:val="zh-CN" w:eastAsia="zh-CN"/>
        </w:rPr>
        <w:t>2035</w:t>
      </w:r>
      <w:r w:rsidRPr="009B423C">
        <w:rPr>
          <w:rFonts w:eastAsia="SimSun"/>
          <w:sz w:val="24"/>
          <w:szCs w:val="24"/>
          <w:lang w:val="zh-CN" w:eastAsia="zh-CN"/>
        </w:rPr>
        <w:t>年实现</w:t>
      </w:r>
      <w:r w:rsidRPr="009B423C">
        <w:rPr>
          <w:rFonts w:eastAsia="SimSun"/>
          <w:sz w:val="24"/>
          <w:szCs w:val="24"/>
          <w:lang w:val="zh-CN" w:eastAsia="zh-CN"/>
        </w:rPr>
        <w:t>30%</w:t>
      </w:r>
      <w:r w:rsidRPr="009B423C">
        <w:rPr>
          <w:rFonts w:eastAsia="SimSun"/>
          <w:sz w:val="24"/>
          <w:szCs w:val="24"/>
          <w:lang w:val="zh-CN" w:eastAsia="zh-CN"/>
        </w:rPr>
        <w:t>的削减，除非它们同意在第一阶段实现超过</w:t>
      </w:r>
      <w:r w:rsidRPr="009B423C">
        <w:rPr>
          <w:rFonts w:eastAsia="SimSun"/>
          <w:sz w:val="24"/>
          <w:szCs w:val="24"/>
          <w:lang w:val="zh-CN" w:eastAsia="zh-CN"/>
        </w:rPr>
        <w:t>10%</w:t>
      </w:r>
      <w:r w:rsidRPr="009B423C">
        <w:rPr>
          <w:rFonts w:eastAsia="SimSun"/>
          <w:sz w:val="24"/>
          <w:szCs w:val="24"/>
          <w:lang w:val="zh-CN" w:eastAsia="zh-CN"/>
        </w:rPr>
        <w:t>的削减。</w:t>
      </w:r>
    </w:p>
    <w:p w14:paraId="7B5A9A69"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对于没有基加利执行计划的第</w:t>
      </w:r>
      <w:r w:rsidRPr="009B423C">
        <w:rPr>
          <w:rFonts w:eastAsia="SimSun"/>
          <w:sz w:val="24"/>
          <w:szCs w:val="24"/>
          <w:lang w:val="zh-CN" w:eastAsia="zh-CN"/>
        </w:rPr>
        <w:t>2</w:t>
      </w:r>
      <w:r w:rsidRPr="009B423C">
        <w:rPr>
          <w:rFonts w:eastAsia="SimSun"/>
          <w:sz w:val="24"/>
          <w:szCs w:val="24"/>
          <w:lang w:val="zh-CN" w:eastAsia="zh-CN"/>
        </w:rPr>
        <w:t>类缔约方，时间表</w:t>
      </w:r>
      <w:r w:rsidRPr="009B423C">
        <w:rPr>
          <w:rFonts w:eastAsia="SimSun"/>
          <w:sz w:val="24"/>
          <w:szCs w:val="24"/>
          <w:lang w:val="zh-CN" w:eastAsia="zh-CN"/>
        </w:rPr>
        <w:t>A</w:t>
      </w:r>
      <w:r w:rsidRPr="009B423C">
        <w:rPr>
          <w:rFonts w:eastAsia="SimSun"/>
          <w:sz w:val="24"/>
          <w:szCs w:val="24"/>
          <w:lang w:val="zh-CN" w:eastAsia="zh-CN"/>
        </w:rPr>
        <w:t>类似于基加利执行计划第一阶段已获核准的第</w:t>
      </w:r>
      <w:r w:rsidRPr="009B423C">
        <w:rPr>
          <w:rFonts w:eastAsia="SimSun"/>
          <w:sz w:val="24"/>
          <w:szCs w:val="24"/>
          <w:lang w:val="zh-CN" w:eastAsia="zh-CN"/>
        </w:rPr>
        <w:t>1</w:t>
      </w:r>
      <w:r w:rsidRPr="009B423C">
        <w:rPr>
          <w:rFonts w:eastAsia="SimSun"/>
          <w:sz w:val="24"/>
          <w:szCs w:val="24"/>
          <w:lang w:val="zh-CN" w:eastAsia="zh-CN"/>
        </w:rPr>
        <w:t>类缔约方的时间表。时间表</w:t>
      </w:r>
      <w:r w:rsidRPr="009B423C">
        <w:rPr>
          <w:rFonts w:eastAsia="SimSun"/>
          <w:sz w:val="24"/>
          <w:szCs w:val="24"/>
          <w:lang w:val="zh-CN" w:eastAsia="zh-CN"/>
        </w:rPr>
        <w:t>B</w:t>
      </w:r>
      <w:r w:rsidRPr="009B423C">
        <w:rPr>
          <w:rFonts w:eastAsia="SimSun"/>
          <w:sz w:val="24"/>
          <w:szCs w:val="24"/>
          <w:lang w:val="zh-CN" w:eastAsia="zh-CN"/>
        </w:rPr>
        <w:t>资金将于</w:t>
      </w:r>
      <w:r w:rsidRPr="009B423C">
        <w:rPr>
          <w:rFonts w:eastAsia="SimSun"/>
          <w:sz w:val="24"/>
          <w:szCs w:val="24"/>
          <w:lang w:val="zh-CN" w:eastAsia="zh-CN"/>
        </w:rPr>
        <w:t>2030</w:t>
      </w:r>
      <w:r w:rsidRPr="009B423C">
        <w:rPr>
          <w:rFonts w:eastAsia="SimSun"/>
          <w:sz w:val="24"/>
          <w:szCs w:val="24"/>
          <w:lang w:val="zh-CN" w:eastAsia="zh-CN"/>
        </w:rPr>
        <w:t>年到位，这对于</w:t>
      </w:r>
      <w:r w:rsidRPr="009B423C">
        <w:rPr>
          <w:rFonts w:eastAsia="SimSun"/>
          <w:sz w:val="24"/>
          <w:szCs w:val="24"/>
          <w:lang w:val="zh-CN" w:eastAsia="zh-CN"/>
        </w:rPr>
        <w:t>G2</w:t>
      </w:r>
      <w:r w:rsidRPr="009B423C">
        <w:rPr>
          <w:rFonts w:eastAsia="SimSun"/>
          <w:sz w:val="24"/>
          <w:szCs w:val="24"/>
          <w:lang w:val="zh-CN" w:eastAsia="zh-CN"/>
        </w:rPr>
        <w:t>缔约方而言可能太慢，使其难以到</w:t>
      </w:r>
      <w:r w:rsidRPr="009B423C">
        <w:rPr>
          <w:rFonts w:eastAsia="SimSun"/>
          <w:sz w:val="24"/>
          <w:szCs w:val="24"/>
          <w:lang w:val="zh-CN" w:eastAsia="zh-CN"/>
        </w:rPr>
        <w:t>2032</w:t>
      </w:r>
      <w:r w:rsidRPr="009B423C">
        <w:rPr>
          <w:rFonts w:eastAsia="SimSun"/>
          <w:sz w:val="24"/>
          <w:szCs w:val="24"/>
          <w:lang w:val="zh-CN" w:eastAsia="zh-CN"/>
        </w:rPr>
        <w:t>年</w:t>
      </w:r>
      <w:r w:rsidRPr="009B423C">
        <w:rPr>
          <w:rFonts w:eastAsia="SimSun"/>
          <w:sz w:val="24"/>
          <w:szCs w:val="24"/>
          <w:lang w:val="zh-CN" w:eastAsia="zh-CN"/>
        </w:rPr>
        <w:t>1</w:t>
      </w:r>
      <w:r w:rsidRPr="009B423C">
        <w:rPr>
          <w:rFonts w:eastAsia="SimSun"/>
          <w:sz w:val="24"/>
          <w:szCs w:val="24"/>
          <w:lang w:val="zh-CN" w:eastAsia="zh-CN"/>
        </w:rPr>
        <w:t>月</w:t>
      </w:r>
      <w:r w:rsidRPr="009B423C">
        <w:rPr>
          <w:rFonts w:eastAsia="SimSun"/>
          <w:sz w:val="24"/>
          <w:szCs w:val="24"/>
          <w:lang w:val="zh-CN" w:eastAsia="zh-CN"/>
        </w:rPr>
        <w:t>1</w:t>
      </w:r>
      <w:r w:rsidRPr="009B423C">
        <w:rPr>
          <w:rFonts w:eastAsia="SimSun"/>
          <w:sz w:val="24"/>
          <w:szCs w:val="24"/>
          <w:lang w:val="zh-CN" w:eastAsia="zh-CN"/>
        </w:rPr>
        <w:t>日实现</w:t>
      </w:r>
      <w:r w:rsidRPr="009B423C">
        <w:rPr>
          <w:rFonts w:eastAsia="SimSun"/>
          <w:sz w:val="24"/>
          <w:szCs w:val="24"/>
          <w:lang w:val="zh-CN" w:eastAsia="zh-CN"/>
        </w:rPr>
        <w:t>10%</w:t>
      </w:r>
      <w:r w:rsidRPr="009B423C">
        <w:rPr>
          <w:rFonts w:eastAsia="SimSun"/>
          <w:sz w:val="24"/>
          <w:szCs w:val="24"/>
          <w:lang w:val="zh-CN" w:eastAsia="zh-CN"/>
        </w:rPr>
        <w:t>的削减。还必须澄清的是，充资问题工作队尚未考虑为第</w:t>
      </w:r>
      <w:r w:rsidRPr="009B423C">
        <w:rPr>
          <w:rFonts w:eastAsia="SimSun"/>
          <w:sz w:val="24"/>
          <w:szCs w:val="24"/>
          <w:lang w:val="zh-CN" w:eastAsia="zh-CN"/>
        </w:rPr>
        <w:t>2</w:t>
      </w:r>
      <w:r w:rsidRPr="009B423C">
        <w:rPr>
          <w:rFonts w:eastAsia="SimSun"/>
          <w:sz w:val="24"/>
          <w:szCs w:val="24"/>
          <w:lang w:val="zh-CN" w:eastAsia="zh-CN"/>
        </w:rPr>
        <w:t>类缔约方第二阶段提供资金，以便到</w:t>
      </w:r>
      <w:r w:rsidRPr="009B423C">
        <w:rPr>
          <w:rFonts w:eastAsia="SimSun"/>
          <w:sz w:val="24"/>
          <w:szCs w:val="24"/>
          <w:lang w:val="zh-CN" w:eastAsia="zh-CN"/>
        </w:rPr>
        <w:t>2037</w:t>
      </w:r>
      <w:r w:rsidRPr="009B423C">
        <w:rPr>
          <w:rFonts w:eastAsia="SimSun"/>
          <w:sz w:val="24"/>
          <w:szCs w:val="24"/>
          <w:lang w:val="zh-CN" w:eastAsia="zh-CN"/>
        </w:rPr>
        <w:t>年实现</w:t>
      </w:r>
      <w:r w:rsidRPr="009B423C">
        <w:rPr>
          <w:rFonts w:eastAsia="SimSun"/>
          <w:sz w:val="24"/>
          <w:szCs w:val="24"/>
          <w:lang w:val="zh-CN" w:eastAsia="zh-CN"/>
        </w:rPr>
        <w:t>20%</w:t>
      </w:r>
      <w:r w:rsidRPr="009B423C">
        <w:rPr>
          <w:rFonts w:eastAsia="SimSun"/>
          <w:sz w:val="24"/>
          <w:szCs w:val="24"/>
          <w:lang w:val="zh-CN" w:eastAsia="zh-CN"/>
        </w:rPr>
        <w:t>的削减，因为该阶段不属于要求工作队应对的三个三年期。</w:t>
      </w:r>
    </w:p>
    <w:p w14:paraId="5DE29CAA"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Carvalho</w:t>
      </w:r>
      <w:r w:rsidRPr="009B423C">
        <w:rPr>
          <w:rFonts w:eastAsia="SimSun"/>
          <w:sz w:val="24"/>
          <w:szCs w:val="24"/>
          <w:lang w:val="zh-CN" w:eastAsia="zh-CN"/>
        </w:rPr>
        <w:t>女士在总结氢氟碳化物消费部门遵约模型的各项假设时指出，充资问题工作队审议了截至第九十七次会议的执行委员会决定、截至</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1</w:t>
      </w:r>
      <w:r w:rsidRPr="009B423C">
        <w:rPr>
          <w:rFonts w:eastAsia="SimSun"/>
          <w:sz w:val="24"/>
          <w:szCs w:val="24"/>
          <w:lang w:val="zh-CN" w:eastAsia="zh-CN"/>
        </w:rPr>
        <w:t>月提供的多边基金秘书处数据、臭氧秘书处的第</w:t>
      </w:r>
      <w:r w:rsidRPr="009B423C">
        <w:rPr>
          <w:rFonts w:eastAsia="SimSun"/>
          <w:sz w:val="24"/>
          <w:szCs w:val="24"/>
          <w:lang w:val="zh-CN" w:eastAsia="zh-CN"/>
        </w:rPr>
        <w:t>7</w:t>
      </w:r>
      <w:r w:rsidRPr="009B423C">
        <w:rPr>
          <w:rFonts w:eastAsia="SimSun"/>
          <w:sz w:val="24"/>
          <w:szCs w:val="24"/>
          <w:lang w:val="zh-CN" w:eastAsia="zh-CN"/>
        </w:rPr>
        <w:t>条和基线信息数据，以及截至</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4</w:t>
      </w:r>
      <w:r w:rsidRPr="009B423C">
        <w:rPr>
          <w:rFonts w:eastAsia="SimSun"/>
          <w:sz w:val="24"/>
          <w:szCs w:val="24"/>
          <w:lang w:val="zh-CN" w:eastAsia="zh-CN"/>
        </w:rPr>
        <w:t>月</w:t>
      </w:r>
      <w:r w:rsidRPr="009B423C">
        <w:rPr>
          <w:rFonts w:eastAsia="SimSun"/>
          <w:sz w:val="24"/>
          <w:szCs w:val="24"/>
          <w:lang w:val="zh-CN" w:eastAsia="zh-CN"/>
        </w:rPr>
        <w:t>8</w:t>
      </w:r>
      <w:r w:rsidRPr="009B423C">
        <w:rPr>
          <w:rFonts w:eastAsia="SimSun"/>
          <w:sz w:val="24"/>
          <w:szCs w:val="24"/>
          <w:lang w:val="zh-CN" w:eastAsia="zh-CN"/>
        </w:rPr>
        <w:t>日的缔约方批准状况。充资问题工作队认为，截至</w:t>
      </w:r>
      <w:r w:rsidRPr="009B423C">
        <w:rPr>
          <w:rFonts w:eastAsia="SimSun"/>
          <w:sz w:val="24"/>
          <w:szCs w:val="24"/>
          <w:lang w:val="zh-CN" w:eastAsia="zh-CN"/>
        </w:rPr>
        <w:t>2026</w:t>
      </w:r>
      <w:r w:rsidRPr="009B423C">
        <w:rPr>
          <w:rFonts w:eastAsia="SimSun"/>
          <w:sz w:val="24"/>
          <w:szCs w:val="24"/>
          <w:lang w:val="zh-CN" w:eastAsia="zh-CN"/>
        </w:rPr>
        <w:t>年</w:t>
      </w:r>
      <w:r w:rsidRPr="009B423C">
        <w:rPr>
          <w:rFonts w:eastAsia="SimSun"/>
          <w:sz w:val="24"/>
          <w:szCs w:val="24"/>
          <w:lang w:val="zh-CN" w:eastAsia="zh-CN"/>
        </w:rPr>
        <w:t>4</w:t>
      </w:r>
      <w:r w:rsidRPr="009B423C">
        <w:rPr>
          <w:rFonts w:eastAsia="SimSun"/>
          <w:sz w:val="24"/>
          <w:szCs w:val="24"/>
          <w:lang w:val="zh-CN" w:eastAsia="zh-CN"/>
        </w:rPr>
        <w:t>月尚未批准《基加利修正》的</w:t>
      </w:r>
      <w:r w:rsidRPr="009B423C">
        <w:rPr>
          <w:rFonts w:eastAsia="SimSun"/>
          <w:sz w:val="24"/>
          <w:szCs w:val="24"/>
          <w:lang w:val="zh-CN" w:eastAsia="zh-CN"/>
        </w:rPr>
        <w:t>19</w:t>
      </w:r>
      <w:r w:rsidRPr="009B423C">
        <w:rPr>
          <w:rFonts w:eastAsia="SimSun"/>
          <w:sz w:val="24"/>
          <w:szCs w:val="24"/>
          <w:lang w:val="zh-CN" w:eastAsia="zh-CN"/>
        </w:rPr>
        <w:t>个缔约方将在</w:t>
      </w:r>
      <w:r w:rsidRPr="009B423C">
        <w:rPr>
          <w:rFonts w:eastAsia="SimSun"/>
          <w:sz w:val="24"/>
          <w:szCs w:val="24"/>
          <w:lang w:val="zh-CN" w:eastAsia="zh-CN"/>
        </w:rPr>
        <w:t>2027–2029</w:t>
      </w:r>
      <w:r w:rsidRPr="009B423C">
        <w:rPr>
          <w:rFonts w:eastAsia="SimSun"/>
          <w:sz w:val="24"/>
          <w:szCs w:val="24"/>
          <w:lang w:val="zh-CN" w:eastAsia="zh-CN"/>
        </w:rPr>
        <w:t>年三年期内批准。工作队还根据相比基线的削减量进行计算，并将</w:t>
      </w:r>
      <w:r w:rsidRPr="009B423C">
        <w:rPr>
          <w:rFonts w:eastAsia="SimSun"/>
          <w:sz w:val="24"/>
          <w:szCs w:val="24"/>
          <w:lang w:val="zh-CN" w:eastAsia="zh-CN"/>
        </w:rPr>
        <w:t>65%</w:t>
      </w:r>
      <w:r w:rsidRPr="009B423C">
        <w:rPr>
          <w:rFonts w:eastAsia="SimSun"/>
          <w:sz w:val="24"/>
          <w:szCs w:val="24"/>
          <w:lang w:val="zh-CN" w:eastAsia="zh-CN"/>
        </w:rPr>
        <w:t>的含氢氯氟烃消费量划归到维修行业。工作队发现了第</w:t>
      </w:r>
      <w:r w:rsidRPr="009B423C">
        <w:rPr>
          <w:rFonts w:eastAsia="SimSun"/>
          <w:sz w:val="24"/>
          <w:szCs w:val="24"/>
          <w:lang w:val="zh-CN" w:eastAsia="zh-CN"/>
        </w:rPr>
        <w:t>7</w:t>
      </w:r>
      <w:r w:rsidRPr="009B423C">
        <w:rPr>
          <w:rFonts w:eastAsia="SimSun"/>
          <w:sz w:val="24"/>
          <w:szCs w:val="24"/>
          <w:lang w:val="zh-CN" w:eastAsia="zh-CN"/>
        </w:rPr>
        <w:t>条、基线和国家方案报告中的数据差距和不一致之处，并使用报告第</w:t>
      </w:r>
      <w:r w:rsidRPr="009B423C">
        <w:rPr>
          <w:rFonts w:eastAsia="SimSun"/>
          <w:sz w:val="24"/>
          <w:szCs w:val="24"/>
          <w:lang w:val="zh-CN" w:eastAsia="zh-CN"/>
        </w:rPr>
        <w:t>3.4.2</w:t>
      </w:r>
      <w:r w:rsidRPr="009B423C">
        <w:rPr>
          <w:rFonts w:eastAsia="SimSun"/>
          <w:sz w:val="24"/>
          <w:szCs w:val="24"/>
          <w:lang w:val="zh-CN" w:eastAsia="zh-CN"/>
        </w:rPr>
        <w:t>章和附件</w:t>
      </w:r>
      <w:r w:rsidRPr="009B423C">
        <w:rPr>
          <w:rFonts w:eastAsia="SimSun"/>
          <w:sz w:val="24"/>
          <w:szCs w:val="24"/>
          <w:lang w:val="zh-CN" w:eastAsia="zh-CN"/>
        </w:rPr>
        <w:t>3</w:t>
      </w:r>
      <w:r w:rsidRPr="009B423C">
        <w:rPr>
          <w:rFonts w:eastAsia="SimSun"/>
          <w:sz w:val="24"/>
          <w:szCs w:val="24"/>
          <w:lang w:val="zh-CN" w:eastAsia="zh-CN"/>
        </w:rPr>
        <w:t>中介绍的方法解决了差距问题。工作队职权范围第</w:t>
      </w:r>
      <w:r w:rsidRPr="009B423C">
        <w:rPr>
          <w:rFonts w:eastAsia="SimSun"/>
          <w:sz w:val="24"/>
          <w:szCs w:val="24"/>
          <w:lang w:val="zh-CN" w:eastAsia="zh-CN"/>
        </w:rPr>
        <w:t>4</w:t>
      </w:r>
      <w:r w:rsidRPr="009B423C">
        <w:rPr>
          <w:rFonts w:eastAsia="SimSun"/>
          <w:sz w:val="24"/>
          <w:szCs w:val="24"/>
          <w:lang w:val="zh-CN" w:eastAsia="zh-CN"/>
        </w:rPr>
        <w:t>段中要求</w:t>
      </w:r>
      <w:r w:rsidRPr="000F10FC">
        <w:rPr>
          <w:rFonts w:ascii="SimSun" w:eastAsia="SimSun" w:hAnsi="SimSun"/>
          <w:sz w:val="24"/>
          <w:szCs w:val="24"/>
          <w:lang w:val="zh-CN" w:eastAsia="zh-CN"/>
        </w:rPr>
        <w:t>“</w:t>
      </w:r>
      <w:r w:rsidRPr="009B423C">
        <w:rPr>
          <w:rFonts w:eastAsia="SimSun"/>
          <w:sz w:val="24"/>
          <w:szCs w:val="24"/>
          <w:lang w:val="zh-CN" w:eastAsia="zh-CN"/>
        </w:rPr>
        <w:t>为在目标之前自愿提交逐步淘汰氢氟碳化物基加利执行计划的不同数量的第</w:t>
      </w:r>
      <w:r w:rsidRPr="009B423C">
        <w:rPr>
          <w:rFonts w:eastAsia="SimSun"/>
          <w:sz w:val="24"/>
          <w:szCs w:val="24"/>
          <w:lang w:val="zh-CN" w:eastAsia="zh-CN"/>
        </w:rPr>
        <w:t>5</w:t>
      </w:r>
      <w:r w:rsidRPr="009B423C">
        <w:rPr>
          <w:rFonts w:eastAsia="SimSun"/>
          <w:sz w:val="24"/>
          <w:szCs w:val="24"/>
          <w:lang w:val="zh-CN" w:eastAsia="zh-CN"/>
        </w:rPr>
        <w:t>条缔约方编制设想方案</w:t>
      </w:r>
      <w:r w:rsidRPr="000F10FC">
        <w:rPr>
          <w:rFonts w:ascii="SimSun" w:eastAsia="SimSun" w:hAnsi="SimSun"/>
          <w:sz w:val="24"/>
          <w:szCs w:val="24"/>
          <w:lang w:val="zh-CN" w:eastAsia="zh-CN"/>
        </w:rPr>
        <w:t>”</w:t>
      </w:r>
      <w:r w:rsidRPr="009B423C">
        <w:rPr>
          <w:rFonts w:eastAsia="SimSun"/>
          <w:sz w:val="24"/>
          <w:szCs w:val="24"/>
          <w:lang w:val="zh-CN" w:eastAsia="zh-CN"/>
        </w:rPr>
        <w:t>，这是具有挑战性的。工作队建议以资源分配时间表</w:t>
      </w:r>
      <w:r w:rsidRPr="009B423C">
        <w:rPr>
          <w:rFonts w:eastAsia="SimSun"/>
          <w:sz w:val="24"/>
          <w:szCs w:val="24"/>
          <w:lang w:val="zh-CN" w:eastAsia="zh-CN"/>
        </w:rPr>
        <w:t>A</w:t>
      </w:r>
      <w:r w:rsidRPr="009B423C">
        <w:rPr>
          <w:rFonts w:eastAsia="SimSun"/>
          <w:sz w:val="24"/>
          <w:szCs w:val="24"/>
          <w:lang w:val="zh-CN" w:eastAsia="zh-CN"/>
        </w:rPr>
        <w:t>和</w:t>
      </w:r>
      <w:r w:rsidRPr="009B423C">
        <w:rPr>
          <w:rFonts w:eastAsia="SimSun"/>
          <w:sz w:val="24"/>
          <w:szCs w:val="24"/>
          <w:lang w:val="zh-CN" w:eastAsia="zh-CN"/>
        </w:rPr>
        <w:t>B</w:t>
      </w:r>
      <w:r w:rsidRPr="009B423C">
        <w:rPr>
          <w:rFonts w:eastAsia="SimSun"/>
          <w:sz w:val="24"/>
          <w:szCs w:val="24"/>
          <w:lang w:val="zh-CN" w:eastAsia="zh-CN"/>
        </w:rPr>
        <w:t>作为回应，其可根据缔约方意愿进行调整。工作队欢迎缔约方对补充报告的时间表提出建议和指导。</w:t>
      </w:r>
    </w:p>
    <w:p w14:paraId="59A0FC99"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充资问题工作队单独考虑了</w:t>
      </w:r>
      <w:r w:rsidRPr="009B423C">
        <w:rPr>
          <w:rFonts w:eastAsia="SimSun"/>
          <w:sz w:val="24"/>
          <w:szCs w:val="24"/>
          <w:lang w:val="zh-CN" w:eastAsia="zh-CN"/>
        </w:rPr>
        <w:t>2027–2029</w:t>
      </w:r>
      <w:r w:rsidRPr="009B423C">
        <w:rPr>
          <w:rFonts w:eastAsia="SimSun"/>
          <w:sz w:val="24"/>
          <w:szCs w:val="24"/>
          <w:lang w:val="zh-CN" w:eastAsia="zh-CN"/>
        </w:rPr>
        <w:t>三年期的能效供资需求。执行委员会建立了四种补充供资途径，涵盖维修、制造和最终用户应用：第</w:t>
      </w:r>
      <w:r w:rsidRPr="009B423C">
        <w:rPr>
          <w:rFonts w:eastAsia="SimSun"/>
          <w:sz w:val="24"/>
          <w:szCs w:val="24"/>
          <w:lang w:val="zh-CN" w:eastAsia="zh-CN"/>
        </w:rPr>
        <w:t>89/6</w:t>
      </w:r>
      <w:r w:rsidRPr="009B423C">
        <w:rPr>
          <w:rFonts w:eastAsia="SimSun"/>
          <w:sz w:val="24"/>
          <w:szCs w:val="24"/>
          <w:lang w:val="zh-CN" w:eastAsia="zh-CN"/>
        </w:rPr>
        <w:t>号决定支持低消费量国家含氢氯氟烃逐步淘汰管理计划内的额外能效活动；第</w:t>
      </w:r>
      <w:r w:rsidRPr="009B423C">
        <w:rPr>
          <w:rFonts w:eastAsia="SimSun"/>
          <w:sz w:val="24"/>
          <w:szCs w:val="24"/>
          <w:lang w:val="zh-CN" w:eastAsia="zh-CN"/>
        </w:rPr>
        <w:t>91/65</w:t>
      </w:r>
      <w:r w:rsidRPr="009B423C">
        <w:rPr>
          <w:rFonts w:eastAsia="SimSun"/>
          <w:sz w:val="24"/>
          <w:szCs w:val="24"/>
          <w:lang w:val="zh-CN" w:eastAsia="zh-CN"/>
        </w:rPr>
        <w:t>号决定为能效项目设立了一个可扩大的</w:t>
      </w:r>
      <w:r w:rsidRPr="009B423C">
        <w:rPr>
          <w:rFonts w:eastAsia="SimSun"/>
          <w:sz w:val="24"/>
          <w:szCs w:val="24"/>
          <w:lang w:val="zh-CN" w:eastAsia="zh-CN"/>
        </w:rPr>
        <w:t>2 000</w:t>
      </w:r>
      <w:r w:rsidRPr="009B423C">
        <w:rPr>
          <w:rFonts w:eastAsia="SimSun"/>
          <w:sz w:val="24"/>
          <w:szCs w:val="24"/>
          <w:lang w:val="zh-CN" w:eastAsia="zh-CN"/>
        </w:rPr>
        <w:t>万美元试点窗口，包括在没有制造业的国家提供技术援助和能力建设；第</w:t>
      </w:r>
      <w:r w:rsidRPr="009B423C">
        <w:rPr>
          <w:rFonts w:eastAsia="SimSun"/>
          <w:sz w:val="24"/>
          <w:szCs w:val="24"/>
          <w:lang w:val="zh-CN" w:eastAsia="zh-CN"/>
        </w:rPr>
        <w:t>95/87</w:t>
      </w:r>
      <w:r w:rsidRPr="009B423C">
        <w:rPr>
          <w:rFonts w:eastAsia="SimSun"/>
          <w:sz w:val="24"/>
          <w:szCs w:val="24"/>
          <w:lang w:val="zh-CN" w:eastAsia="zh-CN"/>
        </w:rPr>
        <w:t>号决定将提交期限延长至执行委员会第一百届会议，但仅限于维修部门的活动；第</w:t>
      </w:r>
      <w:r w:rsidRPr="009B423C">
        <w:rPr>
          <w:rFonts w:eastAsia="SimSun"/>
          <w:sz w:val="24"/>
          <w:szCs w:val="24"/>
          <w:lang w:val="zh-CN" w:eastAsia="zh-CN"/>
        </w:rPr>
        <w:t>94/60</w:t>
      </w:r>
      <w:r w:rsidRPr="009B423C">
        <w:rPr>
          <w:rFonts w:eastAsia="SimSun"/>
          <w:sz w:val="24"/>
          <w:szCs w:val="24"/>
          <w:lang w:val="zh-CN" w:eastAsia="zh-CN"/>
        </w:rPr>
        <w:t>号决定设立了一个</w:t>
      </w:r>
      <w:r w:rsidRPr="009B423C">
        <w:rPr>
          <w:rFonts w:eastAsia="SimSun"/>
          <w:sz w:val="24"/>
          <w:szCs w:val="24"/>
          <w:lang w:val="zh-CN" w:eastAsia="zh-CN"/>
        </w:rPr>
        <w:lastRenderedPageBreak/>
        <w:t>可扩大的</w:t>
      </w:r>
      <w:r w:rsidRPr="009B423C">
        <w:rPr>
          <w:rFonts w:eastAsia="SimSun"/>
          <w:sz w:val="24"/>
          <w:szCs w:val="24"/>
          <w:lang w:val="zh-CN" w:eastAsia="zh-CN"/>
        </w:rPr>
        <w:t>1</w:t>
      </w:r>
      <w:r w:rsidRPr="009B423C">
        <w:rPr>
          <w:rFonts w:eastAsia="SimSun"/>
          <w:sz w:val="24"/>
          <w:szCs w:val="24"/>
          <w:lang w:val="zh-CN" w:eastAsia="zh-CN"/>
        </w:rPr>
        <w:t>亿美元的激励窗口，用于改善制造业的能效；第</w:t>
      </w:r>
      <w:r w:rsidRPr="009B423C">
        <w:rPr>
          <w:rFonts w:eastAsia="SimSun"/>
          <w:sz w:val="24"/>
          <w:szCs w:val="24"/>
          <w:lang w:val="zh-CN" w:eastAsia="zh-CN"/>
        </w:rPr>
        <w:t>95/87</w:t>
      </w:r>
      <w:r w:rsidRPr="009B423C">
        <w:rPr>
          <w:rFonts w:eastAsia="SimSun"/>
          <w:sz w:val="24"/>
          <w:szCs w:val="24"/>
          <w:lang w:val="zh-CN" w:eastAsia="zh-CN"/>
        </w:rPr>
        <w:t>号决定利用循环基金机制为两个最终用户项目设立了一个单独的</w:t>
      </w:r>
      <w:r w:rsidRPr="009B423C">
        <w:rPr>
          <w:rFonts w:eastAsia="SimSun"/>
          <w:sz w:val="24"/>
          <w:szCs w:val="24"/>
          <w:lang w:val="zh-CN" w:eastAsia="zh-CN"/>
        </w:rPr>
        <w:t>4 000</w:t>
      </w:r>
      <w:r w:rsidRPr="009B423C">
        <w:rPr>
          <w:rFonts w:eastAsia="SimSun"/>
          <w:sz w:val="24"/>
          <w:szCs w:val="24"/>
          <w:lang w:val="zh-CN" w:eastAsia="zh-CN"/>
        </w:rPr>
        <w:t>万美元试点窗口。总体而言，工作队估计，</w:t>
      </w:r>
      <w:r w:rsidRPr="009B423C">
        <w:rPr>
          <w:rFonts w:eastAsia="SimSun"/>
          <w:sz w:val="24"/>
          <w:szCs w:val="24"/>
          <w:lang w:val="zh-CN" w:eastAsia="zh-CN"/>
        </w:rPr>
        <w:t>2027–2029</w:t>
      </w:r>
      <w:r w:rsidRPr="009B423C">
        <w:rPr>
          <w:rFonts w:eastAsia="SimSun"/>
          <w:sz w:val="24"/>
          <w:szCs w:val="24"/>
          <w:lang w:val="zh-CN" w:eastAsia="zh-CN"/>
        </w:rPr>
        <w:t>三年期的能效资金需求低端约</w:t>
      </w:r>
      <w:r w:rsidRPr="009B423C">
        <w:rPr>
          <w:rFonts w:eastAsia="SimSun"/>
          <w:sz w:val="24"/>
          <w:szCs w:val="24"/>
          <w:lang w:val="zh-CN" w:eastAsia="zh-CN"/>
        </w:rPr>
        <w:t>7 590</w:t>
      </w:r>
      <w:r w:rsidRPr="009B423C">
        <w:rPr>
          <w:rFonts w:eastAsia="SimSun"/>
          <w:sz w:val="24"/>
          <w:szCs w:val="24"/>
          <w:lang w:val="zh-CN" w:eastAsia="zh-CN"/>
        </w:rPr>
        <w:t>万美元，高端约</w:t>
      </w:r>
      <w:r w:rsidRPr="009B423C">
        <w:rPr>
          <w:rFonts w:eastAsia="SimSun"/>
          <w:sz w:val="24"/>
          <w:szCs w:val="24"/>
          <w:lang w:val="zh-CN" w:eastAsia="zh-CN"/>
        </w:rPr>
        <w:t>1.335</w:t>
      </w:r>
      <w:r w:rsidRPr="009B423C">
        <w:rPr>
          <w:rFonts w:eastAsia="SimSun"/>
          <w:sz w:val="24"/>
          <w:szCs w:val="24"/>
          <w:lang w:val="zh-CN" w:eastAsia="zh-CN"/>
        </w:rPr>
        <w:t>亿美元，包括支助费用。该范围反映了项目需求的不确定性、现有窗口可能扩大以及循环基金试点的实施。能效支持目前构成了涵盖维修、制造和最终用户应用的补充工具组合。</w:t>
      </w:r>
    </w:p>
    <w:p w14:paraId="1007676E"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rPr>
      </w:pPr>
      <w:r w:rsidRPr="009B423C">
        <w:rPr>
          <w:rFonts w:ascii="SimSun" w:eastAsia="SimSun" w:hAnsi="SimSun"/>
          <w:sz w:val="24"/>
          <w:szCs w:val="24"/>
          <w:lang w:val="zh-CN" w:eastAsia="zh-CN"/>
        </w:rPr>
        <w:t>充资问题工作队职权范围要求“</w:t>
      </w:r>
      <w:r w:rsidRPr="009B423C">
        <w:rPr>
          <w:rFonts w:eastAsia="SimSun"/>
          <w:sz w:val="24"/>
          <w:szCs w:val="24"/>
          <w:lang w:val="zh-CN" w:eastAsia="zh-CN"/>
        </w:rPr>
        <w:t>为一种支持数量有限的试点项目的供资模式分配资源、以加强《</w:t>
      </w:r>
      <w:r w:rsidRPr="009B423C">
        <w:rPr>
          <w:rFonts w:ascii="SimSun" w:eastAsia="SimSun" w:hAnsi="SimSun"/>
          <w:sz w:val="24"/>
          <w:szCs w:val="24"/>
          <w:lang w:val="zh-CN" w:eastAsia="zh-CN"/>
        </w:rPr>
        <w:t>蒙特利尔议定书》所列受控物质的区域大气监测的设想情况”。工作队假设执行委员会第九</w:t>
      </w:r>
      <w:r w:rsidRPr="009B423C">
        <w:rPr>
          <w:rFonts w:eastAsia="SimSun"/>
          <w:sz w:val="24"/>
          <w:szCs w:val="24"/>
          <w:lang w:val="zh-CN" w:eastAsia="zh-CN"/>
        </w:rPr>
        <w:t>十八次会议将建立一个供资窗口，据此估算了</w:t>
      </w:r>
      <w:r w:rsidRPr="009B423C">
        <w:rPr>
          <w:rFonts w:eastAsia="SimSun"/>
          <w:sz w:val="24"/>
          <w:szCs w:val="24"/>
          <w:lang w:val="zh-CN" w:eastAsia="zh-CN"/>
        </w:rPr>
        <w:t>2027–2029</w:t>
      </w:r>
      <w:r w:rsidRPr="009B423C">
        <w:rPr>
          <w:rFonts w:eastAsia="SimSun"/>
          <w:sz w:val="24"/>
          <w:szCs w:val="24"/>
          <w:lang w:val="zh-CN" w:eastAsia="zh-CN"/>
        </w:rPr>
        <w:t>年和</w:t>
      </w:r>
      <w:r w:rsidRPr="009B423C">
        <w:rPr>
          <w:rFonts w:eastAsia="SimSun"/>
          <w:sz w:val="24"/>
          <w:szCs w:val="24"/>
          <w:lang w:val="zh-CN" w:eastAsia="zh-CN"/>
        </w:rPr>
        <w:t>2030–2032</w:t>
      </w:r>
      <w:r w:rsidRPr="009B423C">
        <w:rPr>
          <w:rFonts w:eastAsia="SimSun"/>
          <w:sz w:val="24"/>
          <w:szCs w:val="24"/>
          <w:lang w:val="zh-CN" w:eastAsia="zh-CN"/>
        </w:rPr>
        <w:t>年的五年期间支持三个台站的资金。将在工作队补充报告中审议执行委员会第九十八次会议作出的决定。</w:t>
      </w:r>
      <w:proofErr w:type="spellStart"/>
      <w:r w:rsidRPr="009B423C">
        <w:rPr>
          <w:rFonts w:eastAsia="SimSun"/>
          <w:sz w:val="24"/>
          <w:szCs w:val="24"/>
          <w:lang w:val="zh-CN"/>
        </w:rPr>
        <w:t>详见报告第</w:t>
      </w:r>
      <w:proofErr w:type="spellEnd"/>
      <w:r w:rsidRPr="009B423C">
        <w:rPr>
          <w:rFonts w:eastAsia="SimSun"/>
          <w:sz w:val="24"/>
          <w:szCs w:val="24"/>
          <w:lang w:val="zh-CN"/>
        </w:rPr>
        <w:t>10</w:t>
      </w:r>
      <w:proofErr w:type="spellStart"/>
      <w:r w:rsidRPr="009B423C">
        <w:rPr>
          <w:rFonts w:eastAsia="SimSun"/>
          <w:sz w:val="24"/>
          <w:szCs w:val="24"/>
          <w:lang w:val="zh-CN"/>
        </w:rPr>
        <w:t>章和附件</w:t>
      </w:r>
      <w:proofErr w:type="spellEnd"/>
      <w:r w:rsidRPr="009B423C">
        <w:rPr>
          <w:rFonts w:eastAsia="SimSun"/>
          <w:sz w:val="24"/>
          <w:szCs w:val="24"/>
          <w:lang w:val="zh-CN"/>
        </w:rPr>
        <w:t>8</w:t>
      </w:r>
      <w:r w:rsidRPr="009B423C">
        <w:rPr>
          <w:rFonts w:eastAsia="SimSun"/>
          <w:sz w:val="24"/>
          <w:szCs w:val="24"/>
          <w:lang w:val="zh-CN"/>
        </w:rPr>
        <w:t>。</w:t>
      </w:r>
    </w:p>
    <w:p w14:paraId="0717A561" w14:textId="77777777" w:rsidR="00B906B9" w:rsidRPr="000B0688"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pacing w:val="-4"/>
          <w:sz w:val="24"/>
          <w:szCs w:val="24"/>
          <w:lang w:eastAsia="zh-CN"/>
        </w:rPr>
      </w:pPr>
      <w:r w:rsidRPr="000B0688">
        <w:rPr>
          <w:rFonts w:eastAsia="SimSun"/>
          <w:spacing w:val="-4"/>
          <w:sz w:val="24"/>
          <w:szCs w:val="24"/>
          <w:lang w:val="zh-CN" w:eastAsia="zh-CN"/>
        </w:rPr>
        <w:t>对于设想方案</w:t>
      </w:r>
      <w:r w:rsidRPr="000B0688">
        <w:rPr>
          <w:rFonts w:eastAsia="SimSun"/>
          <w:spacing w:val="-4"/>
          <w:sz w:val="24"/>
          <w:szCs w:val="24"/>
          <w:lang w:val="zh-CN" w:eastAsia="zh-CN"/>
        </w:rPr>
        <w:t>1</w:t>
      </w:r>
      <w:r w:rsidRPr="000B0688">
        <w:rPr>
          <w:rFonts w:eastAsia="SimSun"/>
          <w:spacing w:val="-4"/>
          <w:sz w:val="24"/>
          <w:szCs w:val="24"/>
          <w:lang w:val="zh-CN" w:eastAsia="zh-CN"/>
        </w:rPr>
        <w:t>，计算中包括的所有资金组成部分都是针对基加利执行计划不同阶段和有待批准的国家的承诺资金和新资金。其中包括项目准备、验证、能效和大气监测供资窗口。三个三年期的总额为</w:t>
      </w:r>
      <w:r w:rsidRPr="000B0688">
        <w:rPr>
          <w:rFonts w:eastAsia="SimSun"/>
          <w:spacing w:val="-4"/>
          <w:sz w:val="24"/>
          <w:szCs w:val="24"/>
          <w:lang w:val="zh-CN" w:eastAsia="zh-CN"/>
        </w:rPr>
        <w:t>23.2</w:t>
      </w:r>
      <w:r w:rsidRPr="000B0688">
        <w:rPr>
          <w:rFonts w:eastAsia="SimSun"/>
          <w:spacing w:val="-4"/>
          <w:sz w:val="24"/>
          <w:szCs w:val="24"/>
          <w:lang w:val="zh-CN" w:eastAsia="zh-CN"/>
        </w:rPr>
        <w:t>亿美元，并显示了建议的资金分配方案</w:t>
      </w:r>
      <w:r w:rsidRPr="000B0688">
        <w:rPr>
          <w:rFonts w:eastAsia="SimSun"/>
          <w:spacing w:val="-4"/>
          <w:sz w:val="24"/>
          <w:szCs w:val="24"/>
          <w:lang w:val="zh-CN" w:eastAsia="zh-CN"/>
        </w:rPr>
        <w:t>A</w:t>
      </w:r>
      <w:r w:rsidRPr="000B0688">
        <w:rPr>
          <w:rFonts w:eastAsia="SimSun"/>
          <w:spacing w:val="-4"/>
          <w:sz w:val="24"/>
          <w:szCs w:val="24"/>
          <w:lang w:val="zh-CN" w:eastAsia="zh-CN"/>
        </w:rPr>
        <w:t>和</w:t>
      </w:r>
      <w:r w:rsidRPr="000B0688">
        <w:rPr>
          <w:rFonts w:eastAsia="SimSun"/>
          <w:spacing w:val="-4"/>
          <w:sz w:val="24"/>
          <w:szCs w:val="24"/>
          <w:lang w:val="zh-CN" w:eastAsia="zh-CN"/>
        </w:rPr>
        <w:t>B</w:t>
      </w:r>
      <w:r w:rsidRPr="000B0688">
        <w:rPr>
          <w:rFonts w:eastAsia="SimSun"/>
          <w:spacing w:val="-4"/>
          <w:sz w:val="24"/>
          <w:szCs w:val="24"/>
          <w:lang w:val="zh-CN" w:eastAsia="zh-CN"/>
        </w:rPr>
        <w:t>。对于设想方案</w:t>
      </w:r>
      <w:r w:rsidRPr="000B0688">
        <w:rPr>
          <w:rFonts w:eastAsia="SimSun"/>
          <w:spacing w:val="-4"/>
          <w:sz w:val="24"/>
          <w:szCs w:val="24"/>
          <w:lang w:val="zh-CN" w:eastAsia="zh-CN"/>
        </w:rPr>
        <w:t>2</w:t>
      </w:r>
      <w:r w:rsidRPr="000B0688">
        <w:rPr>
          <w:rFonts w:eastAsia="SimSun"/>
          <w:spacing w:val="-4"/>
          <w:sz w:val="24"/>
          <w:szCs w:val="24"/>
          <w:lang w:val="zh-CN" w:eastAsia="zh-CN"/>
        </w:rPr>
        <w:t>，根据针对基加利执行计划不同阶段以及有待批准的国家、项目准备、验证、能效和大气监测的承诺资金和新资金，估计三个三年期的资金总额为</w:t>
      </w:r>
      <w:r w:rsidRPr="000B0688">
        <w:rPr>
          <w:rFonts w:eastAsia="SimSun"/>
          <w:spacing w:val="-4"/>
          <w:sz w:val="24"/>
          <w:szCs w:val="24"/>
          <w:lang w:val="zh-CN" w:eastAsia="zh-CN"/>
        </w:rPr>
        <w:t>245</w:t>
      </w:r>
      <w:r w:rsidRPr="000B0688">
        <w:rPr>
          <w:rFonts w:eastAsia="SimSun"/>
          <w:spacing w:val="-4"/>
          <w:sz w:val="24"/>
          <w:szCs w:val="24"/>
          <w:lang w:val="zh-CN" w:eastAsia="zh-CN"/>
        </w:rPr>
        <w:t>万美元，并显示了建议的资金分配方案</w:t>
      </w:r>
      <w:r w:rsidRPr="000B0688">
        <w:rPr>
          <w:rFonts w:eastAsia="SimSun"/>
          <w:spacing w:val="-4"/>
          <w:sz w:val="24"/>
          <w:szCs w:val="24"/>
          <w:lang w:val="zh-CN" w:eastAsia="zh-CN"/>
        </w:rPr>
        <w:t>A</w:t>
      </w:r>
      <w:r w:rsidRPr="000B0688">
        <w:rPr>
          <w:rFonts w:eastAsia="SimSun"/>
          <w:spacing w:val="-4"/>
          <w:sz w:val="24"/>
          <w:szCs w:val="24"/>
          <w:lang w:val="zh-CN" w:eastAsia="zh-CN"/>
        </w:rPr>
        <w:t>和</w:t>
      </w:r>
      <w:r w:rsidRPr="000B0688">
        <w:rPr>
          <w:rFonts w:eastAsia="SimSun"/>
          <w:spacing w:val="-4"/>
          <w:sz w:val="24"/>
          <w:szCs w:val="24"/>
          <w:lang w:val="zh-CN" w:eastAsia="zh-CN"/>
        </w:rPr>
        <w:t>B</w:t>
      </w:r>
      <w:r w:rsidRPr="000B0688">
        <w:rPr>
          <w:rFonts w:eastAsia="SimSun"/>
          <w:spacing w:val="-4"/>
          <w:sz w:val="24"/>
          <w:szCs w:val="24"/>
          <w:lang w:val="zh-CN" w:eastAsia="zh-CN"/>
        </w:rPr>
        <w:t>。</w:t>
      </w:r>
    </w:p>
    <w:p w14:paraId="3130397B"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介绍了氢氟碳化物生产部门和三氟甲烷减排活动的估计资金需求。对于氢氟碳化物生产部门，由于中国和印度都远低于第</w:t>
      </w:r>
      <w:r w:rsidRPr="009B423C">
        <w:rPr>
          <w:rFonts w:eastAsia="SimSun"/>
          <w:sz w:val="24"/>
          <w:szCs w:val="24"/>
          <w:lang w:val="zh-CN" w:eastAsia="zh-CN"/>
        </w:rPr>
        <w:t>1</w:t>
      </w:r>
      <w:r w:rsidRPr="009B423C">
        <w:rPr>
          <w:rFonts w:eastAsia="SimSun"/>
          <w:sz w:val="24"/>
          <w:szCs w:val="24"/>
          <w:lang w:val="zh-CN" w:eastAsia="zh-CN"/>
        </w:rPr>
        <w:t>和第</w:t>
      </w:r>
      <w:r w:rsidRPr="009B423C">
        <w:rPr>
          <w:rFonts w:eastAsia="SimSun"/>
          <w:sz w:val="24"/>
          <w:szCs w:val="24"/>
          <w:lang w:val="zh-CN" w:eastAsia="zh-CN"/>
        </w:rPr>
        <w:t>2</w:t>
      </w:r>
      <w:r w:rsidRPr="009B423C">
        <w:rPr>
          <w:rFonts w:eastAsia="SimSun"/>
          <w:sz w:val="24"/>
          <w:szCs w:val="24"/>
          <w:lang w:val="zh-CN" w:eastAsia="zh-CN"/>
        </w:rPr>
        <w:t>类缔约方较基线削减或冻结</w:t>
      </w:r>
      <w:r w:rsidRPr="009B423C">
        <w:rPr>
          <w:rFonts w:eastAsia="SimSun"/>
          <w:sz w:val="24"/>
          <w:szCs w:val="24"/>
          <w:lang w:val="zh-CN" w:eastAsia="zh-CN"/>
        </w:rPr>
        <w:t>10%</w:t>
      </w:r>
      <w:r w:rsidRPr="009B423C">
        <w:rPr>
          <w:rFonts w:eastAsia="SimSun"/>
          <w:sz w:val="24"/>
          <w:szCs w:val="24"/>
          <w:lang w:val="zh-CN" w:eastAsia="zh-CN"/>
        </w:rPr>
        <w:t>的目标，因此充资问题工作队仅考虑了</w:t>
      </w:r>
      <w:r w:rsidRPr="009B423C">
        <w:rPr>
          <w:rFonts w:eastAsia="SimSun"/>
          <w:sz w:val="24"/>
          <w:szCs w:val="24"/>
          <w:lang w:val="zh-CN" w:eastAsia="zh-CN"/>
        </w:rPr>
        <w:t>2027–2029</w:t>
      </w:r>
      <w:r w:rsidRPr="009B423C">
        <w:rPr>
          <w:rFonts w:eastAsia="SimSun"/>
          <w:sz w:val="24"/>
          <w:szCs w:val="24"/>
          <w:lang w:val="zh-CN" w:eastAsia="zh-CN"/>
        </w:rPr>
        <w:t>三年期的项目准备资金，没有投资资金。在三氟甲烷减排方面，工作队估计了三氟甲烷逐步削减计划已获核准的两个缔约方（阿根廷和墨西哥）的资金需求，以及另外两个缔约方（中国和印度）</w:t>
      </w:r>
      <w:r w:rsidRPr="009B423C">
        <w:rPr>
          <w:rFonts w:eastAsia="SimSun"/>
          <w:sz w:val="24"/>
          <w:szCs w:val="24"/>
          <w:lang w:val="zh-CN" w:eastAsia="zh-CN"/>
        </w:rPr>
        <w:t>2027–2029</w:t>
      </w:r>
      <w:r w:rsidRPr="009B423C">
        <w:rPr>
          <w:rFonts w:eastAsia="SimSun"/>
          <w:sz w:val="24"/>
          <w:szCs w:val="24"/>
          <w:lang w:val="zh-CN" w:eastAsia="zh-CN"/>
        </w:rPr>
        <w:t>三年期三氟甲烷减排项目准备和投资项目供资的资金需求。</w:t>
      </w:r>
    </w:p>
    <w:p w14:paraId="2219E2DA"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充资问题工作队估计了加强体制、环境署遵约援助计划、开发署、工发组织和世界银行的核心单位、多边基金秘书处、执行委员会的运作、监测和评估以及财务主管职能的资金需求。所提出的资金估计数是参考了执行委员会的决定和报告、多边基金业务计划，并与多边基金秘书处协商得出的。</w:t>
      </w:r>
    </w:p>
    <w:p w14:paraId="56207D64"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2027–2029</w:t>
      </w:r>
      <w:r w:rsidRPr="009B423C">
        <w:rPr>
          <w:rFonts w:eastAsia="SimSun"/>
          <w:sz w:val="24"/>
          <w:szCs w:val="24"/>
          <w:lang w:val="zh-CN" w:eastAsia="zh-CN"/>
        </w:rPr>
        <w:t>三年期多边基金充资的估计资金需求总额范围为低端</w:t>
      </w:r>
      <w:r w:rsidRPr="009B423C">
        <w:rPr>
          <w:rFonts w:eastAsia="SimSun"/>
          <w:sz w:val="24"/>
          <w:szCs w:val="24"/>
          <w:lang w:val="zh-CN" w:eastAsia="zh-CN"/>
        </w:rPr>
        <w:t>12.8–13.6</w:t>
      </w:r>
      <w:r w:rsidRPr="009B423C">
        <w:rPr>
          <w:rFonts w:eastAsia="SimSun"/>
          <w:sz w:val="24"/>
          <w:szCs w:val="24"/>
          <w:lang w:val="zh-CN" w:eastAsia="zh-CN"/>
        </w:rPr>
        <w:t>亿美元，高端</w:t>
      </w:r>
      <w:r w:rsidRPr="009B423C">
        <w:rPr>
          <w:rFonts w:eastAsia="SimSun"/>
          <w:sz w:val="24"/>
          <w:szCs w:val="24"/>
          <w:lang w:val="zh-CN" w:eastAsia="zh-CN"/>
        </w:rPr>
        <w:t>16.7–17.6</w:t>
      </w:r>
      <w:r w:rsidRPr="009B423C">
        <w:rPr>
          <w:rFonts w:eastAsia="SimSun"/>
          <w:sz w:val="24"/>
          <w:szCs w:val="24"/>
          <w:lang w:val="zh-CN" w:eastAsia="zh-CN"/>
        </w:rPr>
        <w:t>亿美元。</w:t>
      </w:r>
    </w:p>
    <w:p w14:paraId="37774802"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Carvalho</w:t>
      </w:r>
      <w:r w:rsidRPr="009B423C">
        <w:rPr>
          <w:rFonts w:eastAsia="SimSun"/>
          <w:sz w:val="24"/>
          <w:szCs w:val="24"/>
          <w:lang w:val="zh-CN" w:eastAsia="zh-CN"/>
        </w:rPr>
        <w:t>女士指出，充资问题工作队职权范围的某些部分要求工作队考虑低消费量国家和极低消费量国家的特殊需求，并将数字技术和工具整合到服务部门中。对于低消费量国家，在第</w:t>
      </w:r>
      <w:r w:rsidRPr="009B423C">
        <w:rPr>
          <w:rFonts w:eastAsia="SimSun"/>
          <w:sz w:val="24"/>
          <w:szCs w:val="24"/>
          <w:lang w:val="zh-CN" w:eastAsia="zh-CN"/>
        </w:rPr>
        <w:t>6</w:t>
      </w:r>
      <w:r w:rsidRPr="009B423C">
        <w:rPr>
          <w:rFonts w:eastAsia="SimSun"/>
          <w:sz w:val="24"/>
          <w:szCs w:val="24"/>
          <w:lang w:val="zh-CN" w:eastAsia="zh-CN"/>
        </w:rPr>
        <w:t>章下审议了特殊需求，但没有计算出执行委员会决定以外的任何额外资金。低消费量国家资金是根据当前商定的基加利执行计划第一阶段成本框架计算的，预计将于</w:t>
      </w:r>
      <w:r w:rsidRPr="009B423C">
        <w:rPr>
          <w:rFonts w:eastAsia="SimSun"/>
          <w:sz w:val="24"/>
          <w:szCs w:val="24"/>
          <w:lang w:val="zh-CN" w:eastAsia="zh-CN"/>
        </w:rPr>
        <w:t>2028</w:t>
      </w:r>
      <w:r w:rsidRPr="009B423C">
        <w:rPr>
          <w:rFonts w:eastAsia="SimSun"/>
          <w:sz w:val="24"/>
          <w:szCs w:val="24"/>
          <w:lang w:val="zh-CN" w:eastAsia="zh-CN"/>
        </w:rPr>
        <w:t>年对其进行审查。关于整合数字技术，工作队提供了一些关键建议和估计成本，这些建议和估计成本并未作为所需资金总额的一部分计算，并且工作队愿意征求缔约方的指导意见。制冷剂生命周期管理的资金需求并未包含在我们的职权范围中，但工作队提供了一些成本要素，或可供未来的执行委员会审议参考。如果执行委员会核准准则，则将在下一个三年期将产生资金方面的影响。</w:t>
      </w:r>
    </w:p>
    <w:p w14:paraId="76125708" w14:textId="5053DB8C"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充资问题工作队成员和技经评估组高级专家兼制冷技选委员会成员</w:t>
      </w:r>
      <w:r w:rsidRPr="009B423C">
        <w:rPr>
          <w:rFonts w:eastAsia="SimSun"/>
          <w:sz w:val="24"/>
          <w:szCs w:val="24"/>
          <w:lang w:val="zh-CN" w:eastAsia="zh-CN"/>
        </w:rPr>
        <w:t>Bassam Elassaad</w:t>
      </w:r>
      <w:r w:rsidRPr="009B423C">
        <w:rPr>
          <w:rFonts w:eastAsia="SimSun"/>
          <w:sz w:val="24"/>
          <w:szCs w:val="24"/>
          <w:lang w:val="zh-CN" w:eastAsia="zh-CN"/>
        </w:rPr>
        <w:t>介绍了低消费量国家和极低消费量国家的特殊需求。工作队确</w:t>
      </w:r>
      <w:r w:rsidRPr="009B423C">
        <w:rPr>
          <w:rFonts w:eastAsia="SimSun"/>
          <w:sz w:val="24"/>
          <w:szCs w:val="24"/>
          <w:lang w:val="zh-CN" w:eastAsia="zh-CN"/>
        </w:rPr>
        <w:lastRenderedPageBreak/>
        <w:t>定了低</w:t>
      </w:r>
      <w:r w:rsidRPr="009B423C">
        <w:rPr>
          <w:rFonts w:eastAsia="SimSun"/>
          <w:sz w:val="24"/>
          <w:szCs w:val="24"/>
          <w:lang w:val="zh-CN" w:eastAsia="zh-CN"/>
        </w:rPr>
        <w:t>/</w:t>
      </w:r>
      <w:r w:rsidRPr="009B423C">
        <w:rPr>
          <w:rFonts w:eastAsia="SimSun"/>
          <w:sz w:val="24"/>
          <w:szCs w:val="24"/>
          <w:lang w:val="zh-CN" w:eastAsia="zh-CN"/>
        </w:rPr>
        <w:t>极低消费量国家在实施含氢氯氟烃逐步淘汰管理计划和基加利执行计划时面临的挑战，其中包括新技术的采用、缺乏需求侧管理计划以及用于市场转型的资金不足，并提出了协调活动和集中工作重点的方法。在本报告中，工作队考虑了从基加利执行计划第一阶段可用的有限金额中为各类低</w:t>
      </w:r>
      <w:r w:rsidRPr="009B423C">
        <w:rPr>
          <w:rFonts w:eastAsia="SimSun"/>
          <w:sz w:val="24"/>
          <w:szCs w:val="24"/>
          <w:lang w:val="zh-CN" w:eastAsia="zh-CN"/>
        </w:rPr>
        <w:t>/</w:t>
      </w:r>
      <w:r w:rsidRPr="009B423C">
        <w:rPr>
          <w:rFonts w:eastAsia="SimSun"/>
          <w:sz w:val="24"/>
          <w:szCs w:val="24"/>
          <w:lang w:val="zh-CN" w:eastAsia="zh-CN"/>
        </w:rPr>
        <w:t>极低消费量国家提供资金的两个问题，这些问题会影响这些国家从氢氟碳化物过渡到低全球升温潜能值替代品和节能系统的能力：</w:t>
      </w:r>
      <w:proofErr w:type="gramStart"/>
      <w:r w:rsidR="009B0B7A">
        <w:rPr>
          <w:rFonts w:eastAsia="SimSun" w:hint="eastAsia"/>
          <w:sz w:val="24"/>
          <w:szCs w:val="24"/>
          <w:lang w:val="zh-CN" w:eastAsia="zh-CN"/>
        </w:rPr>
        <w:t>(</w:t>
      </w:r>
      <w:r w:rsidRPr="009B423C">
        <w:rPr>
          <w:rFonts w:eastAsia="SimSun"/>
          <w:sz w:val="24"/>
          <w:szCs w:val="24"/>
          <w:lang w:val="zh-CN" w:eastAsia="zh-CN"/>
        </w:rPr>
        <w:t>1)</w:t>
      </w:r>
      <w:proofErr w:type="gramEnd"/>
      <w:r w:rsidRPr="009B423C">
        <w:rPr>
          <w:rFonts w:eastAsia="SimSun"/>
          <w:sz w:val="24"/>
          <w:szCs w:val="24"/>
          <w:lang w:val="zh-CN" w:eastAsia="zh-CN"/>
        </w:rPr>
        <w:t xml:space="preserve"> </w:t>
      </w:r>
      <w:r w:rsidRPr="009B423C">
        <w:rPr>
          <w:rFonts w:eastAsia="SimSun"/>
          <w:sz w:val="24"/>
          <w:szCs w:val="24"/>
          <w:lang w:val="zh-CN" w:eastAsia="zh-CN"/>
        </w:rPr>
        <w:t>与以固定成本进行的系统建设活动相关的问题，这种成本不因消费水平或资助档次而异；</w:t>
      </w:r>
      <w:proofErr w:type="gramStart"/>
      <w:r w:rsidR="00FF2854">
        <w:rPr>
          <w:rFonts w:eastAsia="SimSun" w:hint="eastAsia"/>
          <w:sz w:val="24"/>
          <w:szCs w:val="24"/>
          <w:lang w:val="zh-CN" w:eastAsia="zh-CN"/>
        </w:rPr>
        <w:t>(</w:t>
      </w:r>
      <w:r w:rsidRPr="009B423C">
        <w:rPr>
          <w:rFonts w:eastAsia="SimSun"/>
          <w:sz w:val="24"/>
          <w:szCs w:val="24"/>
          <w:lang w:val="zh-CN" w:eastAsia="zh-CN"/>
        </w:rPr>
        <w:t>2)</w:t>
      </w:r>
      <w:proofErr w:type="gramEnd"/>
      <w:r w:rsidRPr="009B423C">
        <w:rPr>
          <w:rFonts w:eastAsia="SimSun"/>
          <w:sz w:val="24"/>
          <w:szCs w:val="24"/>
          <w:lang w:val="zh-CN" w:eastAsia="zh-CN"/>
        </w:rPr>
        <w:t xml:space="preserve"> </w:t>
      </w:r>
      <w:r w:rsidRPr="009B423C">
        <w:rPr>
          <w:rFonts w:eastAsia="SimSun"/>
          <w:sz w:val="24"/>
          <w:szCs w:val="24"/>
          <w:lang w:val="zh-CN" w:eastAsia="zh-CN"/>
        </w:rPr>
        <w:t>与技术人员培训费用及其在所提供资金总额中的份额有关的问题。</w:t>
      </w:r>
    </w:p>
    <w:p w14:paraId="38A1B3BC"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固定系统建设成本占总资金的</w:t>
      </w:r>
      <w:r w:rsidRPr="009B423C">
        <w:rPr>
          <w:rFonts w:eastAsia="SimSun"/>
          <w:sz w:val="24"/>
          <w:szCs w:val="24"/>
          <w:lang w:val="zh-CN" w:eastAsia="zh-CN"/>
        </w:rPr>
        <w:t>30%</w:t>
      </w:r>
      <w:r w:rsidRPr="009B423C">
        <w:rPr>
          <w:rFonts w:eastAsia="SimSun"/>
          <w:sz w:val="24"/>
          <w:szCs w:val="24"/>
          <w:lang w:val="zh-CN" w:eastAsia="zh-CN"/>
        </w:rPr>
        <w:t>至</w:t>
      </w:r>
      <w:r w:rsidRPr="009B423C">
        <w:rPr>
          <w:rFonts w:eastAsia="SimSun"/>
          <w:sz w:val="24"/>
          <w:szCs w:val="24"/>
          <w:lang w:val="zh-CN" w:eastAsia="zh-CN"/>
        </w:rPr>
        <w:t>60%</w:t>
      </w:r>
      <w:r w:rsidRPr="009B423C">
        <w:rPr>
          <w:rFonts w:eastAsia="SimSun"/>
          <w:sz w:val="24"/>
          <w:szCs w:val="24"/>
          <w:lang w:val="zh-CN" w:eastAsia="zh-CN"/>
        </w:rPr>
        <w:t>不等，而培训相关活动占总资金的</w:t>
      </w:r>
      <w:r w:rsidRPr="009B423C">
        <w:rPr>
          <w:rFonts w:eastAsia="SimSun"/>
          <w:sz w:val="24"/>
          <w:szCs w:val="24"/>
          <w:lang w:val="zh-CN" w:eastAsia="zh-CN"/>
        </w:rPr>
        <w:t>16%</w:t>
      </w:r>
      <w:r w:rsidRPr="009B423C">
        <w:rPr>
          <w:rFonts w:eastAsia="SimSun"/>
          <w:sz w:val="24"/>
          <w:szCs w:val="24"/>
          <w:lang w:val="zh-CN" w:eastAsia="zh-CN"/>
        </w:rPr>
        <w:t>至</w:t>
      </w:r>
      <w:r w:rsidRPr="009B423C">
        <w:rPr>
          <w:rFonts w:eastAsia="SimSun"/>
          <w:sz w:val="24"/>
          <w:szCs w:val="24"/>
          <w:lang w:val="zh-CN" w:eastAsia="zh-CN"/>
        </w:rPr>
        <w:t>26%</w:t>
      </w:r>
      <w:r w:rsidRPr="009B423C">
        <w:rPr>
          <w:rFonts w:eastAsia="SimSun"/>
          <w:sz w:val="24"/>
          <w:szCs w:val="24"/>
          <w:lang w:val="zh-CN" w:eastAsia="zh-CN"/>
        </w:rPr>
        <w:t>，因此用于支持技术转型同时维护现有氢氟碳化物系统的其他活动的资金很少。低消费量国家前三个资助档次（最低档次包括极低消费量国家）的情况更为严重。</w:t>
      </w:r>
    </w:p>
    <w:p w14:paraId="2E790771"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充资问题工作队比较了直至</w:t>
      </w:r>
      <w:r w:rsidRPr="009B423C">
        <w:rPr>
          <w:rFonts w:eastAsia="SimSun"/>
          <w:sz w:val="24"/>
          <w:szCs w:val="24"/>
          <w:lang w:val="zh-CN" w:eastAsia="zh-CN"/>
        </w:rPr>
        <w:t>2029</w:t>
      </w:r>
      <w:r w:rsidRPr="009B423C">
        <w:rPr>
          <w:rFonts w:eastAsia="SimSun"/>
          <w:sz w:val="24"/>
          <w:szCs w:val="24"/>
          <w:lang w:val="zh-CN" w:eastAsia="zh-CN"/>
        </w:rPr>
        <w:t>年期间低</w:t>
      </w:r>
      <w:r w:rsidRPr="009B423C">
        <w:rPr>
          <w:rFonts w:eastAsia="SimSun"/>
          <w:sz w:val="24"/>
          <w:szCs w:val="24"/>
          <w:lang w:val="zh-CN" w:eastAsia="zh-CN"/>
        </w:rPr>
        <w:t>/</w:t>
      </w:r>
      <w:r w:rsidRPr="009B423C">
        <w:rPr>
          <w:rFonts w:eastAsia="SimSun"/>
          <w:sz w:val="24"/>
          <w:szCs w:val="24"/>
          <w:lang w:val="zh-CN" w:eastAsia="zh-CN"/>
        </w:rPr>
        <w:t>极低消费量国家可以获得的资金（由含氢氯氟烃逐步淘汰管理计划最后阶段和基加利执行计划第一阶段涵盖）与基加利执行计划第二阶段为使下一步行动维持同等资金水平所需的资金，并提供了一个例子，说明如果要使前三类国家获得相同水平的资金，资金需求状况如何。总资金可能几乎达到为基加利执行计划第一阶段提供资金的三倍。报告第</w:t>
      </w:r>
      <w:r w:rsidRPr="009B423C">
        <w:rPr>
          <w:rFonts w:eastAsia="SimSun"/>
          <w:sz w:val="24"/>
          <w:szCs w:val="24"/>
          <w:lang w:val="zh-CN" w:eastAsia="zh-CN"/>
        </w:rPr>
        <w:t>6</w:t>
      </w:r>
      <w:r w:rsidRPr="009B423C">
        <w:rPr>
          <w:rFonts w:eastAsia="SimSun"/>
          <w:sz w:val="24"/>
          <w:szCs w:val="24"/>
          <w:lang w:val="zh-CN" w:eastAsia="zh-CN"/>
        </w:rPr>
        <w:t>章包含了与这些数字对应的分析和要素。</w:t>
      </w:r>
    </w:p>
    <w:p w14:paraId="741F5336"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职权范围要求技经评估组考虑如何将数字技术整合到制冷、空调和热泵维修部门，充资问题工作队成员和制冷技选委员会共同主席</w:t>
      </w:r>
      <w:r w:rsidRPr="009B423C">
        <w:rPr>
          <w:rFonts w:eastAsia="SimSun"/>
          <w:sz w:val="24"/>
          <w:szCs w:val="24"/>
          <w:lang w:val="zh-CN" w:eastAsia="zh-CN"/>
        </w:rPr>
        <w:t>Omar Abdelaziz</w:t>
      </w:r>
      <w:r w:rsidRPr="009B423C">
        <w:rPr>
          <w:rFonts w:eastAsia="SimSun"/>
          <w:sz w:val="24"/>
          <w:szCs w:val="24"/>
          <w:lang w:val="zh-CN" w:eastAsia="zh-CN"/>
        </w:rPr>
        <w:t>介绍了这方面的相关信息。第</w:t>
      </w:r>
      <w:r w:rsidRPr="009B423C">
        <w:rPr>
          <w:rFonts w:eastAsia="SimSun"/>
          <w:sz w:val="24"/>
          <w:szCs w:val="24"/>
          <w:lang w:val="zh-CN" w:eastAsia="zh-CN"/>
        </w:rPr>
        <w:t>9</w:t>
      </w:r>
      <w:r w:rsidRPr="009B423C">
        <w:rPr>
          <w:rFonts w:eastAsia="SimSun"/>
          <w:sz w:val="24"/>
          <w:szCs w:val="24"/>
          <w:lang w:val="zh-CN" w:eastAsia="zh-CN"/>
        </w:rPr>
        <w:t>章区分了数字化转换和数字化转型，前者用软件取代基于纸质流程，后者改变维修工作的提供和管理方式。该报告将这些工具分为三个层次。第一层是交易效率的提高。其中包括数字技术人员认证和注册、培训管理、服务记录、日程安排和现场服务应用程序。这些工具可以提高可追溯性，减少行政负担，通常适合广泛应用，包括在低消费量国家和极低消费量国家。</w:t>
      </w:r>
    </w:p>
    <w:p w14:paraId="70C844A9"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第二层是性能工具，例如数字作业质量工具、远程检测和物联网应用程序。这些可以支持更好的诊断、减少重复就诊、提高首次修复率、减少制冷剂泄漏并提高能源效率。然而，应当在技术能力、连通性和预期效益证明成本合理时，有选择地应用这些工具。</w:t>
      </w:r>
    </w:p>
    <w:p w14:paraId="4DFF05F3" w14:textId="77777777" w:rsidR="00B906B9" w:rsidRPr="009B423C"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第三层涵盖工作流程和知识工具，包括更大的培训内容平台、技术指导、远程支持和知识管理。</w:t>
      </w:r>
    </w:p>
    <w:p w14:paraId="4B940D2C" w14:textId="77777777" w:rsidR="00B906B9" w:rsidRPr="00CF4168"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pacing w:val="-4"/>
          <w:sz w:val="24"/>
          <w:szCs w:val="24"/>
          <w:lang w:eastAsia="zh-CN"/>
        </w:rPr>
      </w:pPr>
      <w:r w:rsidRPr="00CF4168">
        <w:rPr>
          <w:rFonts w:eastAsia="SimSun"/>
          <w:spacing w:val="-4"/>
          <w:sz w:val="24"/>
          <w:szCs w:val="24"/>
          <w:lang w:val="zh-CN" w:eastAsia="zh-CN"/>
        </w:rPr>
        <w:t>然后提供了指示性费用。交易效率系统可能需要最高达</w:t>
      </w:r>
      <w:r w:rsidRPr="00CF4168">
        <w:rPr>
          <w:rFonts w:eastAsia="SimSun"/>
          <w:sz w:val="24"/>
          <w:szCs w:val="24"/>
          <w:lang w:val="zh-CN" w:eastAsia="zh-CN"/>
        </w:rPr>
        <w:t>50 000</w:t>
      </w:r>
      <w:r w:rsidRPr="00CF4168">
        <w:rPr>
          <w:rFonts w:eastAsia="SimSun"/>
          <w:spacing w:val="-4"/>
          <w:sz w:val="24"/>
          <w:szCs w:val="24"/>
          <w:lang w:val="zh-CN" w:eastAsia="zh-CN"/>
        </w:rPr>
        <w:t>美元的预付费，每个技术人员每月的持续费用约为</w:t>
      </w:r>
      <w:r w:rsidRPr="00CF4168">
        <w:rPr>
          <w:rFonts w:eastAsia="SimSun"/>
          <w:sz w:val="24"/>
          <w:szCs w:val="24"/>
          <w:lang w:val="zh-CN" w:eastAsia="zh-CN"/>
        </w:rPr>
        <w:t>50</w:t>
      </w:r>
      <w:r w:rsidRPr="00CF4168">
        <w:rPr>
          <w:rFonts w:eastAsia="SimSun"/>
          <w:sz w:val="24"/>
          <w:szCs w:val="24"/>
          <w:lang w:val="zh-CN" w:eastAsia="zh-CN"/>
        </w:rPr>
        <w:t>至</w:t>
      </w:r>
      <w:r w:rsidRPr="00CF4168">
        <w:rPr>
          <w:rFonts w:eastAsia="SimSun"/>
          <w:sz w:val="24"/>
          <w:szCs w:val="24"/>
          <w:lang w:val="zh-CN" w:eastAsia="zh-CN"/>
        </w:rPr>
        <w:t>200</w:t>
      </w:r>
      <w:r w:rsidRPr="00CF4168">
        <w:rPr>
          <w:rFonts w:eastAsia="SimSun"/>
          <w:spacing w:val="-4"/>
          <w:sz w:val="24"/>
          <w:szCs w:val="24"/>
          <w:lang w:val="zh-CN" w:eastAsia="zh-CN"/>
        </w:rPr>
        <w:t>美元。性能工具可能需要预付约</w:t>
      </w:r>
      <w:r w:rsidRPr="00CF4168">
        <w:rPr>
          <w:rFonts w:eastAsia="SimSun"/>
          <w:sz w:val="24"/>
          <w:szCs w:val="24"/>
          <w:lang w:val="zh-CN" w:eastAsia="zh-CN"/>
        </w:rPr>
        <w:t>10 000</w:t>
      </w:r>
      <w:r w:rsidRPr="00CF4168">
        <w:rPr>
          <w:rFonts w:eastAsia="SimSun"/>
          <w:spacing w:val="-4"/>
          <w:sz w:val="24"/>
          <w:szCs w:val="24"/>
          <w:lang w:val="zh-CN" w:eastAsia="zh-CN"/>
        </w:rPr>
        <w:t>美元，另外为每位技术人员每月最多支付</w:t>
      </w:r>
      <w:r w:rsidRPr="00CF4168">
        <w:rPr>
          <w:rFonts w:eastAsia="SimSun"/>
          <w:sz w:val="24"/>
          <w:szCs w:val="24"/>
          <w:lang w:val="zh-CN" w:eastAsia="zh-CN"/>
        </w:rPr>
        <w:t>200</w:t>
      </w:r>
      <w:r w:rsidRPr="00CF4168">
        <w:rPr>
          <w:rFonts w:eastAsia="SimSun"/>
          <w:spacing w:val="-4"/>
          <w:sz w:val="24"/>
          <w:szCs w:val="24"/>
          <w:lang w:val="zh-CN" w:eastAsia="zh-CN"/>
        </w:rPr>
        <w:t>美元。更大规模的工作流程和知识平台的费用可能高达</w:t>
      </w:r>
      <w:r w:rsidRPr="00CF4168">
        <w:rPr>
          <w:rFonts w:eastAsia="SimSun"/>
          <w:sz w:val="24"/>
          <w:szCs w:val="24"/>
          <w:lang w:val="zh-CN" w:eastAsia="zh-CN"/>
        </w:rPr>
        <w:t>125</w:t>
      </w:r>
      <w:r w:rsidRPr="00CF4168">
        <w:rPr>
          <w:rFonts w:eastAsia="SimSun"/>
          <w:spacing w:val="-4"/>
          <w:sz w:val="24"/>
          <w:szCs w:val="24"/>
          <w:lang w:val="zh-CN" w:eastAsia="zh-CN"/>
        </w:rPr>
        <w:t>万美元，每月的持续费用约为</w:t>
      </w:r>
      <w:r w:rsidRPr="00CF4168">
        <w:rPr>
          <w:rFonts w:eastAsia="SimSun"/>
          <w:sz w:val="24"/>
          <w:szCs w:val="24"/>
          <w:lang w:val="zh-CN" w:eastAsia="zh-CN"/>
        </w:rPr>
        <w:t>25 000</w:t>
      </w:r>
      <w:r w:rsidRPr="00CF4168">
        <w:rPr>
          <w:rFonts w:eastAsia="SimSun"/>
          <w:spacing w:val="-4"/>
          <w:sz w:val="24"/>
          <w:szCs w:val="24"/>
          <w:lang w:val="zh-CN" w:eastAsia="zh-CN"/>
        </w:rPr>
        <w:t>美元。</w:t>
      </w:r>
    </w:p>
    <w:p w14:paraId="2EEA6F05" w14:textId="4E934067" w:rsidR="00B906B9" w:rsidRPr="00280879" w:rsidRDefault="00B906B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这些数字只是例证性的，会因规模、本地化、连接性和支持需求情况而存在很大差异。重要的是，充资问题工作队没有将这些费用纳入其维修部门资金估计数或总体充资需求中。关键建议是将数字化工具整合到现有维修方案中，而不是创建独立系统。应优先考虑低成本、高影响力工具；应尽可能使用现有平台；应建立长期自主权和可持续性；结果应通过减少泄漏、提高能效、加强合规性文件和提高维修质量等成果来衡量。报告还包括一些相关案例研究，供缔约方考虑。</w:t>
      </w:r>
    </w:p>
    <w:p w14:paraId="72B1DFB1" w14:textId="77777777" w:rsidR="00B906B9" w:rsidRPr="009B423C" w:rsidRDefault="00B906B9" w:rsidP="009B423C">
      <w:pPr>
        <w:pStyle w:val="Normalnumber"/>
        <w:spacing w:line="240" w:lineRule="auto"/>
        <w:rPr>
          <w:rFonts w:eastAsia="SimHei"/>
          <w:b/>
          <w:bCs/>
          <w:sz w:val="32"/>
          <w:szCs w:val="32"/>
        </w:rPr>
      </w:pPr>
      <w:r w:rsidRPr="009B423C">
        <w:rPr>
          <w:rFonts w:eastAsia="SimHei"/>
          <w:b/>
          <w:bCs/>
          <w:sz w:val="32"/>
          <w:szCs w:val="32"/>
          <w:lang w:val="zh-CN"/>
        </w:rPr>
        <w:lastRenderedPageBreak/>
        <w:t>附件四</w:t>
      </w:r>
      <w:r w:rsidRPr="009B423C">
        <w:rPr>
          <w:rStyle w:val="FootnoteReference"/>
          <w:rFonts w:eastAsia="SimHei"/>
          <w:spacing w:val="0"/>
          <w:w w:val="100"/>
          <w:position w:val="0"/>
          <w:sz w:val="32"/>
          <w:szCs w:val="32"/>
          <w:vertAlign w:val="baseline"/>
          <w:lang w:val="zh-CN"/>
        </w:rPr>
        <w:footnoteReference w:customMarkFollows="1" w:id="12"/>
        <w:t>*</w:t>
      </w:r>
    </w:p>
    <w:p w14:paraId="2CDF7114" w14:textId="77777777" w:rsidR="00B906B9" w:rsidRPr="009B423C" w:rsidRDefault="00B906B9" w:rsidP="00986CAF">
      <w:pPr>
        <w:pStyle w:val="Normalnumber"/>
        <w:spacing w:before="360" w:line="240" w:lineRule="auto"/>
        <w:ind w:left="1247"/>
        <w:jc w:val="left"/>
        <w:rPr>
          <w:rFonts w:eastAsia="SimHei"/>
          <w:b/>
          <w:bCs/>
          <w:sz w:val="32"/>
          <w:szCs w:val="32"/>
        </w:rPr>
      </w:pPr>
      <w:r w:rsidRPr="009B423C">
        <w:rPr>
          <w:rFonts w:eastAsia="SimHei"/>
          <w:b/>
          <w:bCs/>
          <w:sz w:val="32"/>
          <w:szCs w:val="32"/>
          <w:lang w:val="zh-CN"/>
        </w:rPr>
        <w:t>技术和经济评估小组专题介绍摘要</w:t>
      </w:r>
    </w:p>
    <w:p w14:paraId="1301D5C6"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在议程项目</w:t>
      </w:r>
      <w:r w:rsidRPr="009B423C">
        <w:rPr>
          <w:rFonts w:eastAsia="SimSun"/>
          <w:sz w:val="24"/>
          <w:szCs w:val="24"/>
          <w:lang w:val="zh-CN" w:eastAsia="zh-CN"/>
        </w:rPr>
        <w:t>4</w:t>
      </w:r>
      <w:r w:rsidRPr="009B423C">
        <w:rPr>
          <w:rFonts w:eastAsia="SimSun"/>
          <w:sz w:val="24"/>
          <w:szCs w:val="24"/>
          <w:lang w:val="zh-CN" w:eastAsia="zh-CN"/>
        </w:rPr>
        <w:t>下，技术和经济评估小组共同主席</w:t>
      </w:r>
      <w:r w:rsidRPr="009B423C">
        <w:rPr>
          <w:rFonts w:eastAsia="SimSun"/>
          <w:sz w:val="24"/>
          <w:szCs w:val="24"/>
          <w:lang w:val="zh-CN" w:eastAsia="zh-CN"/>
        </w:rPr>
        <w:t>Marta Pizano</w:t>
      </w:r>
      <w:r w:rsidRPr="009B423C">
        <w:rPr>
          <w:rFonts w:eastAsia="SimSun"/>
          <w:sz w:val="24"/>
          <w:szCs w:val="24"/>
          <w:lang w:val="zh-CN" w:eastAsia="zh-CN"/>
        </w:rPr>
        <w:t>代表共同主席</w:t>
      </w:r>
      <w:r w:rsidRPr="009B423C">
        <w:rPr>
          <w:rFonts w:eastAsia="SimSun"/>
          <w:sz w:val="24"/>
          <w:szCs w:val="24"/>
          <w:lang w:val="zh-CN" w:eastAsia="zh-CN"/>
        </w:rPr>
        <w:t>Bella Maranion</w:t>
      </w:r>
      <w:r w:rsidRPr="009B423C">
        <w:rPr>
          <w:rFonts w:eastAsia="SimSun"/>
          <w:sz w:val="24"/>
          <w:szCs w:val="24"/>
          <w:lang w:val="zh-CN" w:eastAsia="zh-CN"/>
        </w:rPr>
        <w:t>和</w:t>
      </w:r>
      <w:r w:rsidRPr="009B423C">
        <w:rPr>
          <w:rFonts w:eastAsia="SimSun"/>
          <w:sz w:val="24"/>
          <w:szCs w:val="24"/>
          <w:lang w:val="zh-CN" w:eastAsia="zh-CN"/>
        </w:rPr>
        <w:t>Ashley Woodcock</w:t>
      </w:r>
      <w:r w:rsidRPr="009B423C">
        <w:rPr>
          <w:rFonts w:eastAsia="SimSun"/>
          <w:sz w:val="24"/>
          <w:szCs w:val="24"/>
          <w:lang w:val="zh-CN" w:eastAsia="zh-CN"/>
        </w:rPr>
        <w:t>以及技经评估组成员介绍了该小组</w:t>
      </w:r>
      <w:r w:rsidRPr="009B423C">
        <w:rPr>
          <w:rFonts w:eastAsia="SimSun"/>
          <w:sz w:val="24"/>
          <w:szCs w:val="24"/>
          <w:lang w:val="zh-CN" w:eastAsia="zh-CN"/>
        </w:rPr>
        <w:t>2026</w:t>
      </w:r>
      <w:r w:rsidRPr="009B423C">
        <w:rPr>
          <w:rFonts w:eastAsia="SimSun"/>
          <w:sz w:val="24"/>
          <w:szCs w:val="24"/>
          <w:lang w:val="zh-CN" w:eastAsia="zh-CN"/>
        </w:rPr>
        <w:t>年进度报告。她概述了介绍内容，并感谢在技经评估组、其技选委员会和临时附属机构工作的</w:t>
      </w:r>
      <w:r w:rsidRPr="009B423C">
        <w:rPr>
          <w:rFonts w:eastAsia="SimSun"/>
          <w:sz w:val="24"/>
          <w:szCs w:val="24"/>
          <w:lang w:val="zh-CN" w:eastAsia="zh-CN"/>
        </w:rPr>
        <w:t>150</w:t>
      </w:r>
      <w:r w:rsidRPr="009B423C">
        <w:rPr>
          <w:rFonts w:eastAsia="SimSun"/>
          <w:sz w:val="24"/>
          <w:szCs w:val="24"/>
          <w:lang w:val="zh-CN" w:eastAsia="zh-CN"/>
        </w:rPr>
        <w:t>多名专家为编写本报告作出的自愿贡献。</w:t>
      </w:r>
    </w:p>
    <w:p w14:paraId="4872C7AC" w14:textId="02176E63"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proofErr w:type="spellStart"/>
      <w:r w:rsidRPr="009B423C">
        <w:rPr>
          <w:rFonts w:eastAsia="SimHei"/>
          <w:bCs/>
          <w:sz w:val="28"/>
          <w:szCs w:val="28"/>
          <w:lang w:val="zh-CN"/>
        </w:rPr>
        <w:t>灭火技术选择委员会</w:t>
      </w:r>
      <w:proofErr w:type="spellEnd"/>
    </w:p>
    <w:p w14:paraId="7662FAE8" w14:textId="6DED3EF9"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由</w:t>
      </w:r>
      <w:r w:rsidRPr="009B423C">
        <w:rPr>
          <w:rFonts w:eastAsia="SimSun"/>
          <w:sz w:val="24"/>
          <w:szCs w:val="24"/>
          <w:lang w:val="zh-CN" w:eastAsia="zh-CN"/>
        </w:rPr>
        <w:t xml:space="preserve">Adam </w:t>
      </w:r>
      <w:r w:rsidRPr="00796538">
        <w:rPr>
          <w:rFonts w:eastAsia="SimSun"/>
          <w:sz w:val="24"/>
          <w:szCs w:val="24"/>
          <w:lang w:val="zh-CN" w:eastAsia="zh-CN"/>
        </w:rPr>
        <w:t>Chat</w:t>
      </w:r>
      <w:r w:rsidR="00D81D4A" w:rsidRPr="00796538">
        <w:rPr>
          <w:rFonts w:eastAsia="SimSun"/>
          <w:sz w:val="24"/>
          <w:szCs w:val="24"/>
          <w:lang w:val="zh-CN" w:eastAsia="zh-CN"/>
        </w:rPr>
        <w:t>t</w:t>
      </w:r>
      <w:r w:rsidRPr="00796538">
        <w:rPr>
          <w:rFonts w:eastAsia="SimSun"/>
          <w:sz w:val="24"/>
          <w:szCs w:val="24"/>
          <w:lang w:val="zh-CN" w:eastAsia="zh-CN"/>
        </w:rPr>
        <w:t>away</w:t>
      </w:r>
      <w:r w:rsidRPr="009B423C">
        <w:rPr>
          <w:rFonts w:eastAsia="SimSun"/>
          <w:sz w:val="24"/>
          <w:szCs w:val="24"/>
          <w:lang w:val="zh-CN" w:eastAsia="zh-CN"/>
        </w:rPr>
        <w:t>和</w:t>
      </w:r>
      <w:r w:rsidRPr="009B423C">
        <w:rPr>
          <w:rFonts w:eastAsia="SimSun"/>
          <w:sz w:val="24"/>
          <w:szCs w:val="24"/>
          <w:lang w:val="zh-CN" w:eastAsia="zh-CN"/>
        </w:rPr>
        <w:t>Dan Verdonik</w:t>
      </w:r>
      <w:r w:rsidRPr="009B423C">
        <w:rPr>
          <w:rFonts w:eastAsia="SimSun"/>
          <w:sz w:val="24"/>
          <w:szCs w:val="24"/>
          <w:lang w:val="zh-CN" w:eastAsia="zh-CN"/>
        </w:rPr>
        <w:t>共同主持的灭火技术选择委员会（灭火技选委员会）一开始介绍了其</w:t>
      </w:r>
      <w:r w:rsidRPr="009B423C">
        <w:rPr>
          <w:rFonts w:eastAsia="SimSun"/>
          <w:sz w:val="24"/>
          <w:szCs w:val="24"/>
          <w:lang w:val="zh-CN" w:eastAsia="zh-CN"/>
        </w:rPr>
        <w:t>2026</w:t>
      </w:r>
      <w:r w:rsidRPr="009B423C">
        <w:rPr>
          <w:rFonts w:eastAsia="SimSun"/>
          <w:sz w:val="24"/>
          <w:szCs w:val="24"/>
          <w:lang w:val="zh-CN" w:eastAsia="zh-CN"/>
        </w:rPr>
        <w:t>年进度报告。</w:t>
      </w:r>
      <w:r w:rsidRPr="009B423C">
        <w:rPr>
          <w:rFonts w:eastAsia="SimSun"/>
          <w:sz w:val="24"/>
          <w:szCs w:val="24"/>
          <w:lang w:val="zh-CN" w:eastAsia="zh-CN"/>
        </w:rPr>
        <w:t>Verdonik</w:t>
      </w:r>
      <w:r w:rsidRPr="009B423C">
        <w:rPr>
          <w:rFonts w:eastAsia="SimSun"/>
          <w:sz w:val="24"/>
          <w:szCs w:val="24"/>
          <w:lang w:val="zh-CN" w:eastAsia="zh-CN"/>
        </w:rPr>
        <w:t>先生在谈到灭火剂的现状时指出，目前没有积极开发新的消防用剂或灭火剂。如果发现一种新的制剂（灭火技选委员会认为不太可能），委员会估计至少需要十年时间才能完全商业化。民用航空中哈龙替代品的情况保持不变，航空器发动机和货舱继续依赖哈龙</w:t>
      </w:r>
      <w:r w:rsidRPr="009B423C">
        <w:rPr>
          <w:rFonts w:eastAsia="SimSun"/>
          <w:sz w:val="24"/>
          <w:szCs w:val="24"/>
          <w:lang w:val="zh-CN" w:eastAsia="zh-CN"/>
        </w:rPr>
        <w:t>1301</w:t>
      </w:r>
      <w:r w:rsidRPr="009B423C">
        <w:rPr>
          <w:rFonts w:eastAsia="SimSun"/>
          <w:sz w:val="24"/>
          <w:szCs w:val="24"/>
          <w:lang w:val="zh-CN" w:eastAsia="zh-CN"/>
        </w:rPr>
        <w:t>。</w:t>
      </w:r>
    </w:p>
    <w:p w14:paraId="4E4085ED"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正在进行的氢氟碳化物逐步淘汰工作对用于灭火用途的全球升温潜能值较高的氢氟碳化物造成了巨大的价格压力。这一点特别令人担忧，因为这些氢氟碳化物是某些用途中唯一可用的哈龙替代品。为了应对这些压力，有些缔约方越来越多地采用惰性气体作为氢氟碳化物的替代品。然而，这些惰性气体系统也带来了自己的问题，需要的空间大得多，并且增加了相当大的安装重量。</w:t>
      </w:r>
    </w:p>
    <w:p w14:paraId="1C5EA174"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虽然超高压系统（在高达</w:t>
      </w:r>
      <w:r w:rsidRPr="009B423C">
        <w:rPr>
          <w:rFonts w:eastAsia="SimSun"/>
          <w:sz w:val="24"/>
          <w:szCs w:val="24"/>
          <w:lang w:val="zh-CN" w:eastAsia="zh-CN"/>
        </w:rPr>
        <w:t>300</w:t>
      </w:r>
      <w:r w:rsidRPr="009B423C">
        <w:rPr>
          <w:rFonts w:eastAsia="SimSun"/>
          <w:sz w:val="24"/>
          <w:szCs w:val="24"/>
          <w:lang w:val="zh-CN" w:eastAsia="zh-CN"/>
        </w:rPr>
        <w:t>倍大气压下运行）可以帮助减轻重量和空间需求，但存在关键的基础设施缺口。许多缔约方，尤其是第</w:t>
      </w:r>
      <w:r w:rsidRPr="009B423C">
        <w:rPr>
          <w:rFonts w:eastAsia="SimSun"/>
          <w:sz w:val="24"/>
          <w:szCs w:val="24"/>
          <w:lang w:val="zh-CN" w:eastAsia="zh-CN"/>
        </w:rPr>
        <w:t>5</w:t>
      </w:r>
      <w:r w:rsidRPr="009B423C">
        <w:rPr>
          <w:rFonts w:eastAsia="SimSun"/>
          <w:sz w:val="24"/>
          <w:szCs w:val="24"/>
          <w:lang w:val="zh-CN" w:eastAsia="zh-CN"/>
        </w:rPr>
        <w:t>条缔约方，不具备重新填充高压灭火系统所需的能力。这种局限尤其成问题，因为在释放或泄漏后无法重新填充灭火系统会从根本上破坏系统的可行性。</w:t>
      </w:r>
    </w:p>
    <w:p w14:paraId="75649623"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在谈到委员会对第</w:t>
      </w:r>
      <w:r w:rsidRPr="009B423C">
        <w:rPr>
          <w:rFonts w:eastAsia="SimSun"/>
          <w:sz w:val="24"/>
          <w:szCs w:val="24"/>
          <w:lang w:val="zh-CN" w:eastAsia="zh-CN"/>
        </w:rPr>
        <w:t>XXXVII/4</w:t>
      </w:r>
      <w:r w:rsidRPr="009B423C">
        <w:rPr>
          <w:rFonts w:eastAsia="SimSun"/>
          <w:sz w:val="24"/>
          <w:szCs w:val="24"/>
          <w:lang w:val="zh-CN" w:eastAsia="zh-CN"/>
        </w:rPr>
        <w:t>号决定的回应时，</w:t>
      </w:r>
      <w:r w:rsidRPr="009B423C">
        <w:rPr>
          <w:rFonts w:eastAsia="SimSun"/>
          <w:sz w:val="24"/>
          <w:szCs w:val="24"/>
          <w:lang w:val="zh-CN" w:eastAsia="zh-CN"/>
        </w:rPr>
        <w:t>Verdonik</w:t>
      </w:r>
      <w:r w:rsidRPr="009B423C">
        <w:rPr>
          <w:rFonts w:eastAsia="SimSun"/>
          <w:sz w:val="24"/>
          <w:szCs w:val="24"/>
          <w:lang w:val="zh-CN" w:eastAsia="zh-CN"/>
        </w:rPr>
        <w:t>先生回顾说，该决定特别要求臭氧秘书处就《关于消耗臭氧层物质的蒙特利尔议定书》所管制的灭火剂问题与国际民用航空组织（国际民航组织）秘书处进行联络。该决定还呼吁促进技术和经济评估小组通过其灭火技术选择委员会与国际民航组织相关技术委员会和工作组之间的信息交流。这种协作旨在使评估小组能够更好地评估未来民用航空的哈龙使用和需求情况。在进行评估时，应当利用关于授权针对哈龙进行维护、修理和大修作业的地点的现有数据、机队未来发展的数据以及关于使用不同类型哈龙防火系统的在役航空器的估计数据。此外，该决定还要求根据这些活动，在不限成员名额工作组第四十八次会议之前向缔约方提交一份关于哈龙供应情况和哈龙库存全球分布情况的报告。</w:t>
      </w:r>
    </w:p>
    <w:p w14:paraId="2EE0A2FE"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第</w:t>
      </w:r>
      <w:r w:rsidRPr="009B423C">
        <w:rPr>
          <w:rFonts w:eastAsia="SimSun"/>
          <w:sz w:val="24"/>
          <w:szCs w:val="24"/>
          <w:lang w:val="zh-CN" w:eastAsia="zh-CN"/>
        </w:rPr>
        <w:t>XXXVII/4</w:t>
      </w:r>
      <w:r w:rsidRPr="009B423C">
        <w:rPr>
          <w:rFonts w:eastAsia="SimSun"/>
          <w:sz w:val="24"/>
          <w:szCs w:val="24"/>
          <w:lang w:val="zh-CN" w:eastAsia="zh-CN"/>
        </w:rPr>
        <w:t>号决定进一步要求灭火技选委员会评估民航哈龙需求。在此方面，</w:t>
      </w:r>
      <w:r w:rsidRPr="009B423C">
        <w:rPr>
          <w:rFonts w:eastAsia="SimSun"/>
          <w:sz w:val="24"/>
          <w:szCs w:val="24"/>
          <w:lang w:val="zh-CN" w:eastAsia="zh-CN"/>
        </w:rPr>
        <w:t>Verdonik</w:t>
      </w:r>
      <w:r w:rsidRPr="009B423C">
        <w:rPr>
          <w:rFonts w:eastAsia="SimSun"/>
          <w:sz w:val="24"/>
          <w:szCs w:val="24"/>
          <w:lang w:val="zh-CN" w:eastAsia="zh-CN"/>
        </w:rPr>
        <w:t>先生指出，民航哈龙</w:t>
      </w:r>
      <w:r w:rsidRPr="009B423C">
        <w:rPr>
          <w:rFonts w:eastAsia="SimSun"/>
          <w:sz w:val="24"/>
          <w:szCs w:val="24"/>
          <w:lang w:val="zh-CN" w:eastAsia="zh-CN"/>
        </w:rPr>
        <w:t>1301</w:t>
      </w:r>
      <w:r w:rsidRPr="009B423C">
        <w:rPr>
          <w:rFonts w:eastAsia="SimSun"/>
          <w:sz w:val="24"/>
          <w:szCs w:val="24"/>
          <w:lang w:val="zh-CN" w:eastAsia="zh-CN"/>
        </w:rPr>
        <w:t>的安装量仍在增加，预计在可预见的未来将继续增加。目前正在生产的飞机设计将在至少</w:t>
      </w:r>
      <w:r w:rsidRPr="009B423C">
        <w:rPr>
          <w:rFonts w:eastAsia="SimSun"/>
          <w:sz w:val="24"/>
          <w:szCs w:val="24"/>
          <w:lang w:val="zh-CN" w:eastAsia="zh-CN"/>
        </w:rPr>
        <w:t>50</w:t>
      </w:r>
      <w:r w:rsidRPr="009B423C">
        <w:rPr>
          <w:rFonts w:eastAsia="SimSun"/>
          <w:sz w:val="24"/>
          <w:szCs w:val="24"/>
          <w:lang w:val="zh-CN" w:eastAsia="zh-CN"/>
        </w:rPr>
        <w:t>年内依赖哈龙</w:t>
      </w:r>
      <w:r w:rsidRPr="009B423C">
        <w:rPr>
          <w:rFonts w:eastAsia="SimSun"/>
          <w:sz w:val="24"/>
          <w:szCs w:val="24"/>
          <w:lang w:val="zh-CN" w:eastAsia="zh-CN"/>
        </w:rPr>
        <w:t>1301</w:t>
      </w:r>
      <w:r w:rsidRPr="009B423C">
        <w:rPr>
          <w:rFonts w:eastAsia="SimSun"/>
          <w:sz w:val="24"/>
          <w:szCs w:val="24"/>
          <w:lang w:val="zh-CN" w:eastAsia="zh-CN"/>
        </w:rPr>
        <w:t>，远远超出灭火技选委员会对可用哈龙供应预计的耗尽时间。</w:t>
      </w:r>
    </w:p>
    <w:p w14:paraId="7AD9C1DD"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Verdonik</w:t>
      </w:r>
      <w:r w:rsidRPr="009B423C">
        <w:rPr>
          <w:rFonts w:eastAsia="SimSun"/>
          <w:sz w:val="24"/>
          <w:szCs w:val="24"/>
          <w:lang w:val="zh-CN" w:eastAsia="zh-CN"/>
        </w:rPr>
        <w:t>先生在继续介绍时表示，委员会的哈龙</w:t>
      </w:r>
      <w:r w:rsidRPr="009B423C">
        <w:rPr>
          <w:rFonts w:eastAsia="SimSun"/>
          <w:sz w:val="24"/>
          <w:szCs w:val="24"/>
          <w:lang w:val="zh-CN" w:eastAsia="zh-CN"/>
        </w:rPr>
        <w:t>1301</w:t>
      </w:r>
      <w:r w:rsidRPr="009B423C">
        <w:rPr>
          <w:rFonts w:eastAsia="SimSun"/>
          <w:sz w:val="24"/>
          <w:szCs w:val="24"/>
          <w:lang w:val="zh-CN" w:eastAsia="zh-CN"/>
        </w:rPr>
        <w:t>全球排放模型仍然表现出与直至</w:t>
      </w:r>
      <w:r w:rsidRPr="009B423C">
        <w:rPr>
          <w:rFonts w:eastAsia="SimSun"/>
          <w:sz w:val="24"/>
          <w:szCs w:val="24"/>
          <w:lang w:val="zh-CN" w:eastAsia="zh-CN"/>
        </w:rPr>
        <w:t>2024</w:t>
      </w:r>
      <w:r w:rsidRPr="009B423C">
        <w:rPr>
          <w:rFonts w:eastAsia="SimSun"/>
          <w:sz w:val="24"/>
          <w:szCs w:val="24"/>
          <w:lang w:val="zh-CN" w:eastAsia="zh-CN"/>
        </w:rPr>
        <w:t>年大气测量得出的排放量具有良好的相关性。当考虑</w:t>
      </w:r>
      <w:r w:rsidRPr="009B423C">
        <w:rPr>
          <w:rFonts w:eastAsia="SimSun"/>
          <w:sz w:val="24"/>
          <w:szCs w:val="24"/>
          <w:lang w:val="zh-CN" w:eastAsia="zh-CN"/>
        </w:rPr>
        <w:t>26%</w:t>
      </w:r>
      <w:r w:rsidRPr="009B423C">
        <w:rPr>
          <w:rFonts w:eastAsia="SimSun"/>
          <w:sz w:val="24"/>
          <w:szCs w:val="24"/>
          <w:lang w:val="zh-CN" w:eastAsia="zh-CN"/>
        </w:rPr>
        <w:t>的原料生产排放率时，就实现了这种相关性，这使得估计的耗尽时间与灭火技选</w:t>
      </w:r>
      <w:r w:rsidRPr="009B423C">
        <w:rPr>
          <w:rFonts w:eastAsia="SimSun"/>
          <w:sz w:val="24"/>
          <w:szCs w:val="24"/>
          <w:lang w:val="zh-CN" w:eastAsia="zh-CN"/>
        </w:rPr>
        <w:lastRenderedPageBreak/>
        <w:t>委员会建模得出的</w:t>
      </w:r>
      <w:r w:rsidRPr="009B423C">
        <w:rPr>
          <w:rFonts w:eastAsia="SimSun"/>
          <w:sz w:val="24"/>
          <w:szCs w:val="24"/>
          <w:lang w:val="zh-CN" w:eastAsia="zh-CN"/>
        </w:rPr>
        <w:t>2015</w:t>
      </w:r>
      <w:r w:rsidRPr="009B423C">
        <w:rPr>
          <w:rFonts w:eastAsia="SimSun"/>
          <w:sz w:val="24"/>
          <w:szCs w:val="24"/>
          <w:lang w:val="zh-CN" w:eastAsia="zh-CN"/>
        </w:rPr>
        <w:t>年至</w:t>
      </w:r>
      <w:r w:rsidRPr="009B423C">
        <w:rPr>
          <w:rFonts w:eastAsia="SimSun"/>
          <w:sz w:val="24"/>
          <w:szCs w:val="24"/>
          <w:lang w:val="zh-CN" w:eastAsia="zh-CN"/>
        </w:rPr>
        <w:t>2024</w:t>
      </w:r>
      <w:r w:rsidRPr="009B423C">
        <w:rPr>
          <w:rFonts w:eastAsia="SimSun"/>
          <w:sz w:val="24"/>
          <w:szCs w:val="24"/>
          <w:lang w:val="zh-CN" w:eastAsia="zh-CN"/>
        </w:rPr>
        <w:t>年全球排放量保持一致。国际民航组织通过了</w:t>
      </w:r>
      <w:r w:rsidRPr="009B423C">
        <w:rPr>
          <w:rFonts w:eastAsia="SimSun"/>
          <w:sz w:val="24"/>
          <w:szCs w:val="24"/>
          <w:lang w:val="zh-CN" w:eastAsia="zh-CN"/>
        </w:rPr>
        <w:t>A-42</w:t>
      </w:r>
      <w:r w:rsidRPr="009B423C">
        <w:rPr>
          <w:rFonts w:eastAsia="SimSun"/>
          <w:sz w:val="24"/>
          <w:szCs w:val="24"/>
          <w:lang w:val="zh-CN" w:eastAsia="zh-CN"/>
        </w:rPr>
        <w:t>号决议，鼓励各国与该组织合作，与臭氧秘书处和灭火技选委员会联络，以评估全球哈龙储备并支持现有哈龙库存的可持续管理。值得注意的是，该决议内容包括考虑哈龙</w:t>
      </w:r>
      <w:r w:rsidRPr="009B423C">
        <w:rPr>
          <w:rFonts w:eastAsia="SimSun"/>
          <w:sz w:val="24"/>
          <w:szCs w:val="24"/>
          <w:lang w:val="zh-CN" w:eastAsia="zh-CN"/>
        </w:rPr>
        <w:t>1301</w:t>
      </w:r>
      <w:r w:rsidRPr="009B423C">
        <w:rPr>
          <w:rFonts w:eastAsia="SimSun"/>
          <w:sz w:val="24"/>
          <w:szCs w:val="24"/>
          <w:lang w:val="zh-CN" w:eastAsia="zh-CN"/>
        </w:rPr>
        <w:t>在航空器货舱中的必要用途提名。</w:t>
      </w:r>
    </w:p>
    <w:p w14:paraId="0EEF2217" w14:textId="36837FA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为了响应第</w:t>
      </w:r>
      <w:r w:rsidR="00D81D4A" w:rsidRPr="00D81D4A">
        <w:rPr>
          <w:rFonts w:eastAsia="SimSun"/>
          <w:sz w:val="24"/>
          <w:szCs w:val="24"/>
          <w:lang w:val="zh-CN" w:eastAsia="zh-CN"/>
        </w:rPr>
        <w:t>XXXVII/4</w:t>
      </w:r>
      <w:r w:rsidRPr="009B423C">
        <w:rPr>
          <w:rFonts w:eastAsia="SimSun"/>
          <w:sz w:val="24"/>
          <w:szCs w:val="24"/>
          <w:lang w:val="zh-CN" w:eastAsia="zh-CN"/>
        </w:rPr>
        <w:t>号决定和国际民航组织</w:t>
      </w:r>
      <w:r w:rsidRPr="009B423C">
        <w:rPr>
          <w:rFonts w:eastAsia="SimSun"/>
          <w:sz w:val="24"/>
          <w:szCs w:val="24"/>
          <w:lang w:val="zh-CN" w:eastAsia="zh-CN"/>
        </w:rPr>
        <w:t>A42-11</w:t>
      </w:r>
      <w:r w:rsidRPr="009B423C">
        <w:rPr>
          <w:rFonts w:eastAsia="SimSun"/>
          <w:sz w:val="24"/>
          <w:szCs w:val="24"/>
          <w:lang w:val="zh-CN" w:eastAsia="zh-CN"/>
        </w:rPr>
        <w:t>号决议，灭火技选委员会继续与国际民航组织机构合作，以获得更好的数据，用于完善耗尽时间的预测。目前的更新内容包含了国际民航组织机构和航空业提供的最新航空数据，以及石油和天然气部门、核电站和拆船作业的信息。</w:t>
      </w:r>
    </w:p>
    <w:p w14:paraId="06FB87ED" w14:textId="0F2177B3"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共同主席随后提到了他们对可用库存和耗尽时间的分析，并提出了两种估计哈龙供应和耗尽时间的分析方法：方法</w:t>
      </w:r>
      <w:r w:rsidRPr="009B423C">
        <w:rPr>
          <w:rFonts w:eastAsia="SimSun"/>
          <w:sz w:val="24"/>
          <w:szCs w:val="24"/>
          <w:lang w:val="zh-CN" w:eastAsia="zh-CN"/>
        </w:rPr>
        <w:t>1</w:t>
      </w:r>
      <w:r w:rsidRPr="009B423C">
        <w:rPr>
          <w:rFonts w:eastAsia="SimSun"/>
          <w:sz w:val="24"/>
          <w:szCs w:val="24"/>
          <w:lang w:val="zh-CN" w:eastAsia="zh-CN"/>
        </w:rPr>
        <w:t>设定了除航空业以外所有行业的排放率。根据这种方法，可用库存范围为</w:t>
      </w:r>
      <w:r w:rsidRPr="009B423C">
        <w:rPr>
          <w:rFonts w:eastAsia="SimSun"/>
          <w:sz w:val="24"/>
          <w:szCs w:val="24"/>
          <w:lang w:val="zh-CN" w:eastAsia="zh-CN"/>
        </w:rPr>
        <w:t>4 170</w:t>
      </w:r>
      <w:r w:rsidRPr="009B423C">
        <w:rPr>
          <w:rFonts w:eastAsia="SimSun"/>
          <w:sz w:val="24"/>
          <w:szCs w:val="24"/>
          <w:lang w:val="zh-CN" w:eastAsia="zh-CN"/>
        </w:rPr>
        <w:t>至</w:t>
      </w:r>
      <w:proofErr w:type="gramStart"/>
      <w:r w:rsidRPr="009B423C">
        <w:rPr>
          <w:rFonts w:eastAsia="SimSun"/>
          <w:sz w:val="24"/>
          <w:szCs w:val="24"/>
          <w:lang w:val="zh-CN" w:eastAsia="zh-CN"/>
        </w:rPr>
        <w:t>9 296</w:t>
      </w:r>
      <w:r w:rsidRPr="009B423C">
        <w:rPr>
          <w:rFonts w:eastAsia="SimSun"/>
          <w:sz w:val="24"/>
          <w:szCs w:val="24"/>
          <w:lang w:val="zh-CN" w:eastAsia="zh-CN"/>
        </w:rPr>
        <w:t>吨</w:t>
      </w:r>
      <w:proofErr w:type="gramEnd"/>
      <w:r w:rsidRPr="009B423C">
        <w:rPr>
          <w:rFonts w:eastAsia="SimSun"/>
          <w:sz w:val="24"/>
          <w:szCs w:val="24"/>
          <w:lang w:val="zh-CN" w:eastAsia="zh-CN"/>
        </w:rPr>
        <w:t>。设定的排放率包括日本系统</w:t>
      </w:r>
      <w:r w:rsidRPr="009B423C">
        <w:rPr>
          <w:rFonts w:eastAsia="SimSun"/>
          <w:sz w:val="24"/>
          <w:szCs w:val="24"/>
          <w:lang w:val="zh-CN" w:eastAsia="zh-CN"/>
        </w:rPr>
        <w:t>0.15%</w:t>
      </w:r>
      <w:r w:rsidRPr="009B423C">
        <w:rPr>
          <w:rFonts w:eastAsia="SimSun"/>
          <w:sz w:val="24"/>
          <w:szCs w:val="24"/>
          <w:lang w:val="zh-CN" w:eastAsia="zh-CN"/>
        </w:rPr>
        <w:t>、石油和天然气用途</w:t>
      </w:r>
      <w:r w:rsidRPr="009B423C">
        <w:rPr>
          <w:rFonts w:eastAsia="SimSun"/>
          <w:sz w:val="24"/>
          <w:szCs w:val="24"/>
          <w:lang w:val="zh-CN" w:eastAsia="zh-CN"/>
        </w:rPr>
        <w:t>1–2%</w:t>
      </w:r>
      <w:r w:rsidRPr="009B423C">
        <w:rPr>
          <w:rFonts w:eastAsia="SimSun"/>
          <w:sz w:val="24"/>
          <w:szCs w:val="24"/>
          <w:lang w:val="zh-CN" w:eastAsia="zh-CN"/>
        </w:rPr>
        <w:t>、储备</w:t>
      </w:r>
      <w:r w:rsidRPr="009B423C">
        <w:rPr>
          <w:rFonts w:eastAsia="SimSun"/>
          <w:sz w:val="24"/>
          <w:szCs w:val="24"/>
          <w:lang w:val="zh-CN" w:eastAsia="zh-CN"/>
        </w:rPr>
        <w:t>0.1%</w:t>
      </w:r>
      <w:r w:rsidRPr="009B423C">
        <w:rPr>
          <w:rFonts w:eastAsia="SimSun"/>
          <w:sz w:val="24"/>
          <w:szCs w:val="24"/>
          <w:lang w:val="zh-CN" w:eastAsia="zh-CN"/>
        </w:rPr>
        <w:t>和其他已安装用途</w:t>
      </w:r>
      <w:r w:rsidRPr="009B423C">
        <w:rPr>
          <w:rFonts w:eastAsia="SimSun"/>
          <w:sz w:val="24"/>
          <w:szCs w:val="24"/>
          <w:lang w:val="zh-CN" w:eastAsia="zh-CN"/>
        </w:rPr>
        <w:t>2–3%</w:t>
      </w:r>
      <w:r w:rsidRPr="009B423C">
        <w:rPr>
          <w:rFonts w:eastAsia="SimSun"/>
          <w:sz w:val="24"/>
          <w:szCs w:val="24"/>
          <w:lang w:val="zh-CN" w:eastAsia="zh-CN"/>
        </w:rPr>
        <w:t>。该方法得出的航空排放率为</w:t>
      </w:r>
      <w:r w:rsidRPr="009B423C">
        <w:rPr>
          <w:rFonts w:eastAsia="SimSun"/>
          <w:sz w:val="24"/>
          <w:szCs w:val="24"/>
          <w:lang w:val="zh-CN" w:eastAsia="zh-CN"/>
        </w:rPr>
        <w:t>10–15%</w:t>
      </w:r>
      <w:r w:rsidRPr="009B423C">
        <w:rPr>
          <w:rFonts w:eastAsia="SimSun"/>
          <w:sz w:val="24"/>
          <w:szCs w:val="24"/>
          <w:lang w:val="zh-CN" w:eastAsia="zh-CN"/>
        </w:rPr>
        <w:t>，因此耗尽时间范围为</w:t>
      </w:r>
      <w:r w:rsidRPr="009B423C">
        <w:rPr>
          <w:rFonts w:eastAsia="SimSun"/>
          <w:sz w:val="24"/>
          <w:szCs w:val="24"/>
          <w:lang w:val="zh-CN" w:eastAsia="zh-CN"/>
        </w:rPr>
        <w:t>2031</w:t>
      </w:r>
      <w:r w:rsidRPr="009B423C">
        <w:rPr>
          <w:rFonts w:eastAsia="SimSun"/>
          <w:sz w:val="24"/>
          <w:szCs w:val="24"/>
          <w:lang w:val="zh-CN" w:eastAsia="zh-CN"/>
        </w:rPr>
        <w:t>年至</w:t>
      </w:r>
      <w:r w:rsidRPr="009B423C">
        <w:rPr>
          <w:rFonts w:eastAsia="SimSun"/>
          <w:sz w:val="24"/>
          <w:szCs w:val="24"/>
          <w:lang w:val="zh-CN" w:eastAsia="zh-CN"/>
        </w:rPr>
        <w:t>2039</w:t>
      </w:r>
      <w:r w:rsidRPr="009B423C">
        <w:rPr>
          <w:rFonts w:eastAsia="SimSun"/>
          <w:sz w:val="24"/>
          <w:szCs w:val="24"/>
          <w:lang w:val="zh-CN" w:eastAsia="zh-CN"/>
        </w:rPr>
        <w:t>年，中点估计为</w:t>
      </w:r>
      <w:r w:rsidRPr="009B423C">
        <w:rPr>
          <w:rFonts w:eastAsia="SimSun"/>
          <w:sz w:val="24"/>
          <w:szCs w:val="24"/>
          <w:lang w:val="zh-CN" w:eastAsia="zh-CN"/>
        </w:rPr>
        <w:t>2035</w:t>
      </w:r>
      <w:r w:rsidRPr="009B423C">
        <w:rPr>
          <w:rFonts w:eastAsia="SimSun"/>
          <w:sz w:val="24"/>
          <w:szCs w:val="24"/>
          <w:lang w:val="zh-CN" w:eastAsia="zh-CN"/>
        </w:rPr>
        <w:t>年（</w:t>
      </w:r>
      <w:r w:rsidRPr="009B423C">
        <w:rPr>
          <w:rFonts w:eastAsia="SimSun"/>
          <w:sz w:val="24"/>
          <w:szCs w:val="24"/>
          <w:lang w:val="zh-CN" w:eastAsia="zh-CN"/>
        </w:rPr>
        <w:t>±4</w:t>
      </w:r>
      <w:r w:rsidRPr="009B423C">
        <w:rPr>
          <w:rFonts w:eastAsia="SimSun"/>
          <w:sz w:val="24"/>
          <w:szCs w:val="24"/>
          <w:lang w:val="zh-CN" w:eastAsia="zh-CN"/>
        </w:rPr>
        <w:t>年）。方法</w:t>
      </w:r>
      <w:r w:rsidRPr="009B423C">
        <w:rPr>
          <w:rFonts w:eastAsia="SimSun"/>
          <w:sz w:val="24"/>
          <w:szCs w:val="24"/>
          <w:lang w:val="zh-CN" w:eastAsia="zh-CN"/>
        </w:rPr>
        <w:t>2</w:t>
      </w:r>
      <w:r w:rsidRPr="009B423C">
        <w:rPr>
          <w:rFonts w:eastAsia="SimSun"/>
          <w:sz w:val="24"/>
          <w:szCs w:val="24"/>
          <w:lang w:val="zh-CN" w:eastAsia="zh-CN"/>
        </w:rPr>
        <w:t>设定了除</w:t>
      </w:r>
      <w:r w:rsidRPr="009B423C">
        <w:rPr>
          <w:rFonts w:ascii="SimSun" w:eastAsia="SimSun" w:hAnsi="SimSun"/>
          <w:sz w:val="24"/>
          <w:szCs w:val="24"/>
          <w:lang w:val="zh-CN" w:eastAsia="zh-CN"/>
        </w:rPr>
        <w:t>“其他已安装系统”之外所有部门的排放率</w:t>
      </w:r>
      <w:r w:rsidRPr="009B423C">
        <w:rPr>
          <w:rFonts w:eastAsia="SimSun"/>
          <w:sz w:val="24"/>
          <w:szCs w:val="24"/>
          <w:lang w:val="zh-CN" w:eastAsia="zh-CN"/>
        </w:rPr>
        <w:t>。该方法估计可用库存为</w:t>
      </w:r>
      <w:r w:rsidRPr="009B423C">
        <w:rPr>
          <w:rFonts w:eastAsia="SimSun"/>
          <w:sz w:val="24"/>
          <w:szCs w:val="24"/>
          <w:lang w:val="zh-CN" w:eastAsia="zh-CN"/>
        </w:rPr>
        <w:t>5 279</w:t>
      </w:r>
      <w:r w:rsidRPr="009B423C">
        <w:rPr>
          <w:rFonts w:eastAsia="SimSun"/>
          <w:sz w:val="24"/>
          <w:szCs w:val="24"/>
          <w:lang w:val="zh-CN" w:eastAsia="zh-CN"/>
        </w:rPr>
        <w:t>至</w:t>
      </w:r>
      <w:proofErr w:type="gramStart"/>
      <w:r w:rsidRPr="009B423C">
        <w:rPr>
          <w:rFonts w:eastAsia="SimSun"/>
          <w:sz w:val="24"/>
          <w:szCs w:val="24"/>
          <w:lang w:val="zh-CN" w:eastAsia="zh-CN"/>
        </w:rPr>
        <w:t>8 313</w:t>
      </w:r>
      <w:r w:rsidRPr="009B423C">
        <w:rPr>
          <w:rFonts w:eastAsia="SimSun"/>
          <w:sz w:val="24"/>
          <w:szCs w:val="24"/>
          <w:lang w:val="zh-CN" w:eastAsia="zh-CN"/>
        </w:rPr>
        <w:t>吨</w:t>
      </w:r>
      <w:proofErr w:type="gramEnd"/>
      <w:r w:rsidRPr="009B423C">
        <w:rPr>
          <w:rFonts w:eastAsia="SimSun"/>
          <w:sz w:val="24"/>
          <w:szCs w:val="24"/>
          <w:lang w:val="zh-CN" w:eastAsia="zh-CN"/>
        </w:rPr>
        <w:t>。设定的排放率包括日本系统</w:t>
      </w:r>
      <w:r w:rsidRPr="009B423C">
        <w:rPr>
          <w:rFonts w:eastAsia="SimSun"/>
          <w:sz w:val="24"/>
          <w:szCs w:val="24"/>
          <w:lang w:val="zh-CN" w:eastAsia="zh-CN"/>
        </w:rPr>
        <w:t>0.15%</w:t>
      </w:r>
      <w:r w:rsidRPr="009B423C">
        <w:rPr>
          <w:rFonts w:eastAsia="SimSun"/>
          <w:sz w:val="24"/>
          <w:szCs w:val="24"/>
          <w:lang w:val="zh-CN" w:eastAsia="zh-CN"/>
        </w:rPr>
        <w:t>、石油和天然气用途</w:t>
      </w:r>
      <w:r w:rsidRPr="009B423C">
        <w:rPr>
          <w:rFonts w:eastAsia="SimSun"/>
          <w:sz w:val="24"/>
          <w:szCs w:val="24"/>
          <w:lang w:val="zh-CN" w:eastAsia="zh-CN"/>
        </w:rPr>
        <w:t>1–2%</w:t>
      </w:r>
      <w:r w:rsidRPr="009B423C">
        <w:rPr>
          <w:rFonts w:eastAsia="SimSun"/>
          <w:sz w:val="24"/>
          <w:szCs w:val="24"/>
          <w:lang w:val="zh-CN" w:eastAsia="zh-CN"/>
        </w:rPr>
        <w:t>、储备</w:t>
      </w:r>
      <w:r w:rsidRPr="009B423C">
        <w:rPr>
          <w:rFonts w:eastAsia="SimSun"/>
          <w:sz w:val="24"/>
          <w:szCs w:val="24"/>
          <w:lang w:val="zh-CN" w:eastAsia="zh-CN"/>
        </w:rPr>
        <w:t>0.1%</w:t>
      </w:r>
      <w:r w:rsidR="00D81D4A" w:rsidRPr="009B423C">
        <w:rPr>
          <w:rFonts w:eastAsia="SimSun"/>
          <w:sz w:val="24"/>
          <w:szCs w:val="24"/>
          <w:lang w:val="zh-CN" w:eastAsia="zh-CN"/>
        </w:rPr>
        <w:t>和</w:t>
      </w:r>
      <w:r w:rsidR="00D81D4A">
        <w:rPr>
          <w:rFonts w:eastAsia="SimSun" w:hint="eastAsia"/>
          <w:sz w:val="24"/>
          <w:szCs w:val="24"/>
          <w:lang w:val="zh-CN" w:eastAsia="zh-CN"/>
        </w:rPr>
        <w:t>航空</w:t>
      </w:r>
      <w:r w:rsidR="00D81D4A">
        <w:rPr>
          <w:rFonts w:eastAsia="SimSun" w:hint="eastAsia"/>
          <w:sz w:val="24"/>
          <w:szCs w:val="24"/>
          <w:lang w:val="zh-CN" w:eastAsia="zh-CN"/>
        </w:rPr>
        <w:t>8.5</w:t>
      </w:r>
      <w:r w:rsidRPr="009B423C">
        <w:rPr>
          <w:rFonts w:eastAsia="SimSun"/>
          <w:sz w:val="24"/>
          <w:szCs w:val="24"/>
          <w:lang w:val="zh-CN" w:eastAsia="zh-CN"/>
        </w:rPr>
        <w:t>–</w:t>
      </w:r>
      <w:r w:rsidR="00D81D4A">
        <w:rPr>
          <w:rFonts w:eastAsia="SimSun" w:hint="eastAsia"/>
          <w:sz w:val="24"/>
          <w:szCs w:val="24"/>
          <w:lang w:val="zh-CN" w:eastAsia="zh-CN"/>
        </w:rPr>
        <w:t>12</w:t>
      </w:r>
      <w:r w:rsidRPr="009B423C">
        <w:rPr>
          <w:rFonts w:eastAsia="SimSun"/>
          <w:sz w:val="24"/>
          <w:szCs w:val="24"/>
          <w:lang w:val="zh-CN" w:eastAsia="zh-CN"/>
        </w:rPr>
        <w:t>%</w:t>
      </w:r>
      <w:r w:rsidRPr="009B423C">
        <w:rPr>
          <w:rFonts w:eastAsia="SimSun"/>
          <w:sz w:val="24"/>
          <w:szCs w:val="24"/>
          <w:lang w:val="zh-CN" w:eastAsia="zh-CN"/>
        </w:rPr>
        <w:t>。由此得出已安装系统的排放率为</w:t>
      </w:r>
      <w:r w:rsidRPr="009B423C">
        <w:rPr>
          <w:rFonts w:eastAsia="SimSun"/>
          <w:sz w:val="24"/>
          <w:szCs w:val="24"/>
          <w:lang w:val="zh-CN" w:eastAsia="zh-CN"/>
        </w:rPr>
        <w:t>2–4%</w:t>
      </w:r>
      <w:r w:rsidRPr="009B423C">
        <w:rPr>
          <w:rFonts w:eastAsia="SimSun"/>
          <w:sz w:val="24"/>
          <w:szCs w:val="24"/>
          <w:lang w:val="zh-CN" w:eastAsia="zh-CN"/>
        </w:rPr>
        <w:t>，因此耗尽时间范围为</w:t>
      </w:r>
      <w:r w:rsidRPr="009B423C">
        <w:rPr>
          <w:rFonts w:eastAsia="SimSun"/>
          <w:sz w:val="24"/>
          <w:szCs w:val="24"/>
          <w:lang w:val="zh-CN" w:eastAsia="zh-CN"/>
        </w:rPr>
        <w:t>2033</w:t>
      </w:r>
      <w:r w:rsidRPr="009B423C">
        <w:rPr>
          <w:rFonts w:eastAsia="SimSun"/>
          <w:sz w:val="24"/>
          <w:szCs w:val="24"/>
          <w:lang w:val="zh-CN" w:eastAsia="zh-CN"/>
        </w:rPr>
        <w:t>年至</w:t>
      </w:r>
      <w:r w:rsidRPr="009B423C">
        <w:rPr>
          <w:rFonts w:eastAsia="SimSun"/>
          <w:sz w:val="24"/>
          <w:szCs w:val="24"/>
          <w:lang w:val="zh-CN" w:eastAsia="zh-CN"/>
        </w:rPr>
        <w:t>2037</w:t>
      </w:r>
      <w:r w:rsidRPr="009B423C">
        <w:rPr>
          <w:rFonts w:eastAsia="SimSun"/>
          <w:sz w:val="24"/>
          <w:szCs w:val="24"/>
          <w:lang w:val="zh-CN" w:eastAsia="zh-CN"/>
        </w:rPr>
        <w:t>年，即方法</w:t>
      </w:r>
      <w:r w:rsidRPr="009B423C">
        <w:rPr>
          <w:rFonts w:eastAsia="SimSun"/>
          <w:sz w:val="24"/>
          <w:szCs w:val="24"/>
          <w:lang w:val="zh-CN" w:eastAsia="zh-CN"/>
        </w:rPr>
        <w:t>1</w:t>
      </w:r>
      <w:r w:rsidRPr="009B423C">
        <w:rPr>
          <w:rFonts w:eastAsia="SimSun"/>
          <w:sz w:val="24"/>
          <w:szCs w:val="24"/>
          <w:lang w:val="zh-CN" w:eastAsia="zh-CN"/>
        </w:rPr>
        <w:t>的一个子集。</w:t>
      </w:r>
    </w:p>
    <w:p w14:paraId="7A9A5215"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在思考潜在的必要用途提名时，灭火技选委员会强调了一个重要的历史先例：</w:t>
      </w:r>
      <w:r w:rsidRPr="009B423C">
        <w:rPr>
          <w:rFonts w:eastAsia="SimSun"/>
          <w:sz w:val="24"/>
          <w:szCs w:val="24"/>
          <w:lang w:val="zh-CN" w:eastAsia="zh-CN"/>
        </w:rPr>
        <w:t>1993</w:t>
      </w:r>
      <w:r w:rsidRPr="009B423C">
        <w:rPr>
          <w:rFonts w:eastAsia="SimSun"/>
          <w:sz w:val="24"/>
          <w:szCs w:val="24"/>
          <w:lang w:val="zh-CN" w:eastAsia="zh-CN"/>
        </w:rPr>
        <w:t>年和</w:t>
      </w:r>
      <w:r w:rsidRPr="009B423C">
        <w:rPr>
          <w:rFonts w:eastAsia="SimSun"/>
          <w:sz w:val="24"/>
          <w:szCs w:val="24"/>
          <w:lang w:val="zh-CN" w:eastAsia="zh-CN"/>
        </w:rPr>
        <w:t>1994</w:t>
      </w:r>
      <w:r w:rsidRPr="009B423C">
        <w:rPr>
          <w:rFonts w:eastAsia="SimSun"/>
          <w:sz w:val="24"/>
          <w:szCs w:val="24"/>
          <w:lang w:val="zh-CN" w:eastAsia="zh-CN"/>
        </w:rPr>
        <w:t>年，哈龙技术选择委员会对各项必要用途提名进行了评价，发现没有任何提名能够满足第</w:t>
      </w:r>
      <w:r w:rsidRPr="009B423C">
        <w:rPr>
          <w:rFonts w:eastAsia="SimSun"/>
          <w:sz w:val="24"/>
          <w:szCs w:val="24"/>
          <w:lang w:val="zh-CN" w:eastAsia="zh-CN"/>
        </w:rPr>
        <w:t>IV/25</w:t>
      </w:r>
      <w:r w:rsidRPr="009B423C">
        <w:rPr>
          <w:rFonts w:eastAsia="SimSun"/>
          <w:sz w:val="24"/>
          <w:szCs w:val="24"/>
          <w:lang w:val="zh-CN" w:eastAsia="zh-CN"/>
        </w:rPr>
        <w:t>号决定中规定的要求，即现有的储备或再循环的哈龙库存无法提供足够数量和质量的哈龙。灭火技选委员会认为这一结果在短期内仍然有效。为了支持国际民航组织</w:t>
      </w:r>
      <w:r w:rsidRPr="009B423C">
        <w:rPr>
          <w:rFonts w:eastAsia="SimSun"/>
          <w:sz w:val="24"/>
          <w:szCs w:val="24"/>
          <w:lang w:val="zh-CN" w:eastAsia="zh-CN"/>
        </w:rPr>
        <w:t>A42-11</w:t>
      </w:r>
      <w:r w:rsidRPr="009B423C">
        <w:rPr>
          <w:rFonts w:eastAsia="SimSun"/>
          <w:sz w:val="24"/>
          <w:szCs w:val="24"/>
          <w:lang w:val="zh-CN" w:eastAsia="zh-CN"/>
        </w:rPr>
        <w:t>号决议并鉴于民航服务的全球性，缔约方不妨考虑确定必要用途提名和评估流程如需调整，可能需要作出哪些调整。鉴于大多数（甚至所有）缔约方将无法单独确定其年度民航航空安全需求，这方面的考虑尤其重要。</w:t>
      </w:r>
    </w:p>
    <w:p w14:paraId="0D4BD84F"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灭火技选委员会和国际民航组织正在努力促进民航主管部门和臭氧联络人之间的合作。双方正在讨论是否可以同时以国际民航组织国家附函和环境署附函发送一份联合声明或附件。国际民航组织提供了可能为航空用哈龙</w:t>
      </w:r>
      <w:r w:rsidRPr="009B423C">
        <w:rPr>
          <w:rFonts w:eastAsia="SimSun"/>
          <w:sz w:val="24"/>
          <w:szCs w:val="24"/>
          <w:lang w:val="zh-CN" w:eastAsia="zh-CN"/>
        </w:rPr>
        <w:t>1301</w:t>
      </w:r>
      <w:r w:rsidRPr="009B423C">
        <w:rPr>
          <w:rFonts w:eastAsia="SimSun"/>
          <w:sz w:val="24"/>
          <w:szCs w:val="24"/>
          <w:lang w:val="zh-CN" w:eastAsia="zh-CN"/>
        </w:rPr>
        <w:t>气瓶提供维修保养的维护、修理和大修运营商的所在地。这些信息对于了解民航排放来源至关重要，并使民航主管部门、航空器制造商和哈龙气瓶制造商能够集中精力减少排放。</w:t>
      </w:r>
    </w:p>
    <w:p w14:paraId="31B5F8BC"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Verdonik</w:t>
      </w:r>
      <w:r w:rsidRPr="009B423C">
        <w:rPr>
          <w:rFonts w:eastAsia="SimSun"/>
          <w:sz w:val="24"/>
          <w:szCs w:val="24"/>
          <w:lang w:val="zh-CN" w:eastAsia="zh-CN"/>
        </w:rPr>
        <w:t>先生继续讨论维护、修理和大修运营商所在地和排放热点问题。他说，委员会已经掌握了欧洲的哈龙</w:t>
      </w:r>
      <w:r w:rsidRPr="009B423C">
        <w:rPr>
          <w:rFonts w:eastAsia="SimSun"/>
          <w:sz w:val="24"/>
          <w:szCs w:val="24"/>
          <w:lang w:val="zh-CN" w:eastAsia="zh-CN"/>
        </w:rPr>
        <w:t>1301</w:t>
      </w:r>
      <w:r w:rsidRPr="009B423C">
        <w:rPr>
          <w:rFonts w:eastAsia="SimSun"/>
          <w:sz w:val="24"/>
          <w:szCs w:val="24"/>
          <w:lang w:val="zh-CN" w:eastAsia="zh-CN"/>
        </w:rPr>
        <w:t>排放数据，因此他们将这些已知的排放热点与欧洲已知的可以提供哈龙</w:t>
      </w:r>
      <w:r w:rsidRPr="009B423C">
        <w:rPr>
          <w:rFonts w:eastAsia="SimSun"/>
          <w:sz w:val="24"/>
          <w:szCs w:val="24"/>
          <w:lang w:val="zh-CN" w:eastAsia="zh-CN"/>
        </w:rPr>
        <w:t>1301</w:t>
      </w:r>
      <w:r w:rsidRPr="009B423C">
        <w:rPr>
          <w:rFonts w:eastAsia="SimSun"/>
          <w:sz w:val="24"/>
          <w:szCs w:val="24"/>
          <w:lang w:val="zh-CN" w:eastAsia="zh-CN"/>
        </w:rPr>
        <w:t>服务的维护、修理和大修运营商所在地进行了比较。这项分析旨在确定这些热点是否与哈龙</w:t>
      </w:r>
      <w:r w:rsidRPr="009B423C">
        <w:rPr>
          <w:rFonts w:eastAsia="SimSun"/>
          <w:sz w:val="24"/>
          <w:szCs w:val="24"/>
          <w:lang w:val="zh-CN" w:eastAsia="zh-CN"/>
        </w:rPr>
        <w:t>1301</w:t>
      </w:r>
      <w:r w:rsidRPr="009B423C">
        <w:rPr>
          <w:rFonts w:eastAsia="SimSun"/>
          <w:sz w:val="24"/>
          <w:szCs w:val="24"/>
          <w:lang w:val="zh-CN" w:eastAsia="zh-CN"/>
        </w:rPr>
        <w:t>活动相关，特别是维护、修理和大修活动。似乎与预期的哈龙</w:t>
      </w:r>
      <w:r w:rsidRPr="009B423C">
        <w:rPr>
          <w:rFonts w:eastAsia="SimSun"/>
          <w:sz w:val="24"/>
          <w:szCs w:val="24"/>
          <w:lang w:val="zh-CN" w:eastAsia="zh-CN"/>
        </w:rPr>
        <w:t>1301</w:t>
      </w:r>
      <w:r w:rsidRPr="009B423C">
        <w:rPr>
          <w:rFonts w:eastAsia="SimSun"/>
          <w:sz w:val="24"/>
          <w:szCs w:val="24"/>
          <w:lang w:val="zh-CN" w:eastAsia="zh-CN"/>
        </w:rPr>
        <w:t>排放来源存在一定相关性。值得注意的地点包括法国北部的一家生产氟虫腈的设施和法国东南部的一处地点，这里以前生产哈龙</w:t>
      </w:r>
      <w:r w:rsidRPr="009B423C">
        <w:rPr>
          <w:rFonts w:eastAsia="SimSun"/>
          <w:sz w:val="24"/>
          <w:szCs w:val="24"/>
          <w:lang w:val="zh-CN" w:eastAsia="zh-CN"/>
        </w:rPr>
        <w:t>1301</w:t>
      </w:r>
      <w:r w:rsidRPr="009B423C">
        <w:rPr>
          <w:rFonts w:eastAsia="SimSun"/>
          <w:sz w:val="24"/>
          <w:szCs w:val="24"/>
          <w:lang w:val="zh-CN" w:eastAsia="zh-CN"/>
        </w:rPr>
        <w:t>作为氟虫腈的生产原料。委员会已要求世界其他地区提供类似的排放热点数据，以扩大这项分析的范围。减少民航排放会将进一步将耗尽时间向未来延迟，使民航领域有更多时间来开发可接受的替代方案。航空业指出其没有确保使用</w:t>
      </w:r>
      <w:r w:rsidRPr="009B423C">
        <w:rPr>
          <w:rFonts w:eastAsia="SimSun"/>
          <w:sz w:val="24"/>
          <w:szCs w:val="24"/>
          <w:lang w:val="zh-CN" w:eastAsia="zh-CN"/>
        </w:rPr>
        <w:t>2-BTP</w:t>
      </w:r>
      <w:r w:rsidRPr="009B423C">
        <w:rPr>
          <w:rFonts w:eastAsia="SimSun"/>
          <w:sz w:val="24"/>
          <w:szCs w:val="24"/>
          <w:lang w:val="zh-CN" w:eastAsia="zh-CN"/>
        </w:rPr>
        <w:t>的长期能力，这方面存在不确定性，因此表示不会承诺使用</w:t>
      </w:r>
      <w:r w:rsidRPr="009B423C">
        <w:rPr>
          <w:rFonts w:eastAsia="SimSun"/>
          <w:sz w:val="24"/>
          <w:szCs w:val="24"/>
          <w:lang w:val="zh-CN" w:eastAsia="zh-CN"/>
        </w:rPr>
        <w:t>2-BTP/</w:t>
      </w:r>
      <w:r w:rsidRPr="009B423C">
        <w:rPr>
          <w:rFonts w:eastAsia="SimSun"/>
          <w:sz w:val="24"/>
          <w:szCs w:val="24"/>
          <w:lang w:val="zh-CN" w:eastAsia="zh-CN"/>
        </w:rPr>
        <w:t>二氧化碳混合物来替代货舱中的哈龙</w:t>
      </w:r>
      <w:r w:rsidRPr="009B423C">
        <w:rPr>
          <w:rFonts w:eastAsia="SimSun"/>
          <w:sz w:val="24"/>
          <w:szCs w:val="24"/>
          <w:lang w:val="zh-CN" w:eastAsia="zh-CN"/>
        </w:rPr>
        <w:t>1301</w:t>
      </w:r>
      <w:r w:rsidRPr="009B423C">
        <w:rPr>
          <w:rFonts w:eastAsia="SimSun"/>
          <w:sz w:val="24"/>
          <w:szCs w:val="24"/>
          <w:lang w:val="zh-CN" w:eastAsia="zh-CN"/>
        </w:rPr>
        <w:t>。在此情况下，很难想象有足够的哈龙</w:t>
      </w:r>
      <w:r w:rsidRPr="009B423C">
        <w:rPr>
          <w:rFonts w:eastAsia="SimSun"/>
          <w:sz w:val="24"/>
          <w:szCs w:val="24"/>
          <w:lang w:val="zh-CN" w:eastAsia="zh-CN"/>
        </w:rPr>
        <w:t>1301</w:t>
      </w:r>
      <w:r w:rsidRPr="009B423C">
        <w:rPr>
          <w:rFonts w:eastAsia="SimSun"/>
          <w:sz w:val="24"/>
          <w:szCs w:val="24"/>
          <w:lang w:val="zh-CN" w:eastAsia="zh-CN"/>
        </w:rPr>
        <w:t>来支持潜在寿命为</w:t>
      </w:r>
      <w:r w:rsidRPr="009B423C">
        <w:rPr>
          <w:rFonts w:eastAsia="SimSun"/>
          <w:sz w:val="24"/>
          <w:szCs w:val="24"/>
          <w:lang w:val="zh-CN" w:eastAsia="zh-CN"/>
        </w:rPr>
        <w:t>100</w:t>
      </w:r>
      <w:r w:rsidRPr="009B423C">
        <w:rPr>
          <w:rFonts w:eastAsia="SimSun"/>
          <w:sz w:val="24"/>
          <w:szCs w:val="24"/>
          <w:lang w:val="zh-CN" w:eastAsia="zh-CN"/>
        </w:rPr>
        <w:t>年的新航空器设计。</w:t>
      </w:r>
    </w:p>
    <w:p w14:paraId="2D141A51"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lastRenderedPageBreak/>
        <w:t>共同主席在结束发言时表示，灭火技选委员会将继续在多个领域开展工作，包括讨论是否有可能采用国际民航组织国家附函和环境署附函发送一份联合声明</w:t>
      </w:r>
      <w:r w:rsidRPr="009B423C">
        <w:rPr>
          <w:rFonts w:eastAsia="SimSun"/>
          <w:sz w:val="24"/>
          <w:szCs w:val="24"/>
          <w:lang w:val="zh-CN" w:eastAsia="zh-CN"/>
        </w:rPr>
        <w:t>/</w:t>
      </w:r>
      <w:r w:rsidRPr="009B423C">
        <w:rPr>
          <w:rFonts w:eastAsia="SimSun"/>
          <w:sz w:val="24"/>
          <w:szCs w:val="24"/>
          <w:lang w:val="zh-CN" w:eastAsia="zh-CN"/>
        </w:rPr>
        <w:t>附件，以提高人们对哈龙</w:t>
      </w:r>
      <w:r w:rsidRPr="009B423C">
        <w:rPr>
          <w:rFonts w:eastAsia="SimSun"/>
          <w:sz w:val="24"/>
          <w:szCs w:val="24"/>
          <w:lang w:val="zh-CN" w:eastAsia="zh-CN"/>
        </w:rPr>
        <w:t>1301</w:t>
      </w:r>
      <w:r w:rsidRPr="009B423C">
        <w:rPr>
          <w:rFonts w:eastAsia="SimSun"/>
          <w:sz w:val="24"/>
          <w:szCs w:val="24"/>
          <w:lang w:val="zh-CN" w:eastAsia="zh-CN"/>
        </w:rPr>
        <w:t>预计耗尽时间的认识，并鼓励环境署、灭火技选委员和国际民航组织之间进一步合作。灭火技选委员会还在收集更多的哈龙</w:t>
      </w:r>
      <w:r w:rsidRPr="009B423C">
        <w:rPr>
          <w:rFonts w:eastAsia="SimSun"/>
          <w:sz w:val="24"/>
          <w:szCs w:val="24"/>
          <w:lang w:val="zh-CN" w:eastAsia="zh-CN"/>
        </w:rPr>
        <w:t>1301</w:t>
      </w:r>
      <w:r w:rsidRPr="009B423C">
        <w:rPr>
          <w:rFonts w:eastAsia="SimSun"/>
          <w:sz w:val="24"/>
          <w:szCs w:val="24"/>
          <w:lang w:val="zh-CN" w:eastAsia="zh-CN"/>
        </w:rPr>
        <w:t>排放数据，并从维护、修理和大修运营商收集信息，这些运营商作为航空器维修中心，对于哈龙维护基础设施至关重要。</w:t>
      </w:r>
    </w:p>
    <w:p w14:paraId="77425CFB" w14:textId="00E62935"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lang w:eastAsia="zh-CN"/>
        </w:rPr>
      </w:pPr>
      <w:r w:rsidRPr="009B423C">
        <w:rPr>
          <w:rFonts w:eastAsia="SimHei"/>
          <w:bCs/>
          <w:sz w:val="28"/>
          <w:szCs w:val="28"/>
          <w:lang w:val="zh-CN" w:eastAsia="zh-CN"/>
        </w:rPr>
        <w:t>软硬质泡沫技术选择委员会</w:t>
      </w:r>
    </w:p>
    <w:p w14:paraId="47F5F4EE"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软硬质泡沫技术选择委员会（软硬质泡沫技选委员会）共同主席</w:t>
      </w:r>
      <w:r w:rsidRPr="009B423C">
        <w:rPr>
          <w:rFonts w:eastAsia="SimSun"/>
          <w:sz w:val="24"/>
          <w:szCs w:val="24"/>
          <w:lang w:val="zh-CN" w:eastAsia="zh-CN"/>
        </w:rPr>
        <w:t>Helen Walter-Terrinoni</w:t>
      </w:r>
      <w:r w:rsidRPr="009B423C">
        <w:rPr>
          <w:rFonts w:eastAsia="SimSun"/>
          <w:sz w:val="24"/>
          <w:szCs w:val="24"/>
          <w:lang w:val="zh-CN" w:eastAsia="zh-CN"/>
        </w:rPr>
        <w:t>介绍了进度报告中的更新内容。</w:t>
      </w:r>
      <w:r w:rsidRPr="009B423C">
        <w:rPr>
          <w:rFonts w:eastAsia="SimSun"/>
          <w:sz w:val="24"/>
          <w:szCs w:val="24"/>
          <w:lang w:val="zh-CN" w:eastAsia="zh-CN"/>
        </w:rPr>
        <w:t>Walter-Terrinoni</w:t>
      </w:r>
      <w:r w:rsidRPr="009B423C">
        <w:rPr>
          <w:rFonts w:eastAsia="SimSun"/>
          <w:sz w:val="24"/>
          <w:szCs w:val="24"/>
          <w:lang w:val="zh-CN" w:eastAsia="zh-CN"/>
        </w:rPr>
        <w:t>指出，第</w:t>
      </w:r>
      <w:r w:rsidRPr="009B423C">
        <w:rPr>
          <w:rFonts w:eastAsia="SimSun"/>
          <w:sz w:val="24"/>
          <w:szCs w:val="24"/>
          <w:lang w:val="zh-CN" w:eastAsia="zh-CN"/>
        </w:rPr>
        <w:t>5</w:t>
      </w:r>
      <w:r w:rsidRPr="009B423C">
        <w:rPr>
          <w:rFonts w:eastAsia="SimSun"/>
          <w:sz w:val="24"/>
          <w:szCs w:val="24"/>
          <w:lang w:val="zh-CN" w:eastAsia="zh-CN"/>
        </w:rPr>
        <w:t>条缔约方的泡沫行业正在向不再使用含氢氯氟烃的方向顺利转型，非第</w:t>
      </w:r>
      <w:r w:rsidRPr="009B423C">
        <w:rPr>
          <w:rFonts w:eastAsia="SimSun"/>
          <w:sz w:val="24"/>
          <w:szCs w:val="24"/>
          <w:lang w:val="zh-CN" w:eastAsia="zh-CN"/>
        </w:rPr>
        <w:t>5</w:t>
      </w:r>
      <w:r w:rsidRPr="009B423C">
        <w:rPr>
          <w:rFonts w:eastAsia="SimSun"/>
          <w:sz w:val="24"/>
          <w:szCs w:val="24"/>
          <w:lang w:val="zh-CN" w:eastAsia="zh-CN"/>
        </w:rPr>
        <w:t>条缔约方和一些第</w:t>
      </w:r>
      <w:r w:rsidRPr="009B423C">
        <w:rPr>
          <w:rFonts w:eastAsia="SimSun"/>
          <w:sz w:val="24"/>
          <w:szCs w:val="24"/>
          <w:lang w:val="zh-CN" w:eastAsia="zh-CN"/>
        </w:rPr>
        <w:t>5</w:t>
      </w:r>
      <w:r w:rsidRPr="009B423C">
        <w:rPr>
          <w:rFonts w:eastAsia="SimSun"/>
          <w:sz w:val="24"/>
          <w:szCs w:val="24"/>
          <w:lang w:val="zh-CN" w:eastAsia="zh-CN"/>
        </w:rPr>
        <w:t>条缔约方的泡沫行业正在向不再使用高全球升温潜能值氢氟碳化物的方向顺利转型，尤其是在法规和变化中的供应链的推动下。她指出，第</w:t>
      </w:r>
      <w:r w:rsidRPr="009B423C">
        <w:rPr>
          <w:rFonts w:eastAsia="SimSun"/>
          <w:sz w:val="24"/>
          <w:szCs w:val="24"/>
          <w:lang w:val="zh-CN" w:eastAsia="zh-CN"/>
        </w:rPr>
        <w:t>5</w:t>
      </w:r>
      <w:r w:rsidRPr="009B423C">
        <w:rPr>
          <w:rFonts w:eastAsia="SimSun"/>
          <w:sz w:val="24"/>
          <w:szCs w:val="24"/>
          <w:lang w:val="zh-CN" w:eastAsia="zh-CN"/>
        </w:rPr>
        <w:t>条缔约方继续强调尽可能避免采用高全球升温潜能值的氢氟碳化物。</w:t>
      </w:r>
    </w:p>
    <w:p w14:paraId="41C23018"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氢氟烯烃</w:t>
      </w:r>
      <w:r w:rsidRPr="009B423C">
        <w:rPr>
          <w:rFonts w:eastAsia="SimSun"/>
          <w:sz w:val="24"/>
          <w:szCs w:val="24"/>
          <w:lang w:val="zh-CN" w:eastAsia="zh-CN"/>
        </w:rPr>
        <w:t>/</w:t>
      </w:r>
      <w:r w:rsidRPr="009B423C">
        <w:rPr>
          <w:rFonts w:eastAsia="SimSun"/>
          <w:sz w:val="24"/>
          <w:szCs w:val="24"/>
          <w:lang w:val="zh-CN" w:eastAsia="zh-CN"/>
        </w:rPr>
        <w:t>氢氯氟烯烃制造商提高了产能，以满足预计会因相关法规而产生的对全球升温潜能值较低的泡沫发泡剂的需求。在添加剂、共发泡剂、设备和配方的开发和供应方面有所改进。</w:t>
      </w:r>
    </w:p>
    <w:p w14:paraId="51BBD632"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Walter-Terrinoni</w:t>
      </w:r>
      <w:r w:rsidRPr="009B423C">
        <w:rPr>
          <w:rFonts w:eastAsia="SimSun"/>
          <w:sz w:val="24"/>
          <w:szCs w:val="24"/>
          <w:lang w:val="zh-CN" w:eastAsia="zh-CN"/>
        </w:rPr>
        <w:t>女士解释说，发泡剂的经济因素仍然影响其选择、混配和用量情况。她详细介绍说，第</w:t>
      </w:r>
      <w:r w:rsidRPr="009B423C">
        <w:rPr>
          <w:rFonts w:eastAsia="SimSun"/>
          <w:sz w:val="24"/>
          <w:szCs w:val="24"/>
          <w:lang w:val="zh-CN" w:eastAsia="zh-CN"/>
        </w:rPr>
        <w:t>5</w:t>
      </w:r>
      <w:r w:rsidRPr="009B423C">
        <w:rPr>
          <w:rFonts w:eastAsia="SimSun"/>
          <w:sz w:val="24"/>
          <w:szCs w:val="24"/>
          <w:lang w:val="zh-CN" w:eastAsia="zh-CN"/>
        </w:rPr>
        <w:t>条缔约方和非第</w:t>
      </w:r>
      <w:r w:rsidRPr="009B423C">
        <w:rPr>
          <w:rFonts w:eastAsia="SimSun"/>
          <w:sz w:val="24"/>
          <w:szCs w:val="24"/>
          <w:lang w:val="zh-CN" w:eastAsia="zh-CN"/>
        </w:rPr>
        <w:t>5</w:t>
      </w:r>
      <w:r w:rsidRPr="009B423C">
        <w:rPr>
          <w:rFonts w:eastAsia="SimSun"/>
          <w:sz w:val="24"/>
          <w:szCs w:val="24"/>
          <w:lang w:val="zh-CN" w:eastAsia="zh-CN"/>
        </w:rPr>
        <w:t>条缔约方的泡沫制造商都在继续致力于使用新型泡沫发泡剂和共发泡剂来降低成本。她解释说，泡沫制造商花费了大量资源，通过混合物和新型添加剂来优化新型泡沫发泡剂和泡沫系统的泡沫特性和成本。她指出，由于氢氟烯烃</w:t>
      </w:r>
      <w:r w:rsidRPr="009B423C">
        <w:rPr>
          <w:rFonts w:eastAsia="SimSun"/>
          <w:sz w:val="24"/>
          <w:szCs w:val="24"/>
          <w:lang w:val="zh-CN" w:eastAsia="zh-CN"/>
        </w:rPr>
        <w:t>/</w:t>
      </w:r>
      <w:r w:rsidRPr="009B423C">
        <w:rPr>
          <w:rFonts w:eastAsia="SimSun"/>
          <w:sz w:val="24"/>
          <w:szCs w:val="24"/>
          <w:lang w:val="zh-CN" w:eastAsia="zh-CN"/>
        </w:rPr>
        <w:t>氢氯氟烯烃替代品的成本问题，第</w:t>
      </w:r>
      <w:r w:rsidRPr="009B423C">
        <w:rPr>
          <w:rFonts w:eastAsia="SimSun"/>
          <w:sz w:val="24"/>
          <w:szCs w:val="24"/>
          <w:lang w:val="zh-CN" w:eastAsia="zh-CN"/>
        </w:rPr>
        <w:t>5</w:t>
      </w:r>
      <w:r w:rsidRPr="009B423C">
        <w:rPr>
          <w:rFonts w:eastAsia="SimSun"/>
          <w:sz w:val="24"/>
          <w:szCs w:val="24"/>
          <w:lang w:val="zh-CN" w:eastAsia="zh-CN"/>
        </w:rPr>
        <w:t>条缔约方一直在继续使用</w:t>
      </w:r>
      <w:r w:rsidRPr="009B423C">
        <w:rPr>
          <w:rFonts w:eastAsia="SimSun"/>
          <w:sz w:val="24"/>
          <w:szCs w:val="24"/>
          <w:lang w:val="zh-CN" w:eastAsia="zh-CN"/>
        </w:rPr>
        <w:t>HFC-245fa</w:t>
      </w:r>
      <w:r w:rsidRPr="009B423C">
        <w:rPr>
          <w:rFonts w:eastAsia="SimSun"/>
          <w:sz w:val="24"/>
          <w:szCs w:val="24"/>
          <w:lang w:val="zh-CN" w:eastAsia="zh-CN"/>
        </w:rPr>
        <w:t>混合物，并且许多缔约方尚无监管限制；此外，如果通过消防安全测试和功效验证（例如热工性能、尺寸稳定性）对采用新型发泡剂混合物的泡沫重新进行合格认定，会产生高昂的成本。</w:t>
      </w:r>
    </w:p>
    <w:p w14:paraId="2E150EF6"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指出，由于氢氟碳化物、氢氟烯烃和氢氯氟烯烃的成本问题，许多企业选择不再使用含氟泡沫发泡剂，前提是它们仍然能够满足绝缘性能和其他标准。已将非氟碳组分（如碳氢化合物、甲缩醛、甲酸甲酯和二氯甲烷）与氟碳物质共混，以降低成本。</w:t>
      </w:r>
    </w:p>
    <w:p w14:paraId="78EBC230"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Walter-Terrinoni</w:t>
      </w:r>
      <w:r w:rsidRPr="009B423C">
        <w:rPr>
          <w:rFonts w:eastAsia="SimSun"/>
          <w:sz w:val="24"/>
          <w:szCs w:val="24"/>
          <w:lang w:val="zh-CN" w:eastAsia="zh-CN"/>
        </w:rPr>
        <w:t>女士指出，新型泡沫发泡剂涉及健康和安全方面的考虑因素，并解释说，易燃泡沫发泡剂和具有不同毒性的泡沫发泡剂会给最终用户以及组合料生产企业和泡沫制造企业的工人，特别是中小企业的工人带来各种安全问题。她指出，碳氢化合物泡沫发泡剂的商业采用正在增加；据报道，中小企业在没有安全措施（无火花工具和做法、电气升级等）的情况下采用了碳氢化合物泡沫发泡剂。她还指出，对挥发性有机碳的限制可能会限制使用碳氢化合物的能力，包括在制造场所。</w:t>
      </w:r>
    </w:p>
    <w:p w14:paraId="0785AEF1"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她随后指出，目前至少有一个缔约方正在审查</w:t>
      </w:r>
      <w:r w:rsidRPr="009B423C">
        <w:rPr>
          <w:rFonts w:eastAsia="SimSun"/>
          <w:sz w:val="24"/>
          <w:szCs w:val="24"/>
          <w:lang w:val="zh-CN" w:eastAsia="zh-CN"/>
        </w:rPr>
        <w:t>1,2-</w:t>
      </w:r>
      <w:r w:rsidRPr="009B423C">
        <w:rPr>
          <w:rFonts w:eastAsia="SimSun"/>
          <w:sz w:val="24"/>
          <w:szCs w:val="24"/>
          <w:lang w:val="zh-CN" w:eastAsia="zh-CN"/>
        </w:rPr>
        <w:t>二氯乙烯的毒性及其在聚氨酯泡沫中的使用。与喷雾泡沫室内空气质量有关的实地研究显示，</w:t>
      </w:r>
      <w:r w:rsidRPr="009B423C">
        <w:rPr>
          <w:rFonts w:eastAsia="SimSun"/>
          <w:sz w:val="24"/>
          <w:szCs w:val="24"/>
          <w:lang w:val="zh-CN" w:eastAsia="zh-CN"/>
        </w:rPr>
        <w:t>1,2-</w:t>
      </w:r>
      <w:r w:rsidRPr="009B423C">
        <w:rPr>
          <w:rFonts w:eastAsia="SimSun"/>
          <w:sz w:val="24"/>
          <w:szCs w:val="24"/>
          <w:lang w:val="zh-CN" w:eastAsia="zh-CN"/>
        </w:rPr>
        <w:t>二氯乙烯浓度在安装后的数月至数年内都存在。</w:t>
      </w:r>
    </w:p>
    <w:p w14:paraId="2E94FEA3"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她最后总结说，尽管面临挑战，但缔约方正在过渡方面取得进展。</w:t>
      </w:r>
    </w:p>
    <w:p w14:paraId="24F977B4" w14:textId="198C2757"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bCs/>
          <w:sz w:val="28"/>
          <w:szCs w:val="28"/>
          <w:lang w:val="zh-CN" w:eastAsia="zh-CN"/>
        </w:rPr>
      </w:pPr>
      <w:r w:rsidRPr="009B423C">
        <w:rPr>
          <w:rFonts w:eastAsia="SimHei"/>
          <w:bCs/>
          <w:sz w:val="28"/>
          <w:szCs w:val="28"/>
          <w:lang w:val="zh-CN" w:eastAsia="zh-CN"/>
        </w:rPr>
        <w:lastRenderedPageBreak/>
        <w:t>甲基溴技术选择委员会</w:t>
      </w:r>
    </w:p>
    <w:p w14:paraId="1171E89E"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甲基溴技术选择委员会兼技经评估组共同主席</w:t>
      </w:r>
      <w:r w:rsidRPr="009B423C">
        <w:rPr>
          <w:rFonts w:eastAsia="SimSun"/>
          <w:sz w:val="24"/>
          <w:szCs w:val="24"/>
          <w:lang w:val="zh-CN" w:eastAsia="zh-CN"/>
        </w:rPr>
        <w:t>Ian Porter</w:t>
      </w:r>
      <w:r w:rsidRPr="009B423C">
        <w:rPr>
          <w:rFonts w:eastAsia="SimSun"/>
          <w:sz w:val="24"/>
          <w:szCs w:val="24"/>
          <w:lang w:val="zh-CN" w:eastAsia="zh-CN"/>
        </w:rPr>
        <w:t>先生代表共同主席</w:t>
      </w:r>
      <w:r w:rsidRPr="009B423C">
        <w:rPr>
          <w:rFonts w:eastAsia="SimSun"/>
          <w:sz w:val="24"/>
          <w:szCs w:val="24"/>
          <w:lang w:val="zh-CN" w:eastAsia="zh-CN"/>
        </w:rPr>
        <w:t>Marta Pizano</w:t>
      </w:r>
      <w:r w:rsidRPr="009B423C">
        <w:rPr>
          <w:rFonts w:eastAsia="SimSun"/>
          <w:sz w:val="24"/>
          <w:szCs w:val="24"/>
          <w:lang w:val="zh-CN" w:eastAsia="zh-CN"/>
        </w:rPr>
        <w:t>介绍了该委员会进度报告的概要内容。在回应关于是否已经完成用于受控非检疫和装运前用途的甲基溴的逐步淘汰的问题时，他指出，在</w:t>
      </w:r>
      <w:r w:rsidRPr="009B423C">
        <w:rPr>
          <w:rFonts w:eastAsia="SimSun"/>
          <w:sz w:val="24"/>
          <w:szCs w:val="24"/>
          <w:lang w:val="zh-CN" w:eastAsia="zh-CN"/>
        </w:rPr>
        <w:t>2025</w:t>
      </w:r>
      <w:r w:rsidRPr="009B423C">
        <w:rPr>
          <w:rFonts w:eastAsia="SimSun"/>
          <w:sz w:val="24"/>
          <w:szCs w:val="24"/>
          <w:lang w:val="zh-CN" w:eastAsia="zh-CN"/>
        </w:rPr>
        <w:t>年收到最后一项关键用途提名后，逐步淘汰已经完成。</w:t>
      </w:r>
      <w:r w:rsidRPr="009B423C">
        <w:rPr>
          <w:rFonts w:eastAsia="SimSun"/>
          <w:sz w:val="24"/>
          <w:szCs w:val="24"/>
          <w:lang w:val="zh-CN" w:eastAsia="zh-CN"/>
        </w:rPr>
        <w:t>2026</w:t>
      </w:r>
      <w:r w:rsidRPr="009B423C">
        <w:rPr>
          <w:rFonts w:eastAsia="SimSun"/>
          <w:sz w:val="24"/>
          <w:szCs w:val="24"/>
          <w:lang w:val="zh-CN" w:eastAsia="zh-CN"/>
        </w:rPr>
        <w:t>年没有收到新的关键用途提名。加上在关键用途提名进程之前实现的甲基溴淘汰，全球在</w:t>
      </w:r>
      <w:r w:rsidRPr="009B423C">
        <w:rPr>
          <w:rFonts w:eastAsia="SimSun"/>
          <w:sz w:val="24"/>
          <w:szCs w:val="24"/>
          <w:lang w:val="zh-CN" w:eastAsia="zh-CN"/>
        </w:rPr>
        <w:t>30</w:t>
      </w:r>
      <w:r w:rsidRPr="009B423C">
        <w:rPr>
          <w:rFonts w:eastAsia="SimSun"/>
          <w:sz w:val="24"/>
          <w:szCs w:val="24"/>
          <w:lang w:val="zh-CN" w:eastAsia="zh-CN"/>
        </w:rPr>
        <w:t>年内淘汰了约</w:t>
      </w:r>
      <w:proofErr w:type="gramStart"/>
      <w:r w:rsidRPr="009B423C">
        <w:rPr>
          <w:rFonts w:eastAsia="SimSun"/>
          <w:sz w:val="24"/>
          <w:szCs w:val="24"/>
          <w:lang w:val="zh-CN" w:eastAsia="zh-CN"/>
        </w:rPr>
        <w:t>62 000</w:t>
      </w:r>
      <w:r w:rsidRPr="009B423C">
        <w:rPr>
          <w:rFonts w:eastAsia="SimSun"/>
          <w:sz w:val="24"/>
          <w:szCs w:val="24"/>
          <w:lang w:val="zh-CN" w:eastAsia="zh-CN"/>
        </w:rPr>
        <w:t>吨</w:t>
      </w:r>
      <w:proofErr w:type="gramEnd"/>
      <w:r w:rsidRPr="009B423C">
        <w:rPr>
          <w:rFonts w:eastAsia="SimSun"/>
          <w:sz w:val="24"/>
          <w:szCs w:val="24"/>
          <w:lang w:val="zh-CN" w:eastAsia="zh-CN"/>
        </w:rPr>
        <w:t>甲基溴。</w:t>
      </w:r>
    </w:p>
    <w:p w14:paraId="59F5C007"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最新报告的全球检疫和装运前用途甲基溴产量（</w:t>
      </w:r>
      <w:r w:rsidRPr="009B423C">
        <w:rPr>
          <w:rFonts w:eastAsia="SimSun"/>
          <w:sz w:val="24"/>
          <w:szCs w:val="24"/>
          <w:lang w:val="zh-CN" w:eastAsia="zh-CN"/>
        </w:rPr>
        <w:t>2024</w:t>
      </w:r>
      <w:r w:rsidRPr="009B423C">
        <w:rPr>
          <w:rFonts w:eastAsia="SimSun"/>
          <w:sz w:val="24"/>
          <w:szCs w:val="24"/>
          <w:lang w:val="zh-CN" w:eastAsia="zh-CN"/>
        </w:rPr>
        <w:t>年）为</w:t>
      </w:r>
      <w:proofErr w:type="gramStart"/>
      <w:r w:rsidRPr="009B423C">
        <w:rPr>
          <w:rFonts w:eastAsia="SimSun"/>
          <w:sz w:val="24"/>
          <w:szCs w:val="24"/>
          <w:lang w:val="zh-CN" w:eastAsia="zh-CN"/>
        </w:rPr>
        <w:t>8 935</w:t>
      </w:r>
      <w:r w:rsidRPr="009B423C">
        <w:rPr>
          <w:rFonts w:eastAsia="SimSun"/>
          <w:sz w:val="24"/>
          <w:szCs w:val="24"/>
          <w:lang w:val="zh-CN" w:eastAsia="zh-CN"/>
        </w:rPr>
        <w:t>吨</w:t>
      </w:r>
      <w:proofErr w:type="gramEnd"/>
      <w:r w:rsidRPr="009B423C">
        <w:rPr>
          <w:rFonts w:eastAsia="SimSun"/>
          <w:sz w:val="24"/>
          <w:szCs w:val="24"/>
          <w:lang w:val="zh-CN" w:eastAsia="zh-CN"/>
        </w:rPr>
        <w:t>，比当年检疫和装运前消费量多</w:t>
      </w:r>
      <w:r w:rsidRPr="009B423C">
        <w:rPr>
          <w:rFonts w:eastAsia="SimSun"/>
          <w:sz w:val="24"/>
          <w:szCs w:val="24"/>
          <w:lang w:val="zh-CN" w:eastAsia="zh-CN"/>
        </w:rPr>
        <w:t>900</w:t>
      </w:r>
      <w:r w:rsidRPr="009B423C">
        <w:rPr>
          <w:rFonts w:eastAsia="SimSun"/>
          <w:sz w:val="24"/>
          <w:szCs w:val="24"/>
          <w:lang w:val="zh-CN" w:eastAsia="zh-CN"/>
        </w:rPr>
        <w:t>吨。由于检疫和装运前用途和排放继续有增无减，甲基溴的大气浓度已停止下降。提高报告数据的准确性对于技经评估组是否能够比较自下而上和自上而下的甲基溴排放量估计数至关重要。</w:t>
      </w:r>
    </w:p>
    <w:p w14:paraId="43D4A316"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甲基溴对人类具有高度毒性，正日益受到职业接触方面的管控。一些缔约方正在严格降低甲基溴的允许工作场所接触浓度，这将影响未来的检疫和装运前用途（例如加强监测、扩大缓冲区等）。然后，他展示了十大使用甲基溴的缔约方（澳大利亚、中国、萨尔瓦多、印度、日本、墨西哥、新西兰、巴基斯坦、美国和越南）得到豁免的检疫和装运前用途甲基溴消费趋势图表。据指出，这些缔约方占全球使用量的</w:t>
      </w:r>
      <w:r w:rsidRPr="009B423C">
        <w:rPr>
          <w:rFonts w:eastAsia="SimSun"/>
          <w:sz w:val="24"/>
          <w:szCs w:val="24"/>
          <w:lang w:val="zh-CN" w:eastAsia="zh-CN"/>
        </w:rPr>
        <w:t>88%</w:t>
      </w:r>
      <w:r w:rsidRPr="009B423C">
        <w:rPr>
          <w:rFonts w:eastAsia="SimSun"/>
          <w:sz w:val="24"/>
          <w:szCs w:val="24"/>
          <w:lang w:val="zh-CN" w:eastAsia="zh-CN"/>
        </w:rPr>
        <w:t>。印度和美国占</w:t>
      </w:r>
      <w:r w:rsidRPr="009B423C">
        <w:rPr>
          <w:rFonts w:eastAsia="SimSun"/>
          <w:sz w:val="24"/>
          <w:szCs w:val="24"/>
          <w:lang w:val="zh-CN" w:eastAsia="zh-CN"/>
        </w:rPr>
        <w:t>40%</w:t>
      </w:r>
      <w:r w:rsidRPr="009B423C">
        <w:rPr>
          <w:rFonts w:eastAsia="SimSun"/>
          <w:sz w:val="24"/>
          <w:szCs w:val="24"/>
          <w:lang w:val="zh-CN" w:eastAsia="zh-CN"/>
        </w:rPr>
        <w:t>以上，印度和巴基斯坦在过去十年中大幅增加消费量。中国和新西兰大幅减少了消费量，特别是新西兰通过对甲基溴排放量实施逐步控制并随后采用替代品，从</w:t>
      </w:r>
      <w:r w:rsidRPr="009B423C">
        <w:rPr>
          <w:rFonts w:eastAsia="SimSun"/>
          <w:sz w:val="24"/>
          <w:szCs w:val="24"/>
          <w:lang w:val="zh-CN" w:eastAsia="zh-CN"/>
        </w:rPr>
        <w:t>2021</w:t>
      </w:r>
      <w:r w:rsidRPr="009B423C">
        <w:rPr>
          <w:rFonts w:eastAsia="SimSun"/>
          <w:sz w:val="24"/>
          <w:szCs w:val="24"/>
          <w:lang w:val="zh-CN" w:eastAsia="zh-CN"/>
        </w:rPr>
        <w:t>年的</w:t>
      </w:r>
      <w:r w:rsidRPr="009B423C">
        <w:rPr>
          <w:rFonts w:eastAsia="SimSun"/>
          <w:sz w:val="24"/>
          <w:szCs w:val="24"/>
          <w:lang w:val="zh-CN" w:eastAsia="zh-CN"/>
        </w:rPr>
        <w:t>800</w:t>
      </w:r>
      <w:r w:rsidRPr="009B423C">
        <w:rPr>
          <w:rFonts w:eastAsia="SimSun"/>
          <w:sz w:val="24"/>
          <w:szCs w:val="24"/>
          <w:lang w:val="zh-CN" w:eastAsia="zh-CN"/>
        </w:rPr>
        <w:t>吨减少到过去三年的不足</w:t>
      </w:r>
      <w:r w:rsidRPr="009B423C">
        <w:rPr>
          <w:rFonts w:eastAsia="SimSun"/>
          <w:sz w:val="24"/>
          <w:szCs w:val="24"/>
          <w:lang w:val="zh-CN" w:eastAsia="zh-CN"/>
        </w:rPr>
        <w:t>40</w:t>
      </w:r>
      <w:r w:rsidRPr="009B423C">
        <w:rPr>
          <w:rFonts w:eastAsia="SimSun"/>
          <w:sz w:val="24"/>
          <w:szCs w:val="24"/>
          <w:lang w:val="zh-CN" w:eastAsia="zh-CN"/>
        </w:rPr>
        <w:t>吨。</w:t>
      </w:r>
    </w:p>
    <w:p w14:paraId="4F8154F7"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然后解释说，甲基溴的检疫用途系针对特定检疫性有害生物（即不在某个区域</w:t>
      </w:r>
      <w:r w:rsidRPr="009B423C">
        <w:rPr>
          <w:rFonts w:eastAsia="SimSun"/>
          <w:sz w:val="24"/>
          <w:szCs w:val="24"/>
          <w:lang w:val="zh-CN" w:eastAsia="zh-CN"/>
        </w:rPr>
        <w:t>/</w:t>
      </w:r>
      <w:r w:rsidRPr="009B423C">
        <w:rPr>
          <w:rFonts w:eastAsia="SimSun"/>
          <w:sz w:val="24"/>
          <w:szCs w:val="24"/>
          <w:lang w:val="zh-CN" w:eastAsia="zh-CN"/>
        </w:rPr>
        <w:t>国家出现的外来有害生物），许多司法管辖区可能会长期需要这种用途。据报告，装运前用途约为</w:t>
      </w:r>
      <w:proofErr w:type="gramStart"/>
      <w:r w:rsidRPr="009B423C">
        <w:rPr>
          <w:rFonts w:eastAsia="SimSun"/>
          <w:sz w:val="24"/>
          <w:szCs w:val="24"/>
          <w:lang w:val="zh-CN" w:eastAsia="zh-CN"/>
        </w:rPr>
        <w:t>3 000</w:t>
      </w:r>
      <w:r w:rsidRPr="009B423C">
        <w:rPr>
          <w:rFonts w:eastAsia="SimSun"/>
          <w:sz w:val="24"/>
          <w:szCs w:val="24"/>
          <w:lang w:val="zh-CN" w:eastAsia="zh-CN"/>
        </w:rPr>
        <w:t>吨</w:t>
      </w:r>
      <w:proofErr w:type="gramEnd"/>
      <w:r w:rsidRPr="009B423C">
        <w:rPr>
          <w:rFonts w:eastAsia="SimSun"/>
          <w:sz w:val="24"/>
          <w:szCs w:val="24"/>
          <w:lang w:val="zh-CN" w:eastAsia="zh-CN"/>
        </w:rPr>
        <w:t>，用于控制地方有害生物（即某国内部已经出现过的有害生物），这方面存在有效的甲基溴替代品（例如，高温和低温、辐照、木材去皮、磷化氢、甲酸乙酯、氰化氢、乙二腈）。这些替代品对人类、环境和被处理的产品而言更加安全。</w:t>
      </w:r>
    </w:p>
    <w:p w14:paraId="2FA556A2"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他强调，检疫和装运前用途排放了超过</w:t>
      </w:r>
      <w:proofErr w:type="gramStart"/>
      <w:r w:rsidRPr="009B423C">
        <w:rPr>
          <w:rFonts w:eastAsia="SimSun"/>
          <w:sz w:val="24"/>
          <w:szCs w:val="24"/>
          <w:lang w:val="zh-CN" w:eastAsia="zh-CN"/>
        </w:rPr>
        <w:t>6 000</w:t>
      </w:r>
      <w:r w:rsidRPr="009B423C">
        <w:rPr>
          <w:rFonts w:eastAsia="SimSun"/>
          <w:sz w:val="24"/>
          <w:szCs w:val="24"/>
          <w:lang w:val="zh-CN" w:eastAsia="zh-CN"/>
        </w:rPr>
        <w:t>吨</w:t>
      </w:r>
      <w:proofErr w:type="gramEnd"/>
      <w:r w:rsidRPr="009B423C">
        <w:rPr>
          <w:rFonts w:eastAsia="SimSun"/>
          <w:sz w:val="24"/>
          <w:szCs w:val="24"/>
          <w:lang w:val="zh-CN" w:eastAsia="zh-CN"/>
        </w:rPr>
        <w:t>甲基溴，但这些排放是可以避免的（如新西兰的变化情况所表明）。最后，他指出，缔约方不妨考虑如何减少所有检疫和装运前用途的排放量；限制装运前用途的甲基溴豁免，以鼓励采用有效的替代品；专注于检疫用途，以确保能够开发出有效的替代品；提高检疫与装运前用途的甲基溴数量对比报告的准确性。</w:t>
      </w:r>
    </w:p>
    <w:p w14:paraId="74F94297" w14:textId="1ED1EA66"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bCs/>
          <w:sz w:val="28"/>
          <w:szCs w:val="28"/>
          <w:lang w:val="zh-CN" w:eastAsia="zh-CN"/>
        </w:rPr>
      </w:pPr>
      <w:r w:rsidRPr="009B423C">
        <w:rPr>
          <w:rFonts w:eastAsia="SimHei"/>
          <w:bCs/>
          <w:sz w:val="28"/>
          <w:szCs w:val="28"/>
          <w:lang w:val="zh-CN" w:eastAsia="zh-CN"/>
        </w:rPr>
        <w:t>医疗和化学品技术选择委员会</w:t>
      </w:r>
    </w:p>
    <w:p w14:paraId="197C8E79"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医疗和化学品技术选择委员会（医化技选委员会）共同主席</w:t>
      </w:r>
      <w:r w:rsidRPr="009B423C">
        <w:rPr>
          <w:rFonts w:eastAsia="SimSun"/>
          <w:sz w:val="24"/>
          <w:szCs w:val="24"/>
          <w:lang w:val="zh-CN" w:eastAsia="zh-CN"/>
        </w:rPr>
        <w:t>Helen Tope</w:t>
      </w:r>
      <w:r w:rsidRPr="009B423C">
        <w:rPr>
          <w:rFonts w:eastAsia="SimSun"/>
          <w:sz w:val="24"/>
          <w:szCs w:val="24"/>
          <w:lang w:val="zh-CN" w:eastAsia="zh-CN"/>
        </w:rPr>
        <w:t>代表委员会共同主席和成员介绍了最新进展情况。她介绍说，医化技选委员会已在</w:t>
      </w:r>
      <w:r w:rsidRPr="009B423C">
        <w:rPr>
          <w:rFonts w:eastAsia="SimSun"/>
          <w:sz w:val="24"/>
          <w:szCs w:val="24"/>
          <w:lang w:val="zh-CN" w:eastAsia="zh-CN"/>
        </w:rPr>
        <w:t>2026</w:t>
      </w:r>
      <w:r w:rsidRPr="009B423C">
        <w:rPr>
          <w:rFonts w:eastAsia="SimSun"/>
          <w:sz w:val="24"/>
          <w:szCs w:val="24"/>
          <w:lang w:val="zh-CN" w:eastAsia="zh-CN"/>
        </w:rPr>
        <w:t>年进度报告中更新了关于原料用途的臭氧消耗物质生产的信息，并指出原料用途不受《蒙特利尔议定书》控制措施的约束。</w:t>
      </w:r>
      <w:r w:rsidRPr="009B423C">
        <w:rPr>
          <w:rFonts w:eastAsia="SimSun"/>
          <w:sz w:val="24"/>
          <w:szCs w:val="24"/>
          <w:lang w:val="zh-CN" w:eastAsia="zh-CN"/>
        </w:rPr>
        <w:t>2024</w:t>
      </w:r>
      <w:r w:rsidRPr="009B423C">
        <w:rPr>
          <w:rFonts w:eastAsia="SimSun"/>
          <w:sz w:val="24"/>
          <w:szCs w:val="24"/>
          <w:lang w:val="zh-CN" w:eastAsia="zh-CN"/>
        </w:rPr>
        <w:t>年报告的原料用途臭氧消耗物质生产和进口总量保持相对稳定，为</w:t>
      </w:r>
      <w:r w:rsidRPr="009B423C">
        <w:rPr>
          <w:rFonts w:eastAsia="SimSun"/>
          <w:sz w:val="24"/>
          <w:szCs w:val="24"/>
          <w:lang w:val="zh-CN" w:eastAsia="zh-CN"/>
        </w:rPr>
        <w:t>195</w:t>
      </w:r>
      <w:r w:rsidRPr="009B423C">
        <w:rPr>
          <w:rFonts w:eastAsia="SimSun"/>
          <w:sz w:val="24"/>
          <w:szCs w:val="24"/>
          <w:lang w:val="zh-CN" w:eastAsia="zh-CN"/>
        </w:rPr>
        <w:t>万吨，而</w:t>
      </w:r>
      <w:r w:rsidRPr="009B423C">
        <w:rPr>
          <w:rFonts w:eastAsia="SimSun"/>
          <w:sz w:val="24"/>
          <w:szCs w:val="24"/>
          <w:lang w:val="zh-CN" w:eastAsia="zh-CN"/>
        </w:rPr>
        <w:t>2023</w:t>
      </w:r>
      <w:r w:rsidRPr="009B423C">
        <w:rPr>
          <w:rFonts w:eastAsia="SimSun"/>
          <w:sz w:val="24"/>
          <w:szCs w:val="24"/>
          <w:lang w:val="zh-CN" w:eastAsia="zh-CN"/>
        </w:rPr>
        <w:t>年为</w:t>
      </w:r>
      <w:r w:rsidRPr="009B423C">
        <w:rPr>
          <w:rFonts w:eastAsia="SimSun"/>
          <w:sz w:val="24"/>
          <w:szCs w:val="24"/>
          <w:lang w:val="zh-CN" w:eastAsia="zh-CN"/>
        </w:rPr>
        <w:t>197</w:t>
      </w:r>
      <w:r w:rsidRPr="009B423C">
        <w:rPr>
          <w:rFonts w:eastAsia="SimSun"/>
          <w:sz w:val="24"/>
          <w:szCs w:val="24"/>
          <w:lang w:val="zh-CN" w:eastAsia="zh-CN"/>
        </w:rPr>
        <w:t>万吨。她解释说，自</w:t>
      </w:r>
      <w:r w:rsidRPr="009B423C">
        <w:rPr>
          <w:rFonts w:eastAsia="SimSun"/>
          <w:sz w:val="24"/>
          <w:szCs w:val="24"/>
          <w:lang w:val="zh-CN" w:eastAsia="zh-CN"/>
        </w:rPr>
        <w:t>2020</w:t>
      </w:r>
      <w:r w:rsidRPr="009B423C">
        <w:rPr>
          <w:rFonts w:eastAsia="SimSun"/>
          <w:sz w:val="24"/>
          <w:szCs w:val="24"/>
          <w:lang w:val="zh-CN" w:eastAsia="zh-CN"/>
        </w:rPr>
        <w:t>年以来原料产量的增加主要是由于更多使用了臭氧消耗潜能值较低的含氢氯氟烃原料，特别是二氟氯甲烷。她解释说，臭氧消耗潜能吨的趋势反映了原料化学品组合及其各自的臭氧消耗潜能值随时间的变化。虽然报告的臭氧消耗潜能吨产量在</w:t>
      </w:r>
      <w:r w:rsidRPr="009B423C">
        <w:rPr>
          <w:rFonts w:eastAsia="SimSun"/>
          <w:sz w:val="24"/>
          <w:szCs w:val="24"/>
          <w:lang w:val="zh-CN" w:eastAsia="zh-CN"/>
        </w:rPr>
        <w:t>1993</w:t>
      </w:r>
      <w:r w:rsidRPr="009B423C">
        <w:rPr>
          <w:rFonts w:eastAsia="SimSun"/>
          <w:sz w:val="24"/>
          <w:szCs w:val="24"/>
          <w:lang w:val="zh-CN" w:eastAsia="zh-CN"/>
        </w:rPr>
        <w:t>年达到历史最高值，但她指出，</w:t>
      </w:r>
      <w:r w:rsidRPr="009B423C">
        <w:rPr>
          <w:rFonts w:eastAsia="SimSun"/>
          <w:sz w:val="24"/>
          <w:szCs w:val="24"/>
          <w:lang w:val="zh-CN" w:eastAsia="zh-CN"/>
        </w:rPr>
        <w:t>2022</w:t>
      </w:r>
      <w:r w:rsidRPr="009B423C">
        <w:rPr>
          <w:rFonts w:eastAsia="SimSun"/>
          <w:sz w:val="24"/>
          <w:szCs w:val="24"/>
          <w:lang w:val="zh-CN" w:eastAsia="zh-CN"/>
        </w:rPr>
        <w:t>年的峰值仍低于这一水平。她还强调，</w:t>
      </w:r>
      <w:r w:rsidRPr="009B423C">
        <w:rPr>
          <w:rFonts w:eastAsia="SimSun"/>
          <w:sz w:val="24"/>
          <w:szCs w:val="24"/>
          <w:lang w:val="zh-CN" w:eastAsia="zh-CN"/>
        </w:rPr>
        <w:t>2024</w:t>
      </w:r>
      <w:r w:rsidRPr="009B423C">
        <w:rPr>
          <w:rFonts w:eastAsia="SimSun"/>
          <w:sz w:val="24"/>
          <w:szCs w:val="24"/>
          <w:lang w:val="zh-CN" w:eastAsia="zh-CN"/>
        </w:rPr>
        <w:t>年的原料用途氢氟碳化物产量较</w:t>
      </w:r>
      <w:r w:rsidRPr="009B423C">
        <w:rPr>
          <w:rFonts w:eastAsia="SimSun"/>
          <w:sz w:val="24"/>
          <w:szCs w:val="24"/>
          <w:lang w:val="zh-CN" w:eastAsia="zh-CN"/>
        </w:rPr>
        <w:t>2023</w:t>
      </w:r>
      <w:r w:rsidRPr="009B423C">
        <w:rPr>
          <w:rFonts w:eastAsia="SimSun"/>
          <w:sz w:val="24"/>
          <w:szCs w:val="24"/>
          <w:lang w:val="zh-CN" w:eastAsia="zh-CN"/>
        </w:rPr>
        <w:t>年有所增加，主要推动因素为</w:t>
      </w:r>
      <w:r w:rsidRPr="009B423C">
        <w:rPr>
          <w:rFonts w:eastAsia="SimSun"/>
          <w:sz w:val="24"/>
          <w:szCs w:val="24"/>
          <w:lang w:val="zh-CN" w:eastAsia="zh-CN"/>
        </w:rPr>
        <w:t>HFC-152a</w:t>
      </w:r>
      <w:r w:rsidRPr="009B423C">
        <w:rPr>
          <w:rFonts w:eastAsia="SimSun"/>
          <w:sz w:val="24"/>
          <w:szCs w:val="24"/>
          <w:lang w:val="zh-CN" w:eastAsia="zh-CN"/>
        </w:rPr>
        <w:t>。</w:t>
      </w:r>
    </w:p>
    <w:p w14:paraId="5A7275EC"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lastRenderedPageBreak/>
        <w:t>然后，她概述了医化技选委员会针对加拿大提交材料对销毁技术进行的评估。她回顾了《蒙特利尔议定书》关于销毁技术的相关决定，并解释说，虽然除了三氟甲烷外，受控物质的销毁并非强制性，但在按照《议定书》关于生产和消费的定义报告受控物质销毁量时，须采用经批准的销毁技术。她说明了技经评估组如何根据销毁和清除效率对销毁技术进行评估，并根据医化技选委员会制定的评估标准就其他污染物的排放和技术能力提供咨询意见。她介绍说，加拿大已提交了一项获得专利的蒸汽等离子弧技术以供评估，医化技选委员会已代表技经评估组评估了这项技术。尽管其在技术上与之前批准的可以使用蒸汽的氩气和氮气等离子弧技术相似，但医化技选委员会认为蒸汽等离子弧代表了一个独特的技术类别。她指出，支持性数据涵盖的受控物质范围比现有已批准的等离子体弧技术要窄，并表示缔约方不妨批准将蒸汽等离子体弧用于销毁附件</w:t>
      </w:r>
      <w:r w:rsidRPr="009B423C">
        <w:rPr>
          <w:rFonts w:eastAsia="SimSun"/>
          <w:sz w:val="24"/>
          <w:szCs w:val="24"/>
          <w:lang w:val="zh-CN" w:eastAsia="zh-CN"/>
        </w:rPr>
        <w:t>A</w:t>
      </w:r>
      <w:r w:rsidRPr="009B423C">
        <w:rPr>
          <w:rFonts w:eastAsia="SimSun"/>
          <w:sz w:val="24"/>
          <w:szCs w:val="24"/>
          <w:lang w:val="zh-CN" w:eastAsia="zh-CN"/>
        </w:rPr>
        <w:t>第一类、附件</w:t>
      </w:r>
      <w:r w:rsidRPr="009B423C">
        <w:rPr>
          <w:rFonts w:eastAsia="SimSun"/>
          <w:sz w:val="24"/>
          <w:szCs w:val="24"/>
          <w:lang w:val="zh-CN" w:eastAsia="zh-CN"/>
        </w:rPr>
        <w:t>C</w:t>
      </w:r>
      <w:r w:rsidRPr="009B423C">
        <w:rPr>
          <w:rFonts w:eastAsia="SimSun"/>
          <w:sz w:val="24"/>
          <w:szCs w:val="24"/>
          <w:lang w:val="zh-CN" w:eastAsia="zh-CN"/>
        </w:rPr>
        <w:t>第一类和附件</w:t>
      </w:r>
      <w:r w:rsidRPr="009B423C">
        <w:rPr>
          <w:rFonts w:eastAsia="SimSun"/>
          <w:sz w:val="24"/>
          <w:szCs w:val="24"/>
          <w:lang w:val="zh-CN" w:eastAsia="zh-CN"/>
        </w:rPr>
        <w:t>F</w:t>
      </w:r>
      <w:r w:rsidRPr="009B423C">
        <w:rPr>
          <w:rFonts w:eastAsia="SimSun"/>
          <w:sz w:val="24"/>
          <w:szCs w:val="24"/>
          <w:lang w:val="zh-CN" w:eastAsia="zh-CN"/>
        </w:rPr>
        <w:t>第一类受控物质浓缩来源，以实现《蒙特利尔议定书》之目的。</w:t>
      </w:r>
    </w:p>
    <w:p w14:paraId="7422C0E3"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她还根据第</w:t>
      </w:r>
      <w:r w:rsidRPr="009B423C">
        <w:rPr>
          <w:rFonts w:eastAsia="SimSun"/>
          <w:sz w:val="24"/>
          <w:szCs w:val="24"/>
          <w:lang w:val="zh-CN" w:eastAsia="zh-CN"/>
        </w:rPr>
        <w:t>XXXVI/6</w:t>
      </w:r>
      <w:r w:rsidRPr="009B423C">
        <w:rPr>
          <w:rFonts w:eastAsia="SimSun"/>
          <w:sz w:val="24"/>
          <w:szCs w:val="24"/>
          <w:lang w:val="zh-CN" w:eastAsia="zh-CN"/>
        </w:rPr>
        <w:t>号决定，提供了与用于加压计量吸入器的低全球升温潜能值推进剂相关的最新动态。她指出，医化技选委员会将在</w:t>
      </w:r>
      <w:r w:rsidRPr="009B423C">
        <w:rPr>
          <w:rFonts w:eastAsia="SimSun"/>
          <w:sz w:val="24"/>
          <w:szCs w:val="24"/>
          <w:lang w:val="zh-CN" w:eastAsia="zh-CN"/>
        </w:rPr>
        <w:t>2026</w:t>
      </w:r>
      <w:r w:rsidRPr="009B423C">
        <w:rPr>
          <w:rFonts w:eastAsia="SimSun"/>
          <w:sz w:val="24"/>
          <w:szCs w:val="24"/>
          <w:lang w:val="zh-CN" w:eastAsia="zh-CN"/>
        </w:rPr>
        <w:t>年评估报告中提供更全面的评估。她解释说，加压计量吸入器仍占全球处方呼吸治疗剂量的约</w:t>
      </w:r>
      <w:r w:rsidRPr="009B423C">
        <w:rPr>
          <w:rFonts w:eastAsia="SimSun"/>
          <w:sz w:val="24"/>
          <w:szCs w:val="24"/>
          <w:lang w:val="zh-CN" w:eastAsia="zh-CN"/>
        </w:rPr>
        <w:t>70%</w:t>
      </w:r>
      <w:r w:rsidRPr="009B423C">
        <w:rPr>
          <w:rFonts w:eastAsia="SimSun"/>
          <w:sz w:val="24"/>
          <w:szCs w:val="24"/>
          <w:lang w:val="zh-CN" w:eastAsia="zh-CN"/>
        </w:rPr>
        <w:t>，并强调向较低全球升温潜能值推进剂的过渡会在技术、监管、商业和患者方面带来重大挑战。其中包括维持产品安全性和有效性、确保药品级氢氟碳化物的持续供应、保持替代吸入器技术的可用性和可负担性、确保监管机构批准以及实现患者接受。</w:t>
      </w:r>
    </w:p>
    <w:p w14:paraId="744EC2B7"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她介绍说，两种全球升温潜能值较低的推进剂，即</w:t>
      </w:r>
      <w:r w:rsidRPr="009B423C">
        <w:rPr>
          <w:rFonts w:eastAsia="SimSun"/>
          <w:sz w:val="24"/>
          <w:szCs w:val="24"/>
          <w:lang w:val="zh-CN" w:eastAsia="zh-CN"/>
        </w:rPr>
        <w:t>HFO-1234ze</w:t>
      </w:r>
      <w:proofErr w:type="gramStart"/>
      <w:r w:rsidRPr="009B423C">
        <w:rPr>
          <w:rFonts w:eastAsia="SimSun"/>
          <w:sz w:val="24"/>
          <w:szCs w:val="24"/>
          <w:lang w:val="zh-CN" w:eastAsia="zh-CN"/>
        </w:rPr>
        <w:t>(E)</w:t>
      </w:r>
      <w:proofErr w:type="gramEnd"/>
      <w:r w:rsidRPr="009B423C">
        <w:rPr>
          <w:rFonts w:eastAsia="SimSun"/>
          <w:sz w:val="24"/>
          <w:szCs w:val="24"/>
          <w:lang w:val="zh-CN" w:eastAsia="zh-CN"/>
        </w:rPr>
        <w:t>，正在开发用于加压计量吸入器；全球至少有十家公司正在积极开发使用一种或两种推进剂的产品，其中包括孟加拉国、印度和拉丁美洲的制造商。她强调，第一款含有</w:t>
      </w:r>
      <w:r w:rsidRPr="009B423C">
        <w:rPr>
          <w:rFonts w:eastAsia="SimSun"/>
          <w:sz w:val="24"/>
          <w:szCs w:val="24"/>
          <w:lang w:val="zh-CN" w:eastAsia="zh-CN"/>
        </w:rPr>
        <w:t>HFO-1234ze</w:t>
      </w:r>
      <w:proofErr w:type="gramStart"/>
      <w:r w:rsidRPr="009B423C">
        <w:rPr>
          <w:rFonts w:eastAsia="SimSun"/>
          <w:sz w:val="24"/>
          <w:szCs w:val="24"/>
          <w:lang w:val="zh-CN" w:eastAsia="zh-CN"/>
        </w:rPr>
        <w:t>(E)</w:t>
      </w:r>
      <w:proofErr w:type="gramEnd"/>
      <w:r w:rsidRPr="009B423C">
        <w:rPr>
          <w:rFonts w:eastAsia="SimSun"/>
          <w:sz w:val="24"/>
          <w:szCs w:val="24"/>
          <w:lang w:val="zh-CN" w:eastAsia="zh-CN"/>
        </w:rPr>
        <w:t>的加压计量吸入器已在英国上市，随后获准在澳大利亚、欧洲和新西兰使用，而含有新型推进剂的其他产品或是已提交监管机构审批，或是已成功完成临床研究。</w:t>
      </w:r>
    </w:p>
    <w:p w14:paraId="0C90E93C"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最后，她总结了低收入和中等收入国家（特别是第</w:t>
      </w:r>
      <w:r w:rsidRPr="009B423C">
        <w:rPr>
          <w:rFonts w:eastAsia="SimSun"/>
          <w:sz w:val="24"/>
          <w:szCs w:val="24"/>
          <w:lang w:val="zh-CN" w:eastAsia="zh-CN"/>
        </w:rPr>
        <w:t>5</w:t>
      </w:r>
      <w:r w:rsidRPr="009B423C">
        <w:rPr>
          <w:rFonts w:eastAsia="SimSun"/>
          <w:sz w:val="24"/>
          <w:szCs w:val="24"/>
          <w:lang w:val="zh-CN" w:eastAsia="zh-CN"/>
        </w:rPr>
        <w:t>条市场）向低全球升温潜能值吸入器过渡的相关挑战。她指出，与获取途径、负担能力和医疗基础设施相关的持续性根本问题仍然是令人严重关切的问题，即使吸入器成本的小幅上涨也可能会限制患者的获取机会。她解释说，由于获得技术、投资和监管专业知识的机会有限，中小制造商面临着额外的挑战，这可能会加剧呼吸照护领域的全球差异。她指出，中小制造商与大型合同制造商的合作伙伴关系可以支持持续供应，同时保持负担能力。她最后指出，中国和印度现有的推进剂供应商可以帮助确保在过渡期间继续供应药品级</w:t>
      </w:r>
      <w:r w:rsidRPr="009B423C">
        <w:rPr>
          <w:rFonts w:eastAsia="SimSun"/>
          <w:sz w:val="24"/>
          <w:szCs w:val="24"/>
          <w:lang w:val="zh-CN" w:eastAsia="zh-CN"/>
        </w:rPr>
        <w:t>HFC-134a</w:t>
      </w:r>
      <w:r w:rsidRPr="009B423C">
        <w:rPr>
          <w:rFonts w:eastAsia="SimSun"/>
          <w:sz w:val="24"/>
          <w:szCs w:val="24"/>
          <w:lang w:val="zh-CN" w:eastAsia="zh-CN"/>
        </w:rPr>
        <w:t>，尽管氢氟碳化物逐步削减时间表以及制冷、空调和热泵行业的竞争性需求可能会造成未来的供应和定价压力。</w:t>
      </w:r>
    </w:p>
    <w:p w14:paraId="2E5054ED" w14:textId="77B4DE4E"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bCs/>
          <w:sz w:val="28"/>
          <w:szCs w:val="28"/>
          <w:lang w:val="zh-CN" w:eastAsia="zh-CN"/>
        </w:rPr>
      </w:pPr>
      <w:r w:rsidRPr="009B423C">
        <w:rPr>
          <w:rFonts w:eastAsia="SimHei"/>
          <w:bCs/>
          <w:sz w:val="28"/>
          <w:szCs w:val="28"/>
          <w:lang w:val="zh-CN" w:eastAsia="zh-CN"/>
        </w:rPr>
        <w:t>制冷、空调和热泵技术选择委员会</w:t>
      </w:r>
    </w:p>
    <w:p w14:paraId="5AD6CF6E"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共同主席</w:t>
      </w:r>
      <w:r w:rsidRPr="009B423C">
        <w:rPr>
          <w:rFonts w:eastAsia="SimSun"/>
          <w:sz w:val="24"/>
          <w:szCs w:val="24"/>
          <w:lang w:eastAsia="zh-CN"/>
        </w:rPr>
        <w:t>Rajan Rajendran</w:t>
      </w:r>
      <w:r w:rsidRPr="009B423C">
        <w:rPr>
          <w:rFonts w:eastAsia="SimSun"/>
          <w:sz w:val="24"/>
          <w:szCs w:val="24"/>
          <w:lang w:val="zh-CN" w:eastAsia="zh-CN"/>
        </w:rPr>
        <w:t>代表其余三位共同主席</w:t>
      </w:r>
      <w:r w:rsidRPr="009B423C">
        <w:rPr>
          <w:rFonts w:eastAsia="SimSun"/>
          <w:sz w:val="24"/>
          <w:szCs w:val="24"/>
          <w:lang w:eastAsia="zh-CN"/>
        </w:rPr>
        <w:t>Omar Abdelaziz</w:t>
      </w:r>
      <w:r w:rsidRPr="009B423C">
        <w:rPr>
          <w:rFonts w:eastAsia="SimSun"/>
          <w:sz w:val="24"/>
          <w:szCs w:val="24"/>
          <w:lang w:val="zh-CN" w:eastAsia="zh-CN"/>
        </w:rPr>
        <w:t>、</w:t>
      </w:r>
      <w:r w:rsidRPr="009B423C">
        <w:rPr>
          <w:rFonts w:eastAsia="SimSun"/>
          <w:sz w:val="24"/>
          <w:szCs w:val="24"/>
          <w:lang w:eastAsia="zh-CN"/>
        </w:rPr>
        <w:t>Roberto Peixoto</w:t>
      </w:r>
      <w:r w:rsidRPr="009B423C">
        <w:rPr>
          <w:rFonts w:eastAsia="SimSun"/>
          <w:sz w:val="24"/>
          <w:szCs w:val="24"/>
          <w:lang w:val="zh-CN" w:eastAsia="zh-CN"/>
        </w:rPr>
        <w:t>和</w:t>
      </w:r>
      <w:r w:rsidRPr="009B423C">
        <w:rPr>
          <w:rFonts w:eastAsia="SimSun"/>
          <w:sz w:val="24"/>
          <w:szCs w:val="24"/>
          <w:lang w:eastAsia="zh-CN"/>
        </w:rPr>
        <w:t>Fabio Polonara</w:t>
      </w:r>
      <w:r w:rsidRPr="009B423C">
        <w:rPr>
          <w:rFonts w:eastAsia="SimSun"/>
          <w:sz w:val="24"/>
          <w:szCs w:val="24"/>
          <w:lang w:val="zh-CN" w:eastAsia="zh-CN"/>
        </w:rPr>
        <w:t>作了发言。</w:t>
      </w:r>
      <w:r w:rsidRPr="009B423C">
        <w:rPr>
          <w:rFonts w:eastAsia="SimSun"/>
          <w:sz w:val="24"/>
          <w:szCs w:val="24"/>
          <w:lang w:eastAsia="zh-CN"/>
        </w:rPr>
        <w:t>Rajendran</w:t>
      </w:r>
      <w:r w:rsidRPr="009B423C">
        <w:rPr>
          <w:rFonts w:eastAsia="SimSun"/>
          <w:sz w:val="24"/>
          <w:szCs w:val="24"/>
          <w:lang w:val="zh-CN" w:eastAsia="zh-CN"/>
        </w:rPr>
        <w:t>先生首先介绍了跨领域专题的最新情况</w:t>
      </w:r>
      <w:r w:rsidRPr="009B423C">
        <w:rPr>
          <w:rFonts w:eastAsia="SimSun"/>
          <w:sz w:val="24"/>
          <w:szCs w:val="24"/>
          <w:lang w:eastAsia="zh-CN"/>
        </w:rPr>
        <w:t>，</w:t>
      </w:r>
      <w:r w:rsidRPr="009B423C">
        <w:rPr>
          <w:rFonts w:eastAsia="SimSun"/>
          <w:sz w:val="24"/>
          <w:szCs w:val="24"/>
          <w:lang w:val="zh-CN" w:eastAsia="zh-CN"/>
        </w:rPr>
        <w:t>然后介绍了舒适制冷和供暖</w:t>
      </w:r>
      <w:r w:rsidRPr="009B423C">
        <w:rPr>
          <w:rFonts w:eastAsia="SimSun"/>
          <w:sz w:val="24"/>
          <w:szCs w:val="24"/>
          <w:lang w:eastAsia="zh-CN"/>
        </w:rPr>
        <w:t>，</w:t>
      </w:r>
      <w:r w:rsidRPr="009B423C">
        <w:rPr>
          <w:rFonts w:eastAsia="SimSun"/>
          <w:sz w:val="24"/>
          <w:szCs w:val="24"/>
          <w:lang w:val="zh-CN" w:eastAsia="zh-CN"/>
        </w:rPr>
        <w:t>最后是冷链和非同类技术。然后，他回顾了制冷剂生命周期管理的最新情况，结束了制冷技选委员会的发言。</w:t>
      </w:r>
    </w:p>
    <w:p w14:paraId="7DE085CD" w14:textId="77777777" w:rsidR="00B906B9" w:rsidRPr="009B423C" w:rsidRDefault="00B906B9" w:rsidP="009B423C">
      <w:pPr>
        <w:pStyle w:val="CH3"/>
        <w:jc w:val="both"/>
        <w:rPr>
          <w:rFonts w:ascii="SimHei" w:eastAsia="SimHei" w:hAnsi="SimHei"/>
          <w:sz w:val="24"/>
          <w:szCs w:val="24"/>
        </w:rPr>
      </w:pPr>
      <w:r w:rsidRPr="009B423C">
        <w:rPr>
          <w:rFonts w:eastAsia="SimSun"/>
          <w:sz w:val="24"/>
          <w:szCs w:val="24"/>
          <w:lang w:val="zh-CN" w:eastAsia="zh-CN"/>
        </w:rPr>
        <w:lastRenderedPageBreak/>
        <w:tab/>
      </w:r>
      <w:r w:rsidRPr="009B423C">
        <w:rPr>
          <w:rFonts w:eastAsia="SimSun"/>
          <w:sz w:val="24"/>
          <w:szCs w:val="24"/>
          <w:lang w:val="zh-CN" w:eastAsia="zh-CN"/>
        </w:rPr>
        <w:tab/>
      </w:r>
      <w:proofErr w:type="spellStart"/>
      <w:r w:rsidRPr="009B423C">
        <w:rPr>
          <w:rFonts w:ascii="SimHei" w:eastAsia="SimHei" w:hAnsi="SimHei"/>
          <w:bCs/>
          <w:sz w:val="24"/>
          <w:szCs w:val="24"/>
          <w:lang w:val="zh-CN"/>
        </w:rPr>
        <w:t>跨领域专题</w:t>
      </w:r>
      <w:proofErr w:type="spellEnd"/>
    </w:p>
    <w:p w14:paraId="2979F752"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全球对制冷、空调和热泵系统的需求不断增长，带来了制冷剂直接泄漏和间接电力消耗的双重气候挑战，需要进行全面的生命周期评估。</w:t>
      </w:r>
    </w:p>
    <w:p w14:paraId="4711C35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通过隔热和遮阳等被动措施减少制冷和供暖负荷是最关键的第一步，能够将制冷需求和能源消耗减少约</w:t>
      </w:r>
      <w:r w:rsidRPr="009B423C">
        <w:rPr>
          <w:rFonts w:eastAsia="SimSun"/>
          <w:sz w:val="24"/>
          <w:szCs w:val="24"/>
          <w:lang w:val="zh-CN" w:eastAsia="zh-CN"/>
        </w:rPr>
        <w:t>30%</w:t>
      </w:r>
      <w:r w:rsidRPr="009B423C">
        <w:rPr>
          <w:rFonts w:eastAsia="SimSun"/>
          <w:sz w:val="24"/>
          <w:szCs w:val="24"/>
          <w:lang w:val="zh-CN" w:eastAsia="zh-CN"/>
        </w:rPr>
        <w:t>，并减少所需的制冷剂数量，从而符合《基加利修正》的要求。</w:t>
      </w:r>
    </w:p>
    <w:p w14:paraId="0F80473D"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ascii="SimSun" w:eastAsia="SimSun" w:hAnsi="SimSun"/>
          <w:sz w:val="24"/>
          <w:szCs w:val="24"/>
          <w:lang w:eastAsia="zh-CN"/>
        </w:rPr>
      </w:pPr>
      <w:r w:rsidRPr="009B423C">
        <w:rPr>
          <w:rFonts w:eastAsia="SimSun"/>
          <w:sz w:val="24"/>
          <w:szCs w:val="24"/>
          <w:lang w:val="zh-CN" w:eastAsia="zh-CN"/>
        </w:rPr>
        <w:t>没有单一的</w:t>
      </w:r>
      <w:r w:rsidRPr="009B423C">
        <w:rPr>
          <w:rFonts w:ascii="SimSun" w:eastAsia="SimSun" w:hAnsi="SimSun"/>
          <w:sz w:val="24"/>
          <w:szCs w:val="24"/>
          <w:lang w:val="zh-CN" w:eastAsia="zh-CN"/>
        </w:rPr>
        <w:t>“理想”制冷剂；在选择时需要平衡多个因素，包括环境影响、法律和监管义务、安全要求、性能、材料兼容性、组件可用性、可负担性以及获得合格技术人员的机会。</w:t>
      </w:r>
    </w:p>
    <w:p w14:paraId="4739A615"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去年批准了七种新混合物，已在进度报告的表</w:t>
      </w:r>
      <w:r w:rsidRPr="009B423C">
        <w:rPr>
          <w:rFonts w:eastAsia="SimSun"/>
          <w:sz w:val="24"/>
          <w:szCs w:val="24"/>
          <w:lang w:val="zh-CN" w:eastAsia="zh-CN"/>
        </w:rPr>
        <w:t>6.1</w:t>
      </w:r>
      <w:r w:rsidRPr="009B423C">
        <w:rPr>
          <w:rFonts w:eastAsia="SimSun"/>
          <w:sz w:val="24"/>
          <w:szCs w:val="24"/>
          <w:lang w:val="zh-CN" w:eastAsia="zh-CN"/>
        </w:rPr>
        <w:t>中列出。</w:t>
      </w:r>
    </w:p>
    <w:p w14:paraId="09A552F1"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通过加强收集制冷、空调和热泵相关数据的国家系统，将会提高制冷、空调和热泵库存、消费和排放的建模准确性以及实施基于证据的缓解。</w:t>
      </w:r>
    </w:p>
    <w:p w14:paraId="266B9CD4" w14:textId="77777777" w:rsidR="00B906B9" w:rsidRPr="00291473"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安全标准继续得到更新，以纳入更多类型的系统并提高安全性。进度报告中的表格转载如下：</w:t>
      </w:r>
    </w:p>
    <w:p w14:paraId="64B63168" w14:textId="34F7718A" w:rsidR="004B45A0" w:rsidRPr="00D10818" w:rsidRDefault="004B45A0" w:rsidP="00D10818">
      <w:pPr>
        <w:pStyle w:val="Titletable"/>
        <w:tabs>
          <w:tab w:val="clear" w:pos="624"/>
          <w:tab w:val="clear" w:pos="1247"/>
          <w:tab w:val="left" w:pos="1276"/>
        </w:tabs>
        <w:rPr>
          <w:rFonts w:eastAsiaTheme="minorEastAsia"/>
          <w:sz w:val="24"/>
          <w:szCs w:val="24"/>
          <w:lang w:eastAsia="zh-CN"/>
        </w:rPr>
      </w:pPr>
      <w:r w:rsidRPr="00D10818">
        <w:rPr>
          <w:rFonts w:ascii="SimSun" w:eastAsia="SimSun" w:hAnsi="SimSun" w:hint="eastAsia"/>
          <w:b w:val="0"/>
          <w:bCs w:val="0"/>
          <w:sz w:val="24"/>
          <w:szCs w:val="24"/>
          <w:lang w:eastAsia="zh-CN"/>
        </w:rPr>
        <w:t>表</w:t>
      </w:r>
      <w:r w:rsidRPr="00D10818">
        <w:rPr>
          <w:rFonts w:eastAsiaTheme="minorEastAsia"/>
          <w:b w:val="0"/>
          <w:bCs w:val="0"/>
          <w:sz w:val="24"/>
          <w:szCs w:val="24"/>
          <w:lang w:eastAsia="zh-CN"/>
        </w:rPr>
        <w:t>6.2</w:t>
      </w:r>
      <w:r w:rsidRPr="00321BA5">
        <w:rPr>
          <w:rFonts w:eastAsiaTheme="minorEastAsia"/>
          <w:lang w:eastAsia="zh-CN"/>
        </w:rPr>
        <w:t xml:space="preserve"> </w:t>
      </w:r>
      <w:r w:rsidRPr="00321BA5">
        <w:rPr>
          <w:rFonts w:eastAsiaTheme="minorEastAsia"/>
          <w:lang w:eastAsia="zh-CN"/>
        </w:rPr>
        <w:br/>
      </w:r>
      <w:r w:rsidRPr="00D10818">
        <w:rPr>
          <w:rFonts w:ascii="SimHei" w:eastAsia="SimHei" w:hAnsi="SimHei" w:hint="eastAsia"/>
          <w:sz w:val="24"/>
          <w:szCs w:val="24"/>
          <w:lang w:eastAsia="zh-CN"/>
        </w:rPr>
        <w:t>某些制冷、空调和热泵安全标准当前状况总结</w:t>
      </w:r>
    </w:p>
    <w:tbl>
      <w:tblPr>
        <w:tblStyle w:val="TableGrid"/>
        <w:tblW w:w="821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701"/>
        <w:gridCol w:w="1701"/>
        <w:gridCol w:w="3251"/>
      </w:tblGrid>
      <w:tr w:rsidR="004B45A0" w:rsidRPr="00D10818" w14:paraId="34536984" w14:textId="77777777" w:rsidTr="00B60F0B">
        <w:trPr>
          <w:trHeight w:val="57"/>
          <w:jc w:val="right"/>
        </w:trPr>
        <w:tc>
          <w:tcPr>
            <w:tcW w:w="1560" w:type="dxa"/>
            <w:tcBorders>
              <w:top w:val="single" w:sz="4" w:space="0" w:color="auto"/>
              <w:bottom w:val="single" w:sz="12" w:space="0" w:color="auto"/>
            </w:tcBorders>
          </w:tcPr>
          <w:p w14:paraId="3C924730" w14:textId="1FBBC46E" w:rsidR="004B45A0" w:rsidRPr="008C445E" w:rsidRDefault="004B45A0" w:rsidP="00BC2A48">
            <w:pPr>
              <w:pStyle w:val="Normal-pool-Table"/>
              <w:rPr>
                <w:rFonts w:ascii="KaiTi" w:eastAsia="KaiTi" w:hAnsi="KaiTi"/>
                <w:sz w:val="20"/>
              </w:rPr>
            </w:pPr>
            <w:r w:rsidRPr="008C445E">
              <w:rPr>
                <w:rFonts w:ascii="KaiTi" w:eastAsia="KaiTi" w:hAnsi="KaiTi"/>
                <w:sz w:val="20"/>
                <w:lang w:eastAsia="zh-CN"/>
              </w:rPr>
              <w:t>标准</w:t>
            </w:r>
          </w:p>
        </w:tc>
        <w:tc>
          <w:tcPr>
            <w:tcW w:w="1701" w:type="dxa"/>
            <w:tcBorders>
              <w:top w:val="single" w:sz="4" w:space="0" w:color="auto"/>
              <w:bottom w:val="single" w:sz="12" w:space="0" w:color="auto"/>
            </w:tcBorders>
          </w:tcPr>
          <w:p w14:paraId="52C1CCD6" w14:textId="0AE0A381" w:rsidR="004B45A0" w:rsidRPr="008C445E" w:rsidRDefault="004B45A0" w:rsidP="00BC2A48">
            <w:pPr>
              <w:pStyle w:val="Normal-pool-Table"/>
              <w:rPr>
                <w:rFonts w:ascii="KaiTi" w:eastAsia="KaiTi" w:hAnsi="KaiTi"/>
                <w:sz w:val="20"/>
              </w:rPr>
            </w:pPr>
            <w:r w:rsidRPr="008C445E">
              <w:rPr>
                <w:rFonts w:ascii="KaiTi" w:eastAsia="KaiTi" w:hAnsi="KaiTi"/>
                <w:sz w:val="20"/>
                <w:lang w:eastAsia="zh-CN"/>
              </w:rPr>
              <w:t>范围</w:t>
            </w:r>
          </w:p>
        </w:tc>
        <w:tc>
          <w:tcPr>
            <w:tcW w:w="1701" w:type="dxa"/>
            <w:tcBorders>
              <w:top w:val="single" w:sz="4" w:space="0" w:color="auto"/>
              <w:bottom w:val="single" w:sz="12" w:space="0" w:color="auto"/>
            </w:tcBorders>
          </w:tcPr>
          <w:p w14:paraId="6FDC03C2" w14:textId="2E19D807" w:rsidR="004B45A0" w:rsidRPr="008C445E" w:rsidRDefault="004B45A0" w:rsidP="00BC2A48">
            <w:pPr>
              <w:pStyle w:val="Normal-pool-Table"/>
              <w:rPr>
                <w:rFonts w:ascii="KaiTi" w:eastAsia="KaiTi" w:hAnsi="KaiTi"/>
                <w:sz w:val="20"/>
              </w:rPr>
            </w:pPr>
            <w:r w:rsidRPr="008C445E">
              <w:rPr>
                <w:rFonts w:ascii="KaiTi" w:eastAsia="KaiTi" w:hAnsi="KaiTi"/>
                <w:sz w:val="20"/>
                <w:lang w:eastAsia="zh-CN"/>
              </w:rPr>
              <w:t>最新状况</w:t>
            </w:r>
          </w:p>
        </w:tc>
        <w:tc>
          <w:tcPr>
            <w:tcW w:w="3251" w:type="dxa"/>
            <w:tcBorders>
              <w:top w:val="single" w:sz="4" w:space="0" w:color="auto"/>
              <w:bottom w:val="single" w:sz="12" w:space="0" w:color="auto"/>
            </w:tcBorders>
          </w:tcPr>
          <w:p w14:paraId="66891765" w14:textId="09CDD048" w:rsidR="004B45A0" w:rsidRPr="008C445E" w:rsidRDefault="004B45A0" w:rsidP="00BC2A48">
            <w:pPr>
              <w:pStyle w:val="Normal-pool-Table"/>
              <w:rPr>
                <w:rFonts w:ascii="KaiTi" w:eastAsia="KaiTi" w:hAnsi="KaiTi"/>
                <w:sz w:val="20"/>
              </w:rPr>
            </w:pPr>
            <w:r w:rsidRPr="008C445E">
              <w:rPr>
                <w:rFonts w:ascii="KaiTi" w:eastAsia="KaiTi" w:hAnsi="KaiTi"/>
                <w:sz w:val="20"/>
                <w:lang w:eastAsia="zh-CN"/>
              </w:rPr>
              <w:t>主要进展状况</w:t>
            </w:r>
          </w:p>
        </w:tc>
      </w:tr>
      <w:tr w:rsidR="004B45A0" w:rsidRPr="00D10818" w14:paraId="57610159" w14:textId="77777777" w:rsidTr="00B60F0B">
        <w:trPr>
          <w:trHeight w:val="57"/>
          <w:jc w:val="right"/>
        </w:trPr>
        <w:tc>
          <w:tcPr>
            <w:tcW w:w="1560" w:type="dxa"/>
            <w:tcBorders>
              <w:top w:val="single" w:sz="12" w:space="0" w:color="auto"/>
            </w:tcBorders>
          </w:tcPr>
          <w:p w14:paraId="7F03AF09" w14:textId="61FAA13B" w:rsidR="004B45A0" w:rsidRPr="00D10818" w:rsidRDefault="004B45A0" w:rsidP="00087CE6">
            <w:pPr>
              <w:pStyle w:val="Normal-pool-Table"/>
              <w:tabs>
                <w:tab w:val="clear" w:pos="624"/>
                <w:tab w:val="clear" w:pos="1247"/>
                <w:tab w:val="clear" w:pos="1871"/>
                <w:tab w:val="clear" w:pos="2495"/>
                <w:tab w:val="clear" w:pos="3119"/>
                <w:tab w:val="clear" w:pos="3742"/>
                <w:tab w:val="clear" w:pos="4366"/>
                <w:tab w:val="clear" w:pos="4990"/>
              </w:tabs>
              <w:ind w:rightChars="-52" w:right="-109"/>
              <w:rPr>
                <w:rFonts w:eastAsia="SimSun"/>
                <w:sz w:val="20"/>
                <w:lang w:eastAsia="zh-CN"/>
              </w:rPr>
            </w:pPr>
            <w:r w:rsidRPr="00D10818">
              <w:rPr>
                <w:rFonts w:eastAsia="SimSun"/>
                <w:sz w:val="20"/>
              </w:rPr>
              <w:t>ISO 5149</w:t>
            </w:r>
            <w:r w:rsidR="00B60F0B">
              <w:rPr>
                <w:rFonts w:eastAsia="SimSun"/>
                <w:sz w:val="20"/>
              </w:rPr>
              <w:br/>
            </w:r>
            <w:r w:rsidRPr="00D10818">
              <w:rPr>
                <w:rFonts w:eastAsia="SimSun"/>
                <w:sz w:val="20"/>
                <w:lang w:eastAsia="zh-CN"/>
              </w:rPr>
              <w:t>（</w:t>
            </w:r>
            <w:r w:rsidR="002239D1" w:rsidRPr="00D10818">
              <w:rPr>
                <w:rFonts w:eastAsia="SimSun"/>
                <w:sz w:val="20"/>
                <w:lang w:eastAsia="zh-CN"/>
              </w:rPr>
              <w:t>系列</w:t>
            </w:r>
            <w:r w:rsidRPr="00D10818">
              <w:rPr>
                <w:rFonts w:eastAsia="SimSun"/>
                <w:sz w:val="20"/>
                <w:lang w:eastAsia="zh-CN"/>
              </w:rPr>
              <w:t>）</w:t>
            </w:r>
          </w:p>
        </w:tc>
        <w:tc>
          <w:tcPr>
            <w:tcW w:w="1701" w:type="dxa"/>
            <w:tcBorders>
              <w:top w:val="single" w:sz="12" w:space="0" w:color="auto"/>
            </w:tcBorders>
          </w:tcPr>
          <w:p w14:paraId="4B5EF46A" w14:textId="67DB3EAB" w:rsidR="004B45A0" w:rsidRPr="00D10818" w:rsidRDefault="004B45A0" w:rsidP="00BC2A48">
            <w:pPr>
              <w:pStyle w:val="Normal-pool-Table"/>
              <w:rPr>
                <w:rFonts w:eastAsia="SimSun"/>
                <w:sz w:val="20"/>
                <w:lang w:eastAsia="zh-CN"/>
              </w:rPr>
            </w:pPr>
            <w:r w:rsidRPr="00D10818">
              <w:rPr>
                <w:rFonts w:eastAsia="SimSun"/>
                <w:sz w:val="20"/>
                <w:lang w:eastAsia="zh-CN"/>
              </w:rPr>
              <w:t>所有制冷、空调和热泵系统</w:t>
            </w:r>
          </w:p>
        </w:tc>
        <w:tc>
          <w:tcPr>
            <w:tcW w:w="1701" w:type="dxa"/>
            <w:tcBorders>
              <w:top w:val="single" w:sz="12" w:space="0" w:color="auto"/>
            </w:tcBorders>
          </w:tcPr>
          <w:p w14:paraId="14D36200" w14:textId="5EBF3679" w:rsidR="004B45A0" w:rsidRPr="00D10818" w:rsidRDefault="004B45A0" w:rsidP="00BC2A48">
            <w:pPr>
              <w:pStyle w:val="Normal-pool-Table"/>
              <w:rPr>
                <w:rFonts w:eastAsia="SimSun"/>
                <w:sz w:val="20"/>
              </w:rPr>
            </w:pPr>
            <w:r w:rsidRPr="00D10818">
              <w:rPr>
                <w:rFonts w:eastAsia="SimSun"/>
                <w:sz w:val="20"/>
                <w:lang w:eastAsia="zh-CN"/>
              </w:rPr>
              <w:t>正在修订</w:t>
            </w:r>
          </w:p>
        </w:tc>
        <w:tc>
          <w:tcPr>
            <w:tcW w:w="3251" w:type="dxa"/>
            <w:tcBorders>
              <w:top w:val="single" w:sz="12" w:space="0" w:color="auto"/>
            </w:tcBorders>
          </w:tcPr>
          <w:p w14:paraId="0C63452A" w14:textId="33F25E0D" w:rsidR="004B45A0" w:rsidRPr="00D10818" w:rsidRDefault="004B45A0" w:rsidP="00BC2A48">
            <w:pPr>
              <w:pStyle w:val="Normal-pool-Table"/>
              <w:rPr>
                <w:rFonts w:eastAsia="SimSun"/>
                <w:sz w:val="20"/>
                <w:lang w:eastAsia="zh-CN"/>
              </w:rPr>
            </w:pPr>
            <w:r w:rsidRPr="00D10818">
              <w:rPr>
                <w:rFonts w:eastAsia="SimSun"/>
                <w:sz w:val="20"/>
                <w:lang w:eastAsia="zh-CN"/>
              </w:rPr>
              <w:t>纳入了新的风险缓解概念（例如，可释放充注量、最新测试方法）</w:t>
            </w:r>
          </w:p>
        </w:tc>
      </w:tr>
      <w:tr w:rsidR="004B45A0" w:rsidRPr="00D10818" w14:paraId="2ADB6804" w14:textId="77777777" w:rsidTr="00B60F0B">
        <w:trPr>
          <w:trHeight w:val="57"/>
          <w:jc w:val="right"/>
        </w:trPr>
        <w:tc>
          <w:tcPr>
            <w:tcW w:w="1560" w:type="dxa"/>
          </w:tcPr>
          <w:p w14:paraId="3F7D89CD" w14:textId="77777777" w:rsidR="004B45A0" w:rsidRPr="00D10818" w:rsidRDefault="004B45A0" w:rsidP="00BC2A48">
            <w:pPr>
              <w:pStyle w:val="Normal-pool-Table"/>
              <w:rPr>
                <w:rFonts w:eastAsia="SimSun"/>
                <w:sz w:val="20"/>
              </w:rPr>
            </w:pPr>
            <w:r w:rsidRPr="00D10818">
              <w:rPr>
                <w:rFonts w:eastAsia="SimSun"/>
                <w:sz w:val="20"/>
              </w:rPr>
              <w:t>IEC 60335-2-40</w:t>
            </w:r>
          </w:p>
        </w:tc>
        <w:tc>
          <w:tcPr>
            <w:tcW w:w="1701" w:type="dxa"/>
          </w:tcPr>
          <w:p w14:paraId="4E1C487A" w14:textId="09500193" w:rsidR="004B45A0" w:rsidRPr="00D10818" w:rsidRDefault="004B45A0" w:rsidP="00BC2A48">
            <w:pPr>
              <w:pStyle w:val="Normal-pool-Table"/>
              <w:rPr>
                <w:rFonts w:eastAsia="SimSun"/>
                <w:sz w:val="20"/>
                <w:lang w:eastAsia="zh-CN"/>
              </w:rPr>
            </w:pPr>
            <w:r w:rsidRPr="00D10818">
              <w:rPr>
                <w:rFonts w:eastAsia="SimSun"/>
                <w:sz w:val="20"/>
                <w:lang w:eastAsia="zh-CN"/>
              </w:rPr>
              <w:t>空调、热泵</w:t>
            </w:r>
          </w:p>
        </w:tc>
        <w:tc>
          <w:tcPr>
            <w:tcW w:w="1701" w:type="dxa"/>
          </w:tcPr>
          <w:p w14:paraId="2E154358" w14:textId="40DFB141" w:rsidR="004B45A0" w:rsidRPr="00D10818" w:rsidRDefault="004B45A0" w:rsidP="00BC2A48">
            <w:pPr>
              <w:pStyle w:val="Normal-pool-Table"/>
              <w:rPr>
                <w:rFonts w:eastAsia="SimSun"/>
                <w:sz w:val="20"/>
              </w:rPr>
            </w:pPr>
            <w:r w:rsidRPr="00D10818">
              <w:rPr>
                <w:rFonts w:eastAsia="SimSun"/>
                <w:sz w:val="20"/>
                <w:lang w:eastAsia="zh-CN"/>
              </w:rPr>
              <w:t>正在修订</w:t>
            </w:r>
          </w:p>
        </w:tc>
        <w:tc>
          <w:tcPr>
            <w:tcW w:w="3251" w:type="dxa"/>
          </w:tcPr>
          <w:p w14:paraId="00C54457" w14:textId="00D3B50B" w:rsidR="004B45A0" w:rsidRPr="00D10818" w:rsidRDefault="004B45A0" w:rsidP="00BC2A48">
            <w:pPr>
              <w:pStyle w:val="Normal-pool-Table"/>
              <w:rPr>
                <w:rFonts w:eastAsia="SimSun"/>
                <w:sz w:val="20"/>
                <w:lang w:eastAsia="zh-CN"/>
              </w:rPr>
            </w:pPr>
            <w:r w:rsidRPr="00D10818">
              <w:rPr>
                <w:rFonts w:eastAsia="SimSun"/>
                <w:sz w:val="20"/>
                <w:lang w:eastAsia="zh-CN"/>
              </w:rPr>
              <w:t>扩充了针对易燃制冷剂、充注限值、缓解措施的规定</w:t>
            </w:r>
          </w:p>
        </w:tc>
      </w:tr>
      <w:tr w:rsidR="004B45A0" w:rsidRPr="00D10818" w14:paraId="2D9E53F3" w14:textId="77777777" w:rsidTr="00B60F0B">
        <w:trPr>
          <w:trHeight w:val="57"/>
          <w:jc w:val="right"/>
        </w:trPr>
        <w:tc>
          <w:tcPr>
            <w:tcW w:w="1560" w:type="dxa"/>
          </w:tcPr>
          <w:p w14:paraId="3E3233F3" w14:textId="77777777" w:rsidR="004B45A0" w:rsidRPr="00D10818" w:rsidRDefault="004B45A0" w:rsidP="00BC2A48">
            <w:pPr>
              <w:pStyle w:val="Normal-pool-Table"/>
              <w:rPr>
                <w:rFonts w:eastAsia="SimSun"/>
                <w:sz w:val="20"/>
              </w:rPr>
            </w:pPr>
            <w:r w:rsidRPr="00D10818">
              <w:rPr>
                <w:rFonts w:eastAsia="SimSun"/>
                <w:sz w:val="20"/>
              </w:rPr>
              <w:t>IEC 60335-2-89</w:t>
            </w:r>
          </w:p>
        </w:tc>
        <w:tc>
          <w:tcPr>
            <w:tcW w:w="1701" w:type="dxa"/>
          </w:tcPr>
          <w:p w14:paraId="26FFD618" w14:textId="6688D2DF" w:rsidR="004B45A0" w:rsidRPr="00D10818" w:rsidRDefault="004B45A0" w:rsidP="00BC2A48">
            <w:pPr>
              <w:pStyle w:val="Normal-pool-Table"/>
              <w:rPr>
                <w:rFonts w:eastAsia="SimSun"/>
                <w:sz w:val="20"/>
                <w:lang w:eastAsia="zh-CN"/>
              </w:rPr>
            </w:pPr>
            <w:r w:rsidRPr="00D10818">
              <w:rPr>
                <w:rFonts w:eastAsia="SimSun"/>
                <w:sz w:val="20"/>
                <w:lang w:eastAsia="zh-CN"/>
              </w:rPr>
              <w:t>商用制冷设备</w:t>
            </w:r>
          </w:p>
        </w:tc>
        <w:tc>
          <w:tcPr>
            <w:tcW w:w="1701" w:type="dxa"/>
          </w:tcPr>
          <w:p w14:paraId="3FC52C96" w14:textId="0FDC62CF" w:rsidR="004B45A0" w:rsidRPr="00D10818" w:rsidRDefault="004B45A0" w:rsidP="00BC2A48">
            <w:pPr>
              <w:pStyle w:val="Normal-pool-Table"/>
              <w:rPr>
                <w:rFonts w:eastAsia="SimSun"/>
                <w:sz w:val="20"/>
              </w:rPr>
            </w:pPr>
            <w:r w:rsidRPr="00D10818">
              <w:rPr>
                <w:rFonts w:eastAsia="SimSun"/>
                <w:sz w:val="20"/>
                <w:lang w:eastAsia="zh-CN"/>
              </w:rPr>
              <w:t>正在修订</w:t>
            </w:r>
          </w:p>
        </w:tc>
        <w:tc>
          <w:tcPr>
            <w:tcW w:w="3251" w:type="dxa"/>
          </w:tcPr>
          <w:p w14:paraId="0A4C567B" w14:textId="2C8AC5F0" w:rsidR="004B45A0" w:rsidRPr="00D10818" w:rsidRDefault="00F37632" w:rsidP="008C445E">
            <w:pPr>
              <w:pStyle w:val="Normal-pool-Table"/>
              <w:tabs>
                <w:tab w:val="clear" w:pos="3119"/>
                <w:tab w:val="left" w:pos="2727"/>
              </w:tabs>
              <w:ind w:rightChars="149" w:right="313"/>
              <w:rPr>
                <w:rFonts w:eastAsia="SimSun"/>
                <w:sz w:val="20"/>
                <w:lang w:eastAsia="zh-CN"/>
              </w:rPr>
            </w:pPr>
            <w:r w:rsidRPr="00D10818">
              <w:rPr>
                <w:rFonts w:eastAsia="SimSun"/>
                <w:sz w:val="20"/>
                <w:lang w:eastAsia="zh-CN"/>
              </w:rPr>
              <w:t>纳入了分体式系统、使用可燃制冷剂的小型冷库</w:t>
            </w:r>
          </w:p>
        </w:tc>
      </w:tr>
      <w:tr w:rsidR="004B45A0" w:rsidRPr="00D10818" w14:paraId="135A7D37" w14:textId="77777777" w:rsidTr="00B60F0B">
        <w:trPr>
          <w:trHeight w:val="57"/>
          <w:jc w:val="right"/>
        </w:trPr>
        <w:tc>
          <w:tcPr>
            <w:tcW w:w="1560" w:type="dxa"/>
            <w:tcBorders>
              <w:bottom w:val="single" w:sz="12" w:space="0" w:color="auto"/>
            </w:tcBorders>
          </w:tcPr>
          <w:p w14:paraId="2E074BA6" w14:textId="77777777" w:rsidR="004B45A0" w:rsidRPr="00D10818" w:rsidRDefault="004B45A0" w:rsidP="00BC2A48">
            <w:pPr>
              <w:pStyle w:val="Normal-pool-Table"/>
              <w:rPr>
                <w:rFonts w:eastAsia="SimSun"/>
                <w:sz w:val="20"/>
              </w:rPr>
            </w:pPr>
            <w:r w:rsidRPr="00D10818">
              <w:rPr>
                <w:rFonts w:eastAsia="SimSun"/>
                <w:sz w:val="20"/>
              </w:rPr>
              <w:t>ISO 14903</w:t>
            </w:r>
          </w:p>
        </w:tc>
        <w:tc>
          <w:tcPr>
            <w:tcW w:w="1701" w:type="dxa"/>
            <w:tcBorders>
              <w:bottom w:val="single" w:sz="12" w:space="0" w:color="auto"/>
            </w:tcBorders>
          </w:tcPr>
          <w:p w14:paraId="68EDE5E3" w14:textId="07EF47AA" w:rsidR="004B45A0" w:rsidRPr="00D10818" w:rsidRDefault="004B45A0" w:rsidP="00BC2A48">
            <w:pPr>
              <w:pStyle w:val="Normal-pool-Table"/>
              <w:rPr>
                <w:rFonts w:eastAsia="SimSun"/>
                <w:sz w:val="20"/>
                <w:lang w:eastAsia="zh-CN"/>
              </w:rPr>
            </w:pPr>
            <w:r w:rsidRPr="00D10818">
              <w:rPr>
                <w:rFonts w:eastAsia="SimSun"/>
                <w:sz w:val="20"/>
                <w:lang w:eastAsia="zh-CN"/>
              </w:rPr>
              <w:t>部件</w:t>
            </w:r>
            <w:r w:rsidRPr="00D10818">
              <w:rPr>
                <w:rFonts w:eastAsia="SimSun"/>
                <w:sz w:val="20"/>
                <w:lang w:eastAsia="zh-CN"/>
              </w:rPr>
              <w:t>/</w:t>
            </w:r>
            <w:r w:rsidRPr="00D10818">
              <w:rPr>
                <w:rFonts w:eastAsia="SimSun"/>
                <w:sz w:val="20"/>
                <w:lang w:eastAsia="zh-CN"/>
              </w:rPr>
              <w:t>系统完整性</w:t>
            </w:r>
          </w:p>
        </w:tc>
        <w:tc>
          <w:tcPr>
            <w:tcW w:w="1701" w:type="dxa"/>
            <w:tcBorders>
              <w:bottom w:val="single" w:sz="12" w:space="0" w:color="auto"/>
            </w:tcBorders>
          </w:tcPr>
          <w:p w14:paraId="0999135B" w14:textId="7E1CC4DB" w:rsidR="004B45A0" w:rsidRPr="00D10818" w:rsidRDefault="004B45A0" w:rsidP="00BC2A48">
            <w:pPr>
              <w:pStyle w:val="Normal-pool-Table"/>
              <w:rPr>
                <w:rFonts w:eastAsia="SimSun"/>
                <w:sz w:val="20"/>
                <w:lang w:eastAsia="zh-CN"/>
              </w:rPr>
            </w:pPr>
            <w:r w:rsidRPr="00D10818">
              <w:rPr>
                <w:rFonts w:eastAsia="SimSun"/>
                <w:sz w:val="20"/>
                <w:lang w:eastAsia="zh-CN"/>
              </w:rPr>
              <w:t>已修订（</w:t>
            </w:r>
            <w:r w:rsidRPr="00D10818">
              <w:rPr>
                <w:rFonts w:eastAsia="SimSun"/>
                <w:sz w:val="20"/>
                <w:lang w:eastAsia="zh-CN"/>
              </w:rPr>
              <w:t>2025</w:t>
            </w:r>
            <w:r w:rsidRPr="00D10818">
              <w:rPr>
                <w:rFonts w:eastAsia="SimSun"/>
                <w:sz w:val="20"/>
                <w:lang w:eastAsia="zh-CN"/>
              </w:rPr>
              <w:t>）</w:t>
            </w:r>
          </w:p>
        </w:tc>
        <w:tc>
          <w:tcPr>
            <w:tcW w:w="3251" w:type="dxa"/>
            <w:tcBorders>
              <w:bottom w:val="single" w:sz="12" w:space="0" w:color="auto"/>
            </w:tcBorders>
          </w:tcPr>
          <w:p w14:paraId="50882E06" w14:textId="662E79F8" w:rsidR="004B45A0" w:rsidRPr="00D10818" w:rsidRDefault="008B32DB" w:rsidP="00BC2A48">
            <w:pPr>
              <w:pStyle w:val="Normal-pool-Table"/>
              <w:rPr>
                <w:rFonts w:eastAsia="SimSun"/>
                <w:sz w:val="20"/>
                <w:lang w:eastAsia="zh-CN"/>
              </w:rPr>
            </w:pPr>
            <w:r w:rsidRPr="00D10818">
              <w:rPr>
                <w:rFonts w:eastAsia="SimSun"/>
                <w:sz w:val="20"/>
                <w:lang w:eastAsia="zh-CN"/>
              </w:rPr>
              <w:t>更新了防泄漏性能鉴定方法</w:t>
            </w:r>
          </w:p>
        </w:tc>
      </w:tr>
    </w:tbl>
    <w:p w14:paraId="096C2A1D" w14:textId="3A3082A6" w:rsidR="00B906B9" w:rsidRPr="0018407A" w:rsidRDefault="00B906B9" w:rsidP="009B423C">
      <w:pPr>
        <w:spacing w:line="240" w:lineRule="auto"/>
        <w:ind w:left="1247"/>
        <w:rPr>
          <w:rFonts w:eastAsia="SimSun"/>
          <w:sz w:val="2"/>
          <w:szCs w:val="2"/>
        </w:rPr>
      </w:pPr>
    </w:p>
    <w:p w14:paraId="15985DC0" w14:textId="77777777" w:rsidR="00B906B9" w:rsidRPr="009B423C" w:rsidRDefault="00B906B9" w:rsidP="009B423C">
      <w:pPr>
        <w:pStyle w:val="CH3"/>
        <w:jc w:val="both"/>
        <w:rPr>
          <w:rFonts w:eastAsia="SimSun"/>
          <w:sz w:val="24"/>
          <w:szCs w:val="24"/>
        </w:rPr>
      </w:pPr>
      <w:r w:rsidRPr="00291473">
        <w:rPr>
          <w:rFonts w:eastAsia="SimSun"/>
          <w:sz w:val="24"/>
          <w:szCs w:val="24"/>
          <w:lang w:val="en-US" w:eastAsia="zh-CN"/>
        </w:rPr>
        <w:tab/>
      </w:r>
      <w:r w:rsidRPr="00291473">
        <w:rPr>
          <w:rFonts w:eastAsia="SimSun"/>
          <w:sz w:val="24"/>
          <w:szCs w:val="24"/>
          <w:lang w:val="en-US" w:eastAsia="zh-CN"/>
        </w:rPr>
        <w:tab/>
      </w:r>
      <w:proofErr w:type="spellStart"/>
      <w:r w:rsidRPr="009B423C">
        <w:rPr>
          <w:rFonts w:ascii="SimHei" w:eastAsia="SimHei" w:hAnsi="SimHei"/>
          <w:bCs/>
          <w:sz w:val="24"/>
          <w:szCs w:val="24"/>
          <w:lang w:val="zh-CN"/>
        </w:rPr>
        <w:t>舒适制冷和供暖</w:t>
      </w:r>
      <w:proofErr w:type="spellEnd"/>
    </w:p>
    <w:p w14:paraId="11513F9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Rajendran</w:t>
      </w:r>
      <w:r w:rsidRPr="009B423C">
        <w:rPr>
          <w:rFonts w:eastAsia="SimSun"/>
          <w:sz w:val="24"/>
          <w:szCs w:val="24"/>
          <w:lang w:val="zh-CN" w:eastAsia="zh-CN"/>
        </w:rPr>
        <w:t>先生继续就舒适制冷和供暖问题发言；他指出，极端天气事件和高环境温度国家的城市化进程会增加对制冷设备的需求，并增加相关的直接和间接排放。</w:t>
      </w:r>
    </w:p>
    <w:p w14:paraId="7501E144"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减少能源消耗是舒适制冷的关键，全球趋势是采用变频压缩机（可变容量）。这项技术在许多第</w:t>
      </w:r>
      <w:r w:rsidRPr="009B423C">
        <w:rPr>
          <w:rFonts w:eastAsia="SimSun"/>
          <w:sz w:val="24"/>
          <w:szCs w:val="24"/>
          <w:lang w:val="zh-CN" w:eastAsia="zh-CN"/>
        </w:rPr>
        <w:t>5</w:t>
      </w:r>
      <w:r w:rsidRPr="009B423C">
        <w:rPr>
          <w:rFonts w:eastAsia="SimSun"/>
          <w:sz w:val="24"/>
          <w:szCs w:val="24"/>
          <w:lang w:val="zh-CN" w:eastAsia="zh-CN"/>
        </w:rPr>
        <w:t>条和一些非第</w:t>
      </w:r>
      <w:r w:rsidRPr="009B423C">
        <w:rPr>
          <w:rFonts w:eastAsia="SimSun"/>
          <w:sz w:val="24"/>
          <w:szCs w:val="24"/>
          <w:lang w:val="zh-CN" w:eastAsia="zh-CN"/>
        </w:rPr>
        <w:t>5</w:t>
      </w:r>
      <w:r w:rsidRPr="009B423C">
        <w:rPr>
          <w:rFonts w:eastAsia="SimSun"/>
          <w:sz w:val="24"/>
          <w:szCs w:val="24"/>
          <w:lang w:val="zh-CN" w:eastAsia="zh-CN"/>
        </w:rPr>
        <w:t>条缔约方中仍然应用不足。</w:t>
      </w:r>
    </w:p>
    <w:p w14:paraId="642BE43D"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综合供暖和制冷系统在较大区域规模的供暖和制冷应用中常见，可以取代化石燃料供暖，从而将总体能效提高</w:t>
      </w:r>
      <w:r w:rsidRPr="009B423C">
        <w:rPr>
          <w:rFonts w:eastAsia="SimSun"/>
          <w:sz w:val="24"/>
          <w:szCs w:val="24"/>
          <w:lang w:val="zh-CN" w:eastAsia="zh-CN"/>
        </w:rPr>
        <w:t>30–50%</w:t>
      </w:r>
      <w:r w:rsidRPr="009B423C">
        <w:rPr>
          <w:rFonts w:eastAsia="SimSun"/>
          <w:sz w:val="24"/>
          <w:szCs w:val="24"/>
          <w:lang w:val="zh-CN" w:eastAsia="zh-CN"/>
        </w:rPr>
        <w:t>并减少二氧化碳排放。</w:t>
      </w:r>
    </w:p>
    <w:p w14:paraId="02DFDFCA" w14:textId="77777777" w:rsidR="00B906B9" w:rsidRPr="009B423C" w:rsidRDefault="00B906B9" w:rsidP="009B423C">
      <w:pPr>
        <w:pStyle w:val="CH3"/>
        <w:jc w:val="both"/>
        <w:rPr>
          <w:rFonts w:eastAsia="SimSun"/>
          <w:sz w:val="24"/>
          <w:szCs w:val="24"/>
        </w:rPr>
      </w:pPr>
      <w:r w:rsidRPr="009B423C">
        <w:rPr>
          <w:rFonts w:eastAsia="SimSun"/>
          <w:sz w:val="24"/>
          <w:szCs w:val="24"/>
          <w:lang w:val="zh-CN" w:eastAsia="zh-CN"/>
        </w:rPr>
        <w:tab/>
      </w:r>
      <w:r w:rsidRPr="009B423C">
        <w:rPr>
          <w:rFonts w:ascii="SimHei" w:eastAsia="SimHei" w:hAnsi="SimHei"/>
          <w:bCs/>
          <w:sz w:val="24"/>
          <w:szCs w:val="24"/>
          <w:lang w:val="zh-CN" w:eastAsia="zh-CN"/>
        </w:rPr>
        <w:tab/>
      </w:r>
      <w:proofErr w:type="spellStart"/>
      <w:r w:rsidRPr="009B423C">
        <w:rPr>
          <w:rFonts w:ascii="SimHei" w:eastAsia="SimHei" w:hAnsi="SimHei"/>
          <w:bCs/>
          <w:sz w:val="24"/>
          <w:szCs w:val="24"/>
          <w:lang w:val="zh-CN"/>
        </w:rPr>
        <w:t>冷链和非同类技术</w:t>
      </w:r>
      <w:proofErr w:type="spellEnd"/>
    </w:p>
    <w:p w14:paraId="619903E0"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在关于冷链和非同类技术的下一节中，具体就商业制冷而言，已明显从</w:t>
      </w:r>
      <w:r w:rsidRPr="009B423C">
        <w:rPr>
          <w:rFonts w:eastAsia="SimSun"/>
          <w:sz w:val="24"/>
          <w:szCs w:val="24"/>
          <w:lang w:val="zh-CN" w:eastAsia="zh-CN"/>
        </w:rPr>
        <w:t>R-404A</w:t>
      </w:r>
      <w:r w:rsidRPr="009B423C">
        <w:rPr>
          <w:rFonts w:eastAsia="SimSun"/>
          <w:sz w:val="24"/>
          <w:szCs w:val="24"/>
          <w:lang w:val="zh-CN" w:eastAsia="zh-CN"/>
        </w:rPr>
        <w:t>转向二氧化碳，欧洲等环境温度较低的国家尤其如此。在其他区域，小充量系统中正在采用全球升温潜能值较低的</w:t>
      </w:r>
      <w:r w:rsidRPr="009B423C">
        <w:rPr>
          <w:rFonts w:eastAsia="SimSun"/>
          <w:sz w:val="24"/>
          <w:szCs w:val="24"/>
          <w:lang w:val="zh-CN" w:eastAsia="zh-CN"/>
        </w:rPr>
        <w:t>A2L</w:t>
      </w:r>
      <w:r w:rsidRPr="009B423C">
        <w:rPr>
          <w:rFonts w:eastAsia="SimSun"/>
          <w:sz w:val="24"/>
          <w:szCs w:val="24"/>
          <w:lang w:val="zh-CN" w:eastAsia="zh-CN"/>
        </w:rPr>
        <w:t>制冷剂以及二氧化碳和丙烷。在工业制冷中，氨是首选，二氧化碳的采用也在增加。由于安全性、基础设施和设备生命周期较长的原因，运输制冷面临着较慢的转型。除吸收和吸附外，非蒸汽压缩（非同类）技术仍处于新兴或研发阶段。</w:t>
      </w:r>
    </w:p>
    <w:p w14:paraId="46368AC2" w14:textId="77777777" w:rsidR="00B906B9" w:rsidRPr="009B423C" w:rsidRDefault="00B906B9" w:rsidP="009B423C">
      <w:pPr>
        <w:pStyle w:val="CH3"/>
        <w:jc w:val="both"/>
        <w:rPr>
          <w:rFonts w:eastAsia="SimSun"/>
          <w:sz w:val="24"/>
          <w:szCs w:val="24"/>
          <w:lang w:eastAsia="zh-CN"/>
        </w:rPr>
      </w:pPr>
      <w:r w:rsidRPr="009B423C">
        <w:rPr>
          <w:rFonts w:eastAsia="SimSun"/>
          <w:sz w:val="24"/>
          <w:szCs w:val="24"/>
          <w:lang w:val="zh-CN" w:eastAsia="zh-CN"/>
        </w:rPr>
        <w:lastRenderedPageBreak/>
        <w:tab/>
      </w:r>
      <w:r w:rsidRPr="009B423C">
        <w:rPr>
          <w:rFonts w:eastAsia="SimHei"/>
          <w:bCs/>
          <w:sz w:val="24"/>
          <w:szCs w:val="24"/>
          <w:lang w:val="zh-CN" w:eastAsia="zh-CN"/>
        </w:rPr>
        <w:tab/>
      </w:r>
      <w:r w:rsidRPr="009B423C">
        <w:rPr>
          <w:rFonts w:eastAsia="SimHei"/>
          <w:bCs/>
          <w:sz w:val="24"/>
          <w:szCs w:val="24"/>
          <w:lang w:val="zh-CN" w:eastAsia="zh-CN"/>
        </w:rPr>
        <w:t>第</w:t>
      </w:r>
      <w:r w:rsidRPr="009B423C">
        <w:rPr>
          <w:rFonts w:eastAsia="SimHei"/>
          <w:bCs/>
          <w:sz w:val="24"/>
          <w:szCs w:val="24"/>
          <w:lang w:val="zh-CN" w:eastAsia="zh-CN"/>
        </w:rPr>
        <w:t>XXXVI/2</w:t>
      </w:r>
      <w:r w:rsidRPr="009B423C">
        <w:rPr>
          <w:rFonts w:eastAsia="SimHei"/>
          <w:bCs/>
          <w:sz w:val="24"/>
          <w:szCs w:val="24"/>
          <w:lang w:val="zh-CN" w:eastAsia="zh-CN"/>
        </w:rPr>
        <w:t>号决定：制冷剂生命周期管理</w:t>
      </w:r>
    </w:p>
    <w:p w14:paraId="357611EA"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Rajendran</w:t>
      </w:r>
      <w:r w:rsidRPr="009B423C">
        <w:rPr>
          <w:rFonts w:eastAsia="SimSun"/>
          <w:sz w:val="24"/>
          <w:szCs w:val="24"/>
          <w:lang w:val="zh-CN" w:eastAsia="zh-CN"/>
        </w:rPr>
        <w:t>先生最后回顾了关于制冷剂生命周期管理的最新情况。缔约方第三十六次会议的第</w:t>
      </w:r>
      <w:r w:rsidRPr="009B423C">
        <w:rPr>
          <w:rFonts w:eastAsia="SimSun"/>
          <w:sz w:val="24"/>
          <w:szCs w:val="24"/>
          <w:lang w:val="zh-CN" w:eastAsia="zh-CN"/>
        </w:rPr>
        <w:t>XXXVI/2</w:t>
      </w:r>
      <w:r w:rsidRPr="009B423C">
        <w:rPr>
          <w:rFonts w:eastAsia="SimSun"/>
          <w:sz w:val="24"/>
          <w:szCs w:val="24"/>
          <w:lang w:val="zh-CN" w:eastAsia="zh-CN"/>
        </w:rPr>
        <w:t>号决定要求技经评估组将关于制冷剂生命周期管理的最新相关信息纳入其</w:t>
      </w:r>
      <w:r w:rsidRPr="009B423C">
        <w:rPr>
          <w:rFonts w:eastAsia="SimSun"/>
          <w:sz w:val="24"/>
          <w:szCs w:val="24"/>
          <w:lang w:val="zh-CN" w:eastAsia="zh-CN"/>
        </w:rPr>
        <w:t>2025</w:t>
      </w:r>
      <w:r w:rsidRPr="009B423C">
        <w:rPr>
          <w:rFonts w:eastAsia="SimSun"/>
          <w:sz w:val="24"/>
          <w:szCs w:val="24"/>
          <w:lang w:val="zh-CN" w:eastAsia="zh-CN"/>
        </w:rPr>
        <w:t>年及其后的进度报告，包括</w:t>
      </w:r>
      <w:r w:rsidRPr="009B423C">
        <w:rPr>
          <w:rFonts w:eastAsia="SimSun"/>
          <w:sz w:val="24"/>
          <w:szCs w:val="24"/>
          <w:lang w:val="zh-CN" w:eastAsia="zh-CN"/>
        </w:rPr>
        <w:t>2026</w:t>
      </w:r>
      <w:r w:rsidRPr="009B423C">
        <w:rPr>
          <w:rFonts w:eastAsia="SimSun"/>
          <w:sz w:val="24"/>
          <w:szCs w:val="24"/>
          <w:lang w:val="zh-CN" w:eastAsia="zh-CN"/>
        </w:rPr>
        <w:t>年四年期评估报告，同时考虑到缔约方第三十六次会议的讨论情况。</w:t>
      </w:r>
    </w:p>
    <w:p w14:paraId="0D9A04E5"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维修对于实现臭氧保护和减缓气候变化至关重要。有效的安装和积极主动的维修会提高系统的效率、安全性和寿命。严格的制冷剂管理直接减少排放、能源使用和生命周期成本。</w:t>
      </w:r>
    </w:p>
    <w:p w14:paraId="68BA7239"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rPr>
      </w:pPr>
      <w:r w:rsidRPr="009B423C">
        <w:rPr>
          <w:rFonts w:eastAsia="SimSun"/>
          <w:sz w:val="24"/>
          <w:szCs w:val="24"/>
          <w:lang w:val="zh-CN" w:eastAsia="zh-CN"/>
        </w:rPr>
        <w:t>然而，维修面临着日益加深的技能差距问题。由于经验丰富的技术人员退休、培训课程不足以及新专业人员入职缓慢，训练有素的技术人员长期短缺。</w:t>
      </w:r>
      <w:proofErr w:type="spellStart"/>
      <w:r w:rsidRPr="009B423C">
        <w:rPr>
          <w:rFonts w:eastAsia="SimSun"/>
          <w:sz w:val="24"/>
          <w:szCs w:val="24"/>
          <w:lang w:val="zh-CN"/>
        </w:rPr>
        <w:t>还需要激励技术人员回收而不是释放制冷剂</w:t>
      </w:r>
      <w:proofErr w:type="spellEnd"/>
      <w:r w:rsidRPr="009B423C">
        <w:rPr>
          <w:rFonts w:eastAsia="SimSun"/>
          <w:sz w:val="24"/>
          <w:szCs w:val="24"/>
          <w:lang w:val="zh-CN"/>
        </w:rPr>
        <w:t>。</w:t>
      </w:r>
    </w:p>
    <w:p w14:paraId="53BCD4EA"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在向较低全球升温潜能值过渡的过程中，易燃制冷剂（</w:t>
      </w:r>
      <w:r w:rsidRPr="009B423C">
        <w:rPr>
          <w:rFonts w:eastAsia="SimSun"/>
          <w:sz w:val="24"/>
          <w:szCs w:val="24"/>
          <w:lang w:val="zh-CN" w:eastAsia="zh-CN"/>
        </w:rPr>
        <w:t>A2L</w:t>
      </w:r>
      <w:r w:rsidRPr="009B423C">
        <w:rPr>
          <w:rFonts w:eastAsia="SimSun"/>
          <w:sz w:val="24"/>
          <w:szCs w:val="24"/>
          <w:lang w:val="zh-CN" w:eastAsia="zh-CN"/>
        </w:rPr>
        <w:t>和</w:t>
      </w:r>
      <w:r w:rsidRPr="009B423C">
        <w:rPr>
          <w:rFonts w:eastAsia="SimSun"/>
          <w:sz w:val="24"/>
          <w:szCs w:val="24"/>
          <w:lang w:val="zh-CN" w:eastAsia="zh-CN"/>
        </w:rPr>
        <w:t>A3</w:t>
      </w:r>
      <w:r w:rsidRPr="009B423C">
        <w:rPr>
          <w:rFonts w:eastAsia="SimSun"/>
          <w:sz w:val="24"/>
          <w:szCs w:val="24"/>
          <w:lang w:val="zh-CN" w:eastAsia="zh-CN"/>
        </w:rPr>
        <w:t>制冷剂）现已成为主流。安全操作需要接受羽流扩散、通风和泄漏检测方面的专门培训，并配备经过校准的防爆工具。易燃制冷剂的安全使用标准是存在的，但执行情况参差不齐。如果不执行安全措施，事故风险就会增加，可能会破坏对较低全球升温潜能值技术的信心。物联网和数字化的发展已将设备转变为数据丰富的资产。技术人员现在读取实时传感器数据，从故障发生后的被动响应转向预测性和主动维护。因此，需要对现有员工和新入职者进行机械和电子混合课程的重新培训。</w:t>
      </w:r>
    </w:p>
    <w:p w14:paraId="0E40F78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制冷剂生命周期管理已成为通过制冷剂库存跟踪、泄漏预防、再生和销毁来支持《基加利修正》的重要政策工具。在遵守《基加利修正》的情景下，制冷剂生命周期管理可以到</w:t>
      </w:r>
      <w:r w:rsidRPr="009B423C">
        <w:rPr>
          <w:rFonts w:eastAsia="SimSun"/>
          <w:sz w:val="24"/>
          <w:szCs w:val="24"/>
          <w:lang w:val="zh-CN" w:eastAsia="zh-CN"/>
        </w:rPr>
        <w:t>2050</w:t>
      </w:r>
      <w:r w:rsidRPr="009B423C">
        <w:rPr>
          <w:rFonts w:eastAsia="SimSun"/>
          <w:sz w:val="24"/>
          <w:szCs w:val="24"/>
          <w:lang w:val="zh-CN" w:eastAsia="zh-CN"/>
        </w:rPr>
        <w:t>年将制冷剂排放量减少约</w:t>
      </w:r>
      <w:r w:rsidRPr="009B423C">
        <w:rPr>
          <w:rFonts w:eastAsia="SimSun"/>
          <w:sz w:val="24"/>
          <w:szCs w:val="24"/>
          <w:lang w:val="zh-CN" w:eastAsia="zh-CN"/>
        </w:rPr>
        <w:t>50%</w:t>
      </w:r>
      <w:r w:rsidRPr="009B423C">
        <w:rPr>
          <w:rFonts w:eastAsia="SimSun"/>
          <w:sz w:val="24"/>
          <w:szCs w:val="24"/>
          <w:lang w:val="zh-CN" w:eastAsia="zh-CN"/>
        </w:rPr>
        <w:t>。</w:t>
      </w:r>
    </w:p>
    <w:p w14:paraId="6D653D80"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已制定制冷剂生命周期管理政策的缔约方包括欧盟、日本、美国，但政策有效性取决于强大的反向供应链，包括制冷剂的回收、再生和销毁。新西兰正在制定新的受监管的产品管理和销毁制度。发展中经济体和小岛屿国家仍然面临挑战，这些国家的再生和销毁能力有限且分散、气瓶返回系统薄弱以及技术培训不足，从而限制了有效实施。</w:t>
      </w:r>
    </w:p>
    <w:p w14:paraId="5FF54591"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2026</w:t>
      </w:r>
      <w:r w:rsidRPr="009B423C">
        <w:rPr>
          <w:rFonts w:eastAsia="SimSun"/>
          <w:sz w:val="24"/>
          <w:szCs w:val="24"/>
          <w:lang w:val="zh-CN" w:eastAsia="zh-CN"/>
        </w:rPr>
        <w:t>年制冷技选委员会评估报告将提供有关制冷、空调和热泵维修和制冷剂生命周期管理的更多信息。</w:t>
      </w:r>
    </w:p>
    <w:p w14:paraId="5F7AC56F" w14:textId="2E69F6EE"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sz w:val="28"/>
          <w:szCs w:val="28"/>
        </w:rPr>
      </w:pPr>
      <w:proofErr w:type="spellStart"/>
      <w:r w:rsidRPr="009B423C">
        <w:rPr>
          <w:rFonts w:eastAsia="SimHei"/>
          <w:bCs/>
          <w:sz w:val="28"/>
          <w:szCs w:val="28"/>
          <w:lang w:val="zh-CN"/>
        </w:rPr>
        <w:t>全氟和多氟烷基物质</w:t>
      </w:r>
      <w:proofErr w:type="spellEnd"/>
    </w:p>
    <w:p w14:paraId="03F51389"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Woodcock</w:t>
      </w:r>
      <w:r w:rsidRPr="009B423C">
        <w:rPr>
          <w:rFonts w:eastAsia="SimSun"/>
          <w:sz w:val="24"/>
          <w:szCs w:val="24"/>
          <w:lang w:val="zh-CN" w:eastAsia="zh-CN"/>
        </w:rPr>
        <w:t>先生介绍了关于全氟和多氟烷基物质的部分。他首先表示，在公开讨论中，</w:t>
      </w:r>
      <w:r w:rsidRPr="009B423C">
        <w:rPr>
          <w:rFonts w:ascii="SimSun" w:eastAsia="SimSun" w:hAnsi="SimSun"/>
          <w:sz w:val="24"/>
          <w:szCs w:val="24"/>
          <w:lang w:val="zh-CN" w:eastAsia="zh-CN"/>
        </w:rPr>
        <w:t>“全氟和多氟烷基物质”一词已广泛等同于“永久化学品”一词，这错误地暗示了长期不利影响。人们有一种误解，认为所有全氟和多氟烷基物质及其分解产物都具有持久性</w:t>
      </w:r>
      <w:r w:rsidRPr="009B423C">
        <w:rPr>
          <w:rFonts w:eastAsia="SimSun"/>
          <w:sz w:val="24"/>
          <w:szCs w:val="24"/>
          <w:lang w:val="zh-CN" w:eastAsia="zh-CN"/>
        </w:rPr>
        <w:t>、生物累积性和毒性。</w:t>
      </w:r>
    </w:p>
    <w:p w14:paraId="6BFB2AEF"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关于具有持久性、生物累积性和毒性的长链全氟和多氟烷基物质，他举了两个例子，即全氟辛酸和全氟辛基磺酸。全氟辛酸和全氟辛基磺酸在许多司法管辖区和《斯德哥尔摩公约》中都被禁止。虽然全氟辛酸和全氟辛基磺酸与《蒙特利尔议定书》并非直接相关，但它们推动了广泛的法规，可能会影响《蒙特利尔议定书》受控物质及其替代品的可用性。《蒙特利尔议定书》受控物质及其替代品不具有持久性、生物累积性和毒性。三氟乙酸是某些氢氟碳化物和氢氟烯烃的分解产物，在某些定义（但不是所有定义）下被视为全氟和多氟烷基物质。</w:t>
      </w:r>
    </w:p>
    <w:p w14:paraId="1DAB0D8F"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lastRenderedPageBreak/>
        <w:t>他介绍了技经评估组、环境影响评估小组和科学评估小组之间就每个小组</w:t>
      </w:r>
      <w:r w:rsidRPr="009B423C">
        <w:rPr>
          <w:rFonts w:eastAsia="SimSun"/>
          <w:sz w:val="24"/>
          <w:szCs w:val="24"/>
          <w:lang w:val="zh-CN" w:eastAsia="zh-CN"/>
        </w:rPr>
        <w:t>2026</w:t>
      </w:r>
      <w:r w:rsidRPr="009B423C">
        <w:rPr>
          <w:rFonts w:eastAsia="SimSun"/>
          <w:sz w:val="24"/>
          <w:szCs w:val="24"/>
          <w:lang w:val="zh-CN" w:eastAsia="zh-CN"/>
        </w:rPr>
        <w:t>年四年期评估和</w:t>
      </w:r>
      <w:r w:rsidRPr="009B423C">
        <w:rPr>
          <w:rFonts w:eastAsia="SimSun"/>
          <w:sz w:val="24"/>
          <w:szCs w:val="24"/>
          <w:lang w:val="zh-CN" w:eastAsia="zh-CN"/>
        </w:rPr>
        <w:t>2027</w:t>
      </w:r>
      <w:r w:rsidRPr="009B423C">
        <w:rPr>
          <w:rFonts w:eastAsia="SimSun"/>
          <w:sz w:val="24"/>
          <w:szCs w:val="24"/>
          <w:lang w:val="zh-CN" w:eastAsia="zh-CN"/>
        </w:rPr>
        <w:t>年综合报告将要涵盖的该专题信息范围进行的协调。</w:t>
      </w:r>
    </w:p>
    <w:p w14:paraId="4633EECE"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他说明了全氟和多氟烷基物质定义如何推动不同的监管方法。单个全氟和多氟烷基物质化学品具有不同的毒性、环境影响和分解产物。不同司法管辖区的监管方法有所差异，原因在于使用了不同的全氟和多氟烷基物质定义。一方面，根据化学结构而不是对健康或环境的影响对化学品进行分类，可能会导致对一系列化学品实施非歧视性禁令，包括《蒙特利尔议定书》受控物质和替代品。相比之下，专门关注具有已知持久性、生物积累性、毒性的特定全氟和多氟烷基物质（例如全氟辛酸和全氟辛基磺酸）的法规，则不包括《蒙特利尔议定书》受控物质和替代品。采取广泛禁令的司法管辖区可能会限制《蒙特利尔议定书》受控物质的可用或计划采用的替代品。</w:t>
      </w:r>
    </w:p>
    <w:p w14:paraId="515D3618"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Woodcock</w:t>
      </w:r>
      <w:r w:rsidRPr="009B423C">
        <w:rPr>
          <w:rFonts w:eastAsia="SimSun"/>
          <w:sz w:val="24"/>
          <w:szCs w:val="24"/>
          <w:lang w:val="zh-CN" w:eastAsia="zh-CN"/>
        </w:rPr>
        <w:t>先生随后介绍了广泛的全氟和多氟烷基物质法规对不同领域的潜在影响，其中包括《蒙特利尔议定书》受控物质及其替代品，某些含氟材料，例如广泛用于设备（如压缩机、阀门、密封件）中的含氟聚合物、用于泡沫（如绝缘泡沫）的起泡剂、灭火（如航空器灭火），空调、制冷和热泵设备中的制冷剂，气溶胶，医用气溶胶（如加压计量吸入器）、溶剂、电子设备制造和镁的生产。所有这些都可能受到拟议和已颁布的采用广泛全氟和多氟烷基物质定义的法规的影响。他解释说，法规内容及何时出台缺乏确定性，这种情况正在推迟转型投资，并可能影响《基加利修正》的时间表。</w:t>
      </w:r>
    </w:p>
    <w:p w14:paraId="7FF107B6"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在民航领域，主要的货舱替代品长期来看不可行，因为其中含有</w:t>
      </w:r>
      <w:r w:rsidRPr="009B423C">
        <w:rPr>
          <w:rFonts w:eastAsia="SimSun"/>
          <w:sz w:val="24"/>
          <w:szCs w:val="24"/>
          <w:lang w:val="zh-CN" w:eastAsia="zh-CN"/>
        </w:rPr>
        <w:t>2-BTP</w:t>
      </w:r>
      <w:r w:rsidRPr="009B423C">
        <w:rPr>
          <w:rFonts w:eastAsia="SimSun"/>
          <w:sz w:val="24"/>
          <w:szCs w:val="24"/>
          <w:lang w:val="zh-CN" w:eastAsia="zh-CN"/>
        </w:rPr>
        <w:t>，根据某些定义属于全氟和多氟烷基物质。由于这种不确定性，国际民航组织通过了</w:t>
      </w:r>
      <w:r w:rsidRPr="009B423C">
        <w:rPr>
          <w:rFonts w:eastAsia="SimSun"/>
          <w:sz w:val="24"/>
          <w:szCs w:val="24"/>
          <w:lang w:val="zh-CN" w:eastAsia="zh-CN"/>
        </w:rPr>
        <w:t>A42-11</w:t>
      </w:r>
      <w:r w:rsidRPr="009B423C">
        <w:rPr>
          <w:rFonts w:eastAsia="SimSun"/>
          <w:sz w:val="24"/>
          <w:szCs w:val="24"/>
          <w:lang w:val="zh-CN" w:eastAsia="zh-CN"/>
        </w:rPr>
        <w:t>号决议，取消了</w:t>
      </w:r>
      <w:r w:rsidRPr="009B423C">
        <w:rPr>
          <w:rFonts w:eastAsia="SimSun"/>
          <w:sz w:val="24"/>
          <w:szCs w:val="24"/>
          <w:lang w:val="zh-CN" w:eastAsia="zh-CN"/>
        </w:rPr>
        <w:t>2024</w:t>
      </w:r>
      <w:r w:rsidRPr="009B423C">
        <w:rPr>
          <w:rFonts w:eastAsia="SimSun"/>
          <w:sz w:val="24"/>
          <w:szCs w:val="24"/>
          <w:lang w:val="zh-CN" w:eastAsia="zh-CN"/>
        </w:rPr>
        <w:t>年关于不得在全新航空器设计的货舱中使用哈龙</w:t>
      </w:r>
      <w:r w:rsidRPr="009B423C">
        <w:rPr>
          <w:rFonts w:eastAsia="SimSun"/>
          <w:sz w:val="24"/>
          <w:szCs w:val="24"/>
          <w:lang w:val="zh-CN" w:eastAsia="zh-CN"/>
        </w:rPr>
        <w:t>1301</w:t>
      </w:r>
      <w:r w:rsidRPr="009B423C">
        <w:rPr>
          <w:rFonts w:eastAsia="SimSun"/>
          <w:sz w:val="24"/>
          <w:szCs w:val="24"/>
          <w:lang w:val="zh-CN" w:eastAsia="zh-CN"/>
        </w:rPr>
        <w:t>的规定。在其他灭火领域，一种潜在的哈龙和高全球升温潜能值氢氟碳化物的替代品</w:t>
      </w:r>
      <w:r w:rsidRPr="009B423C">
        <w:rPr>
          <w:rFonts w:eastAsia="SimSun"/>
          <w:sz w:val="24"/>
          <w:szCs w:val="24"/>
          <w:lang w:val="zh-CN" w:eastAsia="zh-CN"/>
        </w:rPr>
        <w:t>HB-55</w:t>
      </w:r>
      <w:r w:rsidRPr="009B423C">
        <w:rPr>
          <w:rFonts w:eastAsia="SimSun"/>
          <w:sz w:val="24"/>
          <w:szCs w:val="24"/>
          <w:lang w:val="zh-CN" w:eastAsia="zh-CN"/>
        </w:rPr>
        <w:t>已被撤回。</w:t>
      </w:r>
      <w:r w:rsidRPr="009B423C">
        <w:rPr>
          <w:rFonts w:eastAsia="SimSun"/>
          <w:sz w:val="24"/>
          <w:szCs w:val="24"/>
          <w:lang w:val="zh-CN" w:eastAsia="zh-CN"/>
        </w:rPr>
        <w:t>FK-5-1-12</w:t>
      </w:r>
      <w:r w:rsidRPr="009B423C">
        <w:rPr>
          <w:rFonts w:eastAsia="SimSun"/>
          <w:sz w:val="24"/>
          <w:szCs w:val="24"/>
          <w:lang w:val="zh-CN" w:eastAsia="zh-CN"/>
        </w:rPr>
        <w:t>（一种全氟和多氟烷基物质）未来的不确定性导致高全球升温潜能值物质</w:t>
      </w:r>
      <w:r w:rsidRPr="009B423C">
        <w:rPr>
          <w:rFonts w:eastAsia="SimSun"/>
          <w:sz w:val="24"/>
          <w:szCs w:val="24"/>
          <w:lang w:val="zh-CN" w:eastAsia="zh-CN"/>
        </w:rPr>
        <w:t>HFC-227ea</w:t>
      </w:r>
      <w:r w:rsidRPr="009B423C">
        <w:rPr>
          <w:rFonts w:eastAsia="SimSun"/>
          <w:sz w:val="24"/>
          <w:szCs w:val="24"/>
          <w:lang w:val="zh-CN" w:eastAsia="zh-CN"/>
        </w:rPr>
        <w:t>的使用增加，例如在核电站中。</w:t>
      </w:r>
    </w:p>
    <w:p w14:paraId="5CC1DEE1"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在泡沫发泡中，发泡剂因应用而异，具体取决于结构或隔热需求。由于制造商努力在降低成本的同时仍然实现预期性能，发泡剂混合物的数量正在增加，而减少可用的氢氟烯烃</w:t>
      </w:r>
      <w:r w:rsidRPr="009B423C">
        <w:rPr>
          <w:rFonts w:eastAsia="SimSun"/>
          <w:sz w:val="24"/>
          <w:szCs w:val="24"/>
          <w:lang w:val="zh-CN" w:eastAsia="zh-CN"/>
        </w:rPr>
        <w:t>/</w:t>
      </w:r>
      <w:r w:rsidRPr="009B423C">
        <w:rPr>
          <w:rFonts w:eastAsia="SimSun"/>
          <w:sz w:val="24"/>
          <w:szCs w:val="24"/>
          <w:lang w:val="zh-CN" w:eastAsia="zh-CN"/>
        </w:rPr>
        <w:t>氢氯氟烯烃替代品将使发泡剂选择过程更具挑战性。一些企业和其他利益攸关方正在推迟有关选择氢氟碳化物和含氢氯氟烃的含氟替代品的决定，原因是不确定拟议法规可能如何对其加以限制。</w:t>
      </w:r>
    </w:p>
    <w:p w14:paraId="1490510E"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2021</w:t>
      </w:r>
      <w:r w:rsidRPr="009B423C">
        <w:rPr>
          <w:rFonts w:eastAsia="SimSun"/>
          <w:sz w:val="24"/>
          <w:szCs w:val="24"/>
          <w:lang w:val="zh-CN" w:eastAsia="zh-CN"/>
        </w:rPr>
        <w:t>年，加压计量吸入器和其他气溶胶中氢氟碳化物推进剂的全球消费量估计为</w:t>
      </w:r>
      <w:proofErr w:type="gramStart"/>
      <w:r w:rsidRPr="009B423C">
        <w:rPr>
          <w:rFonts w:eastAsia="SimSun"/>
          <w:sz w:val="24"/>
          <w:szCs w:val="24"/>
          <w:lang w:val="zh-CN" w:eastAsia="zh-CN"/>
        </w:rPr>
        <w:t>56 000</w:t>
      </w:r>
      <w:r w:rsidRPr="009B423C">
        <w:rPr>
          <w:rFonts w:eastAsia="SimSun"/>
          <w:sz w:val="24"/>
          <w:szCs w:val="24"/>
          <w:lang w:val="zh-CN" w:eastAsia="zh-CN"/>
        </w:rPr>
        <w:t>吨</w:t>
      </w:r>
      <w:proofErr w:type="gramEnd"/>
      <w:r w:rsidRPr="009B423C">
        <w:rPr>
          <w:rFonts w:eastAsia="SimSun"/>
          <w:sz w:val="24"/>
          <w:szCs w:val="24"/>
          <w:lang w:val="zh-CN" w:eastAsia="zh-CN"/>
        </w:rPr>
        <w:t>。制造商和患者都需要过渡到全球升温潜能值较低的加压计量吸入器，因为附件</w:t>
      </w:r>
      <w:r w:rsidRPr="009B423C">
        <w:rPr>
          <w:rFonts w:eastAsia="SimSun"/>
          <w:sz w:val="24"/>
          <w:szCs w:val="24"/>
          <w:lang w:val="zh-CN" w:eastAsia="zh-CN"/>
        </w:rPr>
        <w:t>F</w:t>
      </w:r>
      <w:r w:rsidRPr="009B423C">
        <w:rPr>
          <w:rFonts w:eastAsia="SimSun"/>
          <w:sz w:val="24"/>
          <w:szCs w:val="24"/>
          <w:lang w:val="zh-CN" w:eastAsia="zh-CN"/>
        </w:rPr>
        <w:t>氢氟碳化物正在根据《基加利修正》逐步削减。全球</w:t>
      </w:r>
      <w:r w:rsidRPr="009B423C">
        <w:rPr>
          <w:rFonts w:eastAsia="SimSun"/>
          <w:sz w:val="24"/>
          <w:szCs w:val="24"/>
          <w:lang w:val="zh-CN" w:eastAsia="zh-CN"/>
        </w:rPr>
        <w:t>50%</w:t>
      </w:r>
      <w:r w:rsidRPr="009B423C">
        <w:rPr>
          <w:rFonts w:eastAsia="SimSun"/>
          <w:sz w:val="24"/>
          <w:szCs w:val="24"/>
          <w:lang w:val="zh-CN" w:eastAsia="zh-CN"/>
        </w:rPr>
        <w:t>的加压计量吸入器是在欧洲生产的，欧洲提议制定含氟气体法规，以从</w:t>
      </w:r>
      <w:r w:rsidRPr="009B423C">
        <w:rPr>
          <w:rFonts w:eastAsia="SimSun"/>
          <w:sz w:val="24"/>
          <w:szCs w:val="24"/>
          <w:lang w:val="zh-CN" w:eastAsia="zh-CN"/>
        </w:rPr>
        <w:t>2030</w:t>
      </w:r>
      <w:r w:rsidRPr="009B423C">
        <w:rPr>
          <w:rFonts w:eastAsia="SimSun"/>
          <w:sz w:val="24"/>
          <w:szCs w:val="24"/>
          <w:lang w:val="zh-CN" w:eastAsia="zh-CN"/>
        </w:rPr>
        <w:t>年起限制氢氟碳化物的供应。</w:t>
      </w:r>
    </w:p>
    <w:p w14:paraId="7F824E77"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两种新型药品级全球升温潜能值较低的推进剂，即</w:t>
      </w:r>
      <w:r w:rsidRPr="009B423C">
        <w:rPr>
          <w:rFonts w:eastAsia="SimSun"/>
          <w:sz w:val="24"/>
          <w:szCs w:val="24"/>
          <w:lang w:val="zh-CN" w:eastAsia="zh-CN"/>
        </w:rPr>
        <w:t>HFC-152a</w:t>
      </w:r>
      <w:r w:rsidRPr="009B423C">
        <w:rPr>
          <w:rFonts w:eastAsia="SimSun"/>
          <w:sz w:val="24"/>
          <w:szCs w:val="24"/>
          <w:lang w:val="zh-CN" w:eastAsia="zh-CN"/>
        </w:rPr>
        <w:t>和</w:t>
      </w:r>
      <w:r w:rsidRPr="009B423C">
        <w:rPr>
          <w:rFonts w:eastAsia="SimSun"/>
          <w:sz w:val="24"/>
          <w:szCs w:val="24"/>
          <w:lang w:val="zh-CN" w:eastAsia="zh-CN"/>
        </w:rPr>
        <w:t>HFO-1234ze</w:t>
      </w:r>
      <w:proofErr w:type="gramStart"/>
      <w:r w:rsidRPr="009B423C">
        <w:rPr>
          <w:rFonts w:eastAsia="SimSun"/>
          <w:sz w:val="24"/>
          <w:szCs w:val="24"/>
          <w:lang w:val="zh-CN" w:eastAsia="zh-CN"/>
        </w:rPr>
        <w:t>(E)</w:t>
      </w:r>
      <w:proofErr w:type="gramEnd"/>
      <w:r w:rsidRPr="009B423C">
        <w:rPr>
          <w:rFonts w:eastAsia="SimSun"/>
          <w:sz w:val="24"/>
          <w:szCs w:val="24"/>
          <w:lang w:val="zh-CN" w:eastAsia="zh-CN"/>
        </w:rPr>
        <w:t>，都将是必要的。</w:t>
      </w:r>
      <w:r w:rsidRPr="009B423C">
        <w:rPr>
          <w:rFonts w:eastAsia="SimSun"/>
          <w:sz w:val="24"/>
          <w:szCs w:val="24"/>
          <w:lang w:val="zh-CN" w:eastAsia="zh-CN"/>
        </w:rPr>
        <w:t>HFC-152a</w:t>
      </w:r>
      <w:r w:rsidRPr="009B423C">
        <w:rPr>
          <w:rFonts w:eastAsia="SimSun"/>
          <w:sz w:val="24"/>
          <w:szCs w:val="24"/>
          <w:lang w:val="zh-CN" w:eastAsia="zh-CN"/>
        </w:rPr>
        <w:t>的碳足迹约为</w:t>
      </w:r>
      <w:r w:rsidRPr="009B423C">
        <w:rPr>
          <w:rFonts w:eastAsia="SimSun"/>
          <w:sz w:val="24"/>
          <w:szCs w:val="24"/>
          <w:lang w:val="zh-CN" w:eastAsia="zh-CN"/>
        </w:rPr>
        <w:t>HFC-134a</w:t>
      </w:r>
      <w:r w:rsidRPr="009B423C">
        <w:rPr>
          <w:rFonts w:eastAsia="SimSun"/>
          <w:sz w:val="24"/>
          <w:szCs w:val="24"/>
          <w:lang w:val="zh-CN" w:eastAsia="zh-CN"/>
        </w:rPr>
        <w:t>的</w:t>
      </w:r>
      <w:r w:rsidRPr="009B423C">
        <w:rPr>
          <w:rFonts w:eastAsia="SimSun"/>
          <w:sz w:val="24"/>
          <w:szCs w:val="24"/>
          <w:lang w:val="zh-CN" w:eastAsia="zh-CN"/>
        </w:rPr>
        <w:t>0%</w:t>
      </w:r>
      <w:r w:rsidRPr="009B423C">
        <w:rPr>
          <w:rFonts w:eastAsia="SimSun"/>
          <w:sz w:val="24"/>
          <w:szCs w:val="24"/>
          <w:lang w:val="zh-CN" w:eastAsia="zh-CN"/>
        </w:rPr>
        <w:t>，也是基加利逐步淘汰下的附件</w:t>
      </w:r>
      <w:r w:rsidRPr="009B423C">
        <w:rPr>
          <w:rFonts w:eastAsia="SimSun"/>
          <w:sz w:val="24"/>
          <w:szCs w:val="24"/>
          <w:lang w:val="zh-CN" w:eastAsia="zh-CN"/>
        </w:rPr>
        <w:t>F</w:t>
      </w:r>
      <w:r w:rsidRPr="009B423C">
        <w:rPr>
          <w:rFonts w:eastAsia="SimSun"/>
          <w:sz w:val="24"/>
          <w:szCs w:val="24"/>
          <w:lang w:val="zh-CN" w:eastAsia="zh-CN"/>
        </w:rPr>
        <w:t>氢氟碳化物，但不是全氟和多氟烷基物质。相比之下，</w:t>
      </w:r>
      <w:r w:rsidRPr="009B423C">
        <w:rPr>
          <w:rFonts w:eastAsia="SimSun"/>
          <w:sz w:val="24"/>
          <w:szCs w:val="24"/>
          <w:lang w:val="zh-CN" w:eastAsia="zh-CN"/>
        </w:rPr>
        <w:t>HFO-1234ze</w:t>
      </w:r>
      <w:proofErr w:type="gramStart"/>
      <w:r w:rsidRPr="009B423C">
        <w:rPr>
          <w:rFonts w:eastAsia="SimSun"/>
          <w:sz w:val="24"/>
          <w:szCs w:val="24"/>
          <w:lang w:val="zh-CN" w:eastAsia="zh-CN"/>
        </w:rPr>
        <w:t>(E)</w:t>
      </w:r>
      <w:proofErr w:type="gramEnd"/>
      <w:r w:rsidRPr="009B423C">
        <w:rPr>
          <w:rFonts w:eastAsia="SimSun"/>
          <w:sz w:val="24"/>
          <w:szCs w:val="24"/>
          <w:lang w:val="zh-CN" w:eastAsia="zh-CN"/>
        </w:rPr>
        <w:t>的碳足迹不到</w:t>
      </w:r>
      <w:r w:rsidRPr="009B423C">
        <w:rPr>
          <w:rFonts w:eastAsia="SimSun"/>
          <w:sz w:val="24"/>
          <w:szCs w:val="24"/>
          <w:lang w:val="zh-CN" w:eastAsia="zh-CN"/>
        </w:rPr>
        <w:t>HFC-134a</w:t>
      </w:r>
      <w:r w:rsidRPr="009B423C">
        <w:rPr>
          <w:rFonts w:eastAsia="SimSun"/>
          <w:sz w:val="24"/>
          <w:szCs w:val="24"/>
          <w:lang w:val="zh-CN" w:eastAsia="zh-CN"/>
        </w:rPr>
        <w:t>和</w:t>
      </w:r>
      <w:r w:rsidRPr="009B423C">
        <w:rPr>
          <w:rFonts w:eastAsia="SimSun"/>
          <w:sz w:val="24"/>
          <w:szCs w:val="24"/>
          <w:lang w:val="zh-CN" w:eastAsia="zh-CN"/>
        </w:rPr>
        <w:t>HFC-152a</w:t>
      </w:r>
      <w:r w:rsidRPr="009B423C">
        <w:rPr>
          <w:rFonts w:eastAsia="SimSun"/>
          <w:sz w:val="24"/>
          <w:szCs w:val="24"/>
          <w:lang w:val="zh-CN" w:eastAsia="zh-CN"/>
        </w:rPr>
        <w:t>的</w:t>
      </w:r>
      <w:r w:rsidRPr="009B423C">
        <w:rPr>
          <w:rFonts w:eastAsia="SimSun"/>
          <w:sz w:val="24"/>
          <w:szCs w:val="24"/>
          <w:lang w:val="zh-CN" w:eastAsia="zh-CN"/>
        </w:rPr>
        <w:t>1%</w:t>
      </w:r>
      <w:r w:rsidRPr="009B423C">
        <w:rPr>
          <w:rFonts w:eastAsia="SimSun"/>
          <w:sz w:val="24"/>
          <w:szCs w:val="24"/>
          <w:lang w:val="zh-CN" w:eastAsia="zh-CN"/>
        </w:rPr>
        <w:t>，但属于广泛的全氟和多氟烷基物质定义范围。吸入器转型正在进行中，但全球升温潜能值较低的推进剂的长期供应存在不确定性。干粉吸入器、软雾吸入器和雾化器为许多（但不是所有）患者提供了合适的选择。有超过</w:t>
      </w:r>
      <w:r w:rsidRPr="009B423C">
        <w:rPr>
          <w:rFonts w:eastAsia="SimSun"/>
          <w:sz w:val="24"/>
          <w:szCs w:val="24"/>
          <w:lang w:val="zh-CN" w:eastAsia="zh-CN"/>
        </w:rPr>
        <w:t>10</w:t>
      </w:r>
      <w:r w:rsidRPr="009B423C">
        <w:rPr>
          <w:rFonts w:eastAsia="SimSun"/>
          <w:sz w:val="24"/>
          <w:szCs w:val="24"/>
          <w:lang w:val="zh-CN" w:eastAsia="zh-CN"/>
        </w:rPr>
        <w:t>亿患有哮喘和慢性阻塞性肺</w:t>
      </w:r>
      <w:r w:rsidRPr="009B423C">
        <w:rPr>
          <w:rFonts w:eastAsia="SimSun"/>
          <w:sz w:val="24"/>
          <w:szCs w:val="24"/>
          <w:lang w:val="zh-CN" w:eastAsia="zh-CN"/>
        </w:rPr>
        <w:lastRenderedPageBreak/>
        <w:t>病的患者需要通过持续提供一系列负担得起、易于获取且有效的吸入药物来保护其健康。</w:t>
      </w:r>
    </w:p>
    <w:p w14:paraId="450916E7"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Woodcock</w:t>
      </w:r>
      <w:r w:rsidRPr="009B423C">
        <w:rPr>
          <w:rFonts w:eastAsia="SimSun"/>
          <w:sz w:val="24"/>
          <w:szCs w:val="24"/>
          <w:lang w:val="zh-CN" w:eastAsia="zh-CN"/>
        </w:rPr>
        <w:t>先生随后谈到空调、制冷和热泵行业，该行业约占全球根据《基加利修正》应逐步淘汰的氢氟碳化物的</w:t>
      </w:r>
      <w:r w:rsidRPr="009B423C">
        <w:rPr>
          <w:rFonts w:eastAsia="SimSun"/>
          <w:sz w:val="24"/>
          <w:szCs w:val="24"/>
          <w:lang w:val="zh-CN" w:eastAsia="zh-CN"/>
        </w:rPr>
        <w:t>90%</w:t>
      </w:r>
      <w:r w:rsidRPr="009B423C">
        <w:rPr>
          <w:rFonts w:eastAsia="SimSun"/>
          <w:sz w:val="24"/>
          <w:szCs w:val="24"/>
          <w:lang w:val="zh-CN" w:eastAsia="zh-CN"/>
        </w:rPr>
        <w:t>。该行业内的制冷剂选择和过渡途径对于通过逐步减少高全球升温潜能值的氢氟碳化物和含氢氯氟烃实现全球气候目标至关重要。替代品包括碳氢化合物、氨、二氧化碳、纯氢氟烯烃和氢氯氟烯烃，以及全球升温潜能值较低的氢氟碳化物与氢氟烯烃或氢氯氟烯烃以及与二氧化碳或碳氢化合物的混合物。每种替代品都有优点和局限性。最佳的制冷剂解决方案是因应用而异的。非氟制冷剂可以安全有效地用于许多应用。然而，其使用在某些情况下受到易燃性（如碳氢化合物）、毒性（如氨）、高运行压力（如二氧化碳）等因素的限制，尤其是在大中型容量系统、某些应用类型、人员密集的建筑物、改造应用和某些地理区域中。广泛的全氟和多氟烷基物质限制可能会限制全球升温潜能值较低的氢氟碳化物以及氢氟烯烃制冷剂和混合物的使用，并减少含氟聚合物垫圈和密封件的可用性；无论制冷剂选择如何，这都会影响所有系统。这也将对热泵的采用产生负面影响，降低中等容量制冷、空调和热泵系统可实现的能源效率，而最重要的影响是减缓基加利目标的实现。</w:t>
      </w:r>
    </w:p>
    <w:p w14:paraId="08C07683" w14:textId="519DBBFE" w:rsidR="00B906B9" w:rsidRPr="009B423C" w:rsidRDefault="00B906B9">
      <w:pPr>
        <w:pStyle w:val="CH2"/>
        <w:numPr>
          <w:ilvl w:val="1"/>
          <w:numId w:val="37"/>
        </w:numPr>
        <w:tabs>
          <w:tab w:val="clear" w:pos="851"/>
          <w:tab w:val="clear" w:pos="1247"/>
          <w:tab w:val="clear" w:pos="1871"/>
          <w:tab w:val="clear" w:pos="2495"/>
          <w:tab w:val="clear" w:pos="3119"/>
          <w:tab w:val="clear" w:pos="3742"/>
          <w:tab w:val="clear" w:pos="4366"/>
          <w:tab w:val="clear" w:pos="4990"/>
        </w:tabs>
        <w:ind w:left="1276" w:hanging="709"/>
        <w:rPr>
          <w:rFonts w:eastAsia="SimHei"/>
          <w:bCs/>
          <w:sz w:val="28"/>
          <w:szCs w:val="28"/>
          <w:lang w:val="zh-CN"/>
        </w:rPr>
      </w:pPr>
      <w:proofErr w:type="spellStart"/>
      <w:r w:rsidRPr="009B423C">
        <w:rPr>
          <w:rFonts w:eastAsia="SimHei"/>
          <w:bCs/>
          <w:sz w:val="28"/>
          <w:szCs w:val="28"/>
          <w:lang w:val="zh-CN"/>
        </w:rPr>
        <w:t>组织问题</w:t>
      </w:r>
      <w:proofErr w:type="spellEnd"/>
    </w:p>
    <w:p w14:paraId="5A8F23D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在结束技经评估组的介绍时，</w:t>
      </w:r>
      <w:r w:rsidRPr="009B423C">
        <w:rPr>
          <w:rFonts w:eastAsia="SimSun"/>
          <w:sz w:val="24"/>
          <w:szCs w:val="24"/>
          <w:lang w:val="zh-CN" w:eastAsia="zh-CN"/>
        </w:rPr>
        <w:t>Pizano</w:t>
      </w:r>
      <w:r w:rsidRPr="009B423C">
        <w:rPr>
          <w:rFonts w:eastAsia="SimSun"/>
          <w:sz w:val="24"/>
          <w:szCs w:val="24"/>
          <w:lang w:val="zh-CN" w:eastAsia="zh-CN"/>
        </w:rPr>
        <w:t>女士再次向听众发言，提到了关于技经评估组程序和组织事项的第</w:t>
      </w:r>
      <w:r w:rsidRPr="009B423C">
        <w:rPr>
          <w:rFonts w:eastAsia="SimSun"/>
          <w:sz w:val="24"/>
          <w:szCs w:val="24"/>
          <w:lang w:val="zh-CN" w:eastAsia="zh-CN"/>
        </w:rPr>
        <w:t>XXXI/8</w:t>
      </w:r>
      <w:r w:rsidRPr="009B423C">
        <w:rPr>
          <w:rFonts w:eastAsia="SimSun"/>
          <w:sz w:val="24"/>
          <w:szCs w:val="24"/>
          <w:lang w:val="zh-CN" w:eastAsia="zh-CN"/>
        </w:rPr>
        <w:t>号决定以及关于技经评估组及其技选委员会工作安排备选方案的第</w:t>
      </w:r>
      <w:r w:rsidRPr="009B423C">
        <w:rPr>
          <w:rFonts w:eastAsia="SimSun"/>
          <w:sz w:val="24"/>
          <w:szCs w:val="24"/>
          <w:lang w:val="zh-CN" w:eastAsia="zh-CN"/>
        </w:rPr>
        <w:t>XXXV/20</w:t>
      </w:r>
      <w:r w:rsidRPr="009B423C">
        <w:rPr>
          <w:rFonts w:eastAsia="SimSun"/>
          <w:sz w:val="24"/>
          <w:szCs w:val="24"/>
          <w:lang w:val="zh-CN" w:eastAsia="zh-CN"/>
        </w:rPr>
        <w:t>号决定。她回顾说，缔约方在受控物质的生产、消费和最终用途的所有领域都依赖技经评估组及其技选委员会的专家。专业知识是技经评估组和技选委员会的首要考虑因素，该小组总体上成功招募了解决缔约方面临的问题所需的志愿专业知识人员并保持了这方面的平衡。随着臭氧消耗物质逐步淘汰和近期逐步削减氢氟碳化物的进展，技经评估组及其技选委员会的使命也在不断变化。因此，多年来，成员构成也在不断发展，以应对技选委员会面临的问题以及解决问题所需的专业知识。</w:t>
      </w:r>
    </w:p>
    <w:p w14:paraId="405F5F1A"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技经评估组及其技选委员会的工作模式已转向在线工作，在成本、工作安排和连续工作方面带来了益处；但很显然，要达成共识就需要相互尊重和信任，而这在没有面对面会谈的情况下是难以培养和维持的。因此，年度面对面会议仍然是技经评估组</w:t>
      </w:r>
      <w:r w:rsidRPr="009B423C">
        <w:rPr>
          <w:rFonts w:eastAsia="SimSun"/>
          <w:sz w:val="24"/>
          <w:szCs w:val="24"/>
          <w:lang w:val="zh-CN" w:eastAsia="zh-CN"/>
        </w:rPr>
        <w:t>/</w:t>
      </w:r>
      <w:r w:rsidRPr="009B423C">
        <w:rPr>
          <w:rFonts w:eastAsia="SimSun"/>
          <w:sz w:val="24"/>
          <w:szCs w:val="24"/>
          <w:lang w:val="zh-CN" w:eastAsia="zh-CN"/>
        </w:rPr>
        <w:t>技选委员会职能和共识以及及时为不限成员名额工作组和缔约方会议编写报告工作的重要组成部分。</w:t>
      </w:r>
    </w:p>
    <w:p w14:paraId="25D03A6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Pizano</w:t>
      </w:r>
      <w:r w:rsidRPr="009B423C">
        <w:rPr>
          <w:rFonts w:eastAsia="SimSun"/>
          <w:sz w:val="24"/>
          <w:szCs w:val="24"/>
          <w:lang w:val="zh-CN" w:eastAsia="zh-CN"/>
        </w:rPr>
        <w:t>女士随后表示，技经评估组及其技选委员会努力在性别和地域平衡的范围内维持所需的专业知识，在此方面面临挑战。确保具有独立的技术和经济专门知识的志愿专家的参与并不容易，因为他们需要熟悉技经评估组的职权范围、年度披露和利益冲突要求、达成共识的程序以及编写、审查和提交报告的程序。</w:t>
      </w:r>
    </w:p>
    <w:p w14:paraId="405DE9C5" w14:textId="11F9C793"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她指出，此外，由于臭氧消耗物质逐步淘汰制度和逐步减少氢氟碳化物制度的重叠，缔约方讨论和决定的范围显著扩大，这在不限成员名额工作组和缔约方会议文件所需的相同时间范围内大幅增加了技经评估组的工作量。此外，关键成员因退休或对其参与的支持停止而流失，可能会导致一些技选委员会损失专业知识。许多非</w:t>
      </w:r>
      <w:r w:rsidR="00D81D4A" w:rsidRPr="009B423C">
        <w:rPr>
          <w:rFonts w:eastAsia="SimSun"/>
          <w:sz w:val="24"/>
          <w:szCs w:val="24"/>
          <w:lang w:val="zh-CN" w:eastAsia="zh-CN"/>
        </w:rPr>
        <w:t>第</w:t>
      </w:r>
      <w:r w:rsidR="00D81D4A">
        <w:rPr>
          <w:rFonts w:eastAsia="SimSun" w:hint="eastAsia"/>
          <w:sz w:val="24"/>
          <w:szCs w:val="24"/>
          <w:lang w:val="zh-CN" w:eastAsia="zh-CN"/>
        </w:rPr>
        <w:t>5</w:t>
      </w:r>
      <w:r w:rsidRPr="009B423C">
        <w:rPr>
          <w:rFonts w:eastAsia="SimSun"/>
          <w:sz w:val="24"/>
          <w:szCs w:val="24"/>
          <w:lang w:val="zh-CN" w:eastAsia="zh-CN"/>
        </w:rPr>
        <w:t>条专家没有差旅费和生活费，因为有些缔约方虽然提名专家，却不承担此类费用。由于这些原因，在不考虑第</w:t>
      </w:r>
      <w:r w:rsidRPr="009B423C">
        <w:rPr>
          <w:rFonts w:eastAsia="SimSun"/>
          <w:sz w:val="24"/>
          <w:szCs w:val="24"/>
          <w:lang w:val="zh-CN" w:eastAsia="zh-CN"/>
        </w:rPr>
        <w:t>5</w:t>
      </w:r>
      <w:r w:rsidRPr="009B423C">
        <w:rPr>
          <w:rFonts w:eastAsia="SimSun"/>
          <w:sz w:val="24"/>
          <w:szCs w:val="24"/>
          <w:lang w:val="zh-CN" w:eastAsia="zh-CN"/>
        </w:rPr>
        <w:t>条或非第</w:t>
      </w:r>
      <w:r w:rsidRPr="009B423C">
        <w:rPr>
          <w:rFonts w:eastAsia="SimSun"/>
          <w:sz w:val="24"/>
          <w:szCs w:val="24"/>
          <w:lang w:val="zh-CN" w:eastAsia="zh-CN"/>
        </w:rPr>
        <w:t>5</w:t>
      </w:r>
      <w:r w:rsidRPr="009B423C">
        <w:rPr>
          <w:rFonts w:eastAsia="SimSun"/>
          <w:sz w:val="24"/>
          <w:szCs w:val="24"/>
          <w:lang w:val="zh-CN" w:eastAsia="zh-CN"/>
        </w:rPr>
        <w:t>条身份</w:t>
      </w:r>
      <w:r w:rsidRPr="009B423C">
        <w:rPr>
          <w:rFonts w:eastAsia="SimSun"/>
          <w:sz w:val="24"/>
          <w:szCs w:val="24"/>
          <w:lang w:val="zh-CN" w:eastAsia="zh-CN"/>
        </w:rPr>
        <w:lastRenderedPageBreak/>
        <w:t>的情况下解决技经评估组</w:t>
      </w:r>
      <w:r w:rsidRPr="009B423C">
        <w:rPr>
          <w:rFonts w:eastAsia="SimSun"/>
          <w:sz w:val="24"/>
          <w:szCs w:val="24"/>
          <w:lang w:val="zh-CN" w:eastAsia="zh-CN"/>
        </w:rPr>
        <w:t>/</w:t>
      </w:r>
      <w:r w:rsidRPr="009B423C">
        <w:rPr>
          <w:rFonts w:eastAsia="SimSun"/>
          <w:sz w:val="24"/>
          <w:szCs w:val="24"/>
          <w:lang w:val="zh-CN" w:eastAsia="zh-CN"/>
        </w:rPr>
        <w:t>技选委员会志愿者的差旅和生活津贴问题，对于技经评估组基于共识的工作进程至关重要。</w:t>
      </w:r>
    </w:p>
    <w:p w14:paraId="6DDE0EA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Pizano</w:t>
      </w:r>
      <w:r w:rsidRPr="009B423C">
        <w:rPr>
          <w:rFonts w:eastAsia="SimSun"/>
          <w:sz w:val="24"/>
          <w:szCs w:val="24"/>
          <w:lang w:val="zh-CN" w:eastAsia="zh-CN"/>
        </w:rPr>
        <w:t>女士随后提到了第</w:t>
      </w:r>
      <w:r w:rsidRPr="009B423C">
        <w:rPr>
          <w:rFonts w:eastAsia="SimSun"/>
          <w:sz w:val="24"/>
          <w:szCs w:val="24"/>
          <w:lang w:val="zh-CN" w:eastAsia="zh-CN"/>
        </w:rPr>
        <w:t>XXXV/20</w:t>
      </w:r>
      <w:r w:rsidRPr="009B423C">
        <w:rPr>
          <w:rFonts w:eastAsia="SimSun"/>
          <w:sz w:val="24"/>
          <w:szCs w:val="24"/>
          <w:lang w:val="zh-CN" w:eastAsia="zh-CN"/>
        </w:rPr>
        <w:t>号决定，其中要求技经评估组提供有关技经评估组及其技选委员会工作安排的备选方案，供第不限成员名额工作组第四十七届会议（</w:t>
      </w:r>
      <w:r w:rsidRPr="009B423C">
        <w:rPr>
          <w:rFonts w:eastAsia="SimSun"/>
          <w:sz w:val="24"/>
          <w:szCs w:val="24"/>
          <w:lang w:val="zh-CN" w:eastAsia="zh-CN"/>
        </w:rPr>
        <w:t>2025</w:t>
      </w:r>
      <w:r w:rsidRPr="009B423C">
        <w:rPr>
          <w:rFonts w:eastAsia="SimSun"/>
          <w:sz w:val="24"/>
          <w:szCs w:val="24"/>
          <w:lang w:val="zh-CN" w:eastAsia="zh-CN"/>
        </w:rPr>
        <w:t>年）讨论。她提到，在内罗毕缔约方第三十七次会议期间（</w:t>
      </w:r>
      <w:r w:rsidRPr="009B423C">
        <w:rPr>
          <w:rFonts w:eastAsia="SimSun"/>
          <w:sz w:val="24"/>
          <w:szCs w:val="24"/>
          <w:lang w:val="zh-CN" w:eastAsia="zh-CN"/>
        </w:rPr>
        <w:t>2025</w:t>
      </w:r>
      <w:r w:rsidRPr="009B423C">
        <w:rPr>
          <w:rFonts w:eastAsia="SimSun"/>
          <w:sz w:val="24"/>
          <w:szCs w:val="24"/>
          <w:lang w:val="zh-CN" w:eastAsia="zh-CN"/>
        </w:rPr>
        <w:t>年</w:t>
      </w:r>
      <w:r w:rsidRPr="009B423C">
        <w:rPr>
          <w:rFonts w:eastAsia="SimSun"/>
          <w:sz w:val="24"/>
          <w:szCs w:val="24"/>
          <w:lang w:val="zh-CN" w:eastAsia="zh-CN"/>
        </w:rPr>
        <w:t>11</w:t>
      </w:r>
      <w:r w:rsidRPr="009B423C">
        <w:rPr>
          <w:rFonts w:eastAsia="SimSun"/>
          <w:sz w:val="24"/>
          <w:szCs w:val="24"/>
          <w:lang w:val="zh-CN" w:eastAsia="zh-CN"/>
        </w:rPr>
        <w:t>月）举行的一次非正式小组会议上，缔约方要求技经评估组进一步详细说明可能的重新安排备选方案，特别是每个技选委员会为应对自</w:t>
      </w:r>
      <w:r w:rsidRPr="009B423C">
        <w:rPr>
          <w:rFonts w:eastAsia="SimSun"/>
          <w:sz w:val="24"/>
          <w:szCs w:val="24"/>
          <w:lang w:val="zh-CN" w:eastAsia="zh-CN"/>
        </w:rPr>
        <w:t>2027</w:t>
      </w:r>
      <w:r w:rsidRPr="009B423C">
        <w:rPr>
          <w:rFonts w:eastAsia="SimSun"/>
          <w:sz w:val="24"/>
          <w:szCs w:val="24"/>
          <w:lang w:val="zh-CN" w:eastAsia="zh-CN"/>
        </w:rPr>
        <w:t>年其的未来工作量而倾向采取的方案。她接着介绍了这些倾向采用的方案，并表示这些方案反映了当前实际情况，包括未来几年管理委员会内部近期预期变化（即正常流失、参与工作得不到支持、招募新成员），以及让最大的两个技选委员会通过小组委员会架构开展工作获得更多经验。她还澄清说，随着缔约方需求的变化，未来可以重新考虑这些方案，并提到技经评估组在其报告中更新了所需专业知识汇总表，指出了已查明差距的领域；她说，缔约方提名填补此类差距将对技经评估组非常有帮助。</w:t>
      </w:r>
    </w:p>
    <w:p w14:paraId="7AE5A9BB"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eastAsia="SimSun"/>
          <w:sz w:val="24"/>
          <w:szCs w:val="24"/>
          <w:lang w:val="zh-CN" w:eastAsia="zh-CN"/>
        </w:rPr>
        <w:t>在谈到倾向采用的未来技选委员会配置时，她表示，</w:t>
      </w:r>
      <w:r w:rsidRPr="009B423C">
        <w:rPr>
          <w:rFonts w:ascii="SimHei" w:eastAsia="SimHei" w:hAnsi="SimHei"/>
          <w:b/>
          <w:bCs/>
          <w:sz w:val="24"/>
          <w:szCs w:val="24"/>
          <w:lang w:val="zh-CN" w:eastAsia="zh-CN"/>
        </w:rPr>
        <w:t>灭火技选委员会</w:t>
      </w:r>
      <w:r w:rsidRPr="009B423C">
        <w:rPr>
          <w:rFonts w:eastAsia="SimSun"/>
          <w:sz w:val="24"/>
          <w:szCs w:val="24"/>
          <w:lang w:val="zh-CN" w:eastAsia="zh-CN"/>
        </w:rPr>
        <w:t>认为，用新成员或替代成员更新当前配置并确定第</w:t>
      </w:r>
      <w:r w:rsidRPr="009B423C">
        <w:rPr>
          <w:rFonts w:eastAsia="SimSun"/>
          <w:sz w:val="24"/>
          <w:szCs w:val="24"/>
          <w:lang w:val="zh-CN" w:eastAsia="zh-CN"/>
        </w:rPr>
        <w:t>5</w:t>
      </w:r>
      <w:r w:rsidRPr="009B423C">
        <w:rPr>
          <w:rFonts w:eastAsia="SimSun"/>
          <w:sz w:val="24"/>
          <w:szCs w:val="24"/>
          <w:lang w:val="zh-CN" w:eastAsia="zh-CN"/>
        </w:rPr>
        <w:t>条共同主席，是满足各缔约方当前和未来需求的最佳未来方案。灭火部门、民航和其他持久用途发生了重大变化：未来提交必要用途提名的可能性越来越大。而</w:t>
      </w:r>
      <w:r w:rsidRPr="009B423C">
        <w:rPr>
          <w:rFonts w:ascii="SimHei" w:eastAsia="SimHei" w:hAnsi="SimHei"/>
          <w:b/>
          <w:bCs/>
          <w:sz w:val="24"/>
          <w:szCs w:val="24"/>
          <w:lang w:val="zh-CN" w:eastAsia="zh-CN"/>
        </w:rPr>
        <w:t>软硬质泡沫技选委员会</w:t>
      </w:r>
      <w:r w:rsidRPr="009B423C">
        <w:rPr>
          <w:rFonts w:eastAsia="SimSun"/>
          <w:sz w:val="24"/>
          <w:szCs w:val="24"/>
          <w:lang w:val="zh-CN" w:eastAsia="zh-CN"/>
        </w:rPr>
        <w:t>则认为其结构和规模适当，拥有足够的专业知识来支持缔约方。一旦发泡剂过渡完成，即可考虑替代结构，例如缩小委员会的规模或将现场会议减少到隔一年举行。</w:t>
      </w:r>
      <w:r w:rsidRPr="009B423C">
        <w:rPr>
          <w:rFonts w:ascii="SimHei" w:eastAsia="SimHei" w:hAnsi="SimHei"/>
          <w:b/>
          <w:bCs/>
          <w:sz w:val="24"/>
          <w:szCs w:val="24"/>
          <w:lang w:val="zh-CN" w:eastAsia="zh-CN"/>
        </w:rPr>
        <w:t>甲基溴技选委员会</w:t>
      </w:r>
      <w:r w:rsidRPr="009B423C">
        <w:rPr>
          <w:rFonts w:eastAsia="SimSun"/>
          <w:sz w:val="24"/>
          <w:szCs w:val="24"/>
          <w:lang w:val="zh-CN" w:eastAsia="zh-CN"/>
        </w:rPr>
        <w:t>认为，将成员人数维持在约</w:t>
      </w:r>
      <w:r w:rsidRPr="009B423C">
        <w:rPr>
          <w:rFonts w:eastAsia="SimSun"/>
          <w:sz w:val="24"/>
          <w:szCs w:val="24"/>
          <w:lang w:val="zh-CN" w:eastAsia="zh-CN"/>
        </w:rPr>
        <w:t>15–20</w:t>
      </w:r>
      <w:r w:rsidRPr="009B423C">
        <w:rPr>
          <w:rFonts w:eastAsia="SimSun"/>
          <w:sz w:val="24"/>
          <w:szCs w:val="24"/>
          <w:lang w:val="zh-CN" w:eastAsia="zh-CN"/>
        </w:rPr>
        <w:t>人（包括两名共同主席）是最佳方案，可以确保专业知识的连续性并保存机构记忆。委员会将侧重于检疫和装运前用途及排放，但保留了受控用途方面的专门知识。</w:t>
      </w:r>
    </w:p>
    <w:p w14:paraId="57AD75A0" w14:textId="77777777" w:rsidR="00B906B9" w:rsidRPr="009B423C" w:rsidRDefault="00B906B9">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jc w:val="both"/>
        <w:rPr>
          <w:rFonts w:eastAsia="SimSun"/>
          <w:sz w:val="24"/>
          <w:szCs w:val="24"/>
          <w:lang w:eastAsia="zh-CN"/>
        </w:rPr>
      </w:pPr>
      <w:r w:rsidRPr="009B423C">
        <w:rPr>
          <w:rFonts w:ascii="SimHei" w:eastAsia="SimHei" w:hAnsi="SimHei"/>
          <w:b/>
          <w:bCs/>
          <w:sz w:val="24"/>
          <w:szCs w:val="24"/>
          <w:lang w:val="zh-CN" w:eastAsia="zh-CN"/>
        </w:rPr>
        <w:t>医化技选委员会</w:t>
      </w:r>
      <w:r w:rsidRPr="009B423C">
        <w:rPr>
          <w:rFonts w:eastAsia="SimSun"/>
          <w:sz w:val="24"/>
          <w:szCs w:val="24"/>
          <w:lang w:val="zh-CN" w:eastAsia="zh-CN"/>
        </w:rPr>
        <w:t>倾向采用的方案是重组该委员会，配备</w:t>
      </w:r>
      <w:r w:rsidRPr="009B423C">
        <w:rPr>
          <w:rFonts w:eastAsia="SimSun"/>
          <w:sz w:val="24"/>
          <w:szCs w:val="24"/>
          <w:lang w:val="zh-CN" w:eastAsia="zh-CN"/>
        </w:rPr>
        <w:t>4</w:t>
      </w:r>
      <w:r w:rsidRPr="009B423C">
        <w:rPr>
          <w:rFonts w:eastAsia="SimSun"/>
          <w:sz w:val="24"/>
          <w:szCs w:val="24"/>
          <w:lang w:val="zh-CN" w:eastAsia="zh-CN"/>
        </w:rPr>
        <w:t>名共同主席和约</w:t>
      </w:r>
      <w:r w:rsidRPr="009B423C">
        <w:rPr>
          <w:rFonts w:eastAsia="SimSun"/>
          <w:sz w:val="24"/>
          <w:szCs w:val="24"/>
          <w:lang w:val="zh-CN" w:eastAsia="zh-CN"/>
        </w:rPr>
        <w:t>40</w:t>
      </w:r>
      <w:r w:rsidRPr="009B423C">
        <w:rPr>
          <w:rFonts w:eastAsia="SimSun"/>
          <w:sz w:val="24"/>
          <w:szCs w:val="24"/>
          <w:lang w:val="zh-CN" w:eastAsia="zh-CN"/>
        </w:rPr>
        <w:t>名成员，分为两个正式小组委员会：</w:t>
      </w:r>
      <w:proofErr w:type="gramStart"/>
      <w:r w:rsidRPr="009B423C">
        <w:rPr>
          <w:rFonts w:eastAsia="SimSun"/>
          <w:sz w:val="24"/>
          <w:szCs w:val="24"/>
          <w:lang w:val="zh-CN" w:eastAsia="zh-CN"/>
        </w:rPr>
        <w:t>(1)</w:t>
      </w:r>
      <w:proofErr w:type="gramEnd"/>
      <w:r w:rsidRPr="009B423C">
        <w:rPr>
          <w:rFonts w:eastAsia="SimSun"/>
          <w:sz w:val="24"/>
          <w:szCs w:val="24"/>
          <w:lang w:val="zh-CN" w:eastAsia="zh-CN"/>
        </w:rPr>
        <w:t xml:space="preserve"> </w:t>
      </w:r>
      <w:r w:rsidRPr="009B423C">
        <w:rPr>
          <w:rFonts w:eastAsia="SimSun"/>
          <w:sz w:val="24"/>
          <w:szCs w:val="24"/>
          <w:lang w:val="zh-CN" w:eastAsia="zh-CN"/>
        </w:rPr>
        <w:t>气溶胶</w:t>
      </w:r>
      <w:r w:rsidRPr="009B423C">
        <w:rPr>
          <w:rFonts w:eastAsia="SimSun"/>
          <w:sz w:val="24"/>
          <w:szCs w:val="24"/>
          <w:lang w:val="zh-CN" w:eastAsia="zh-CN"/>
        </w:rPr>
        <w:t>/</w:t>
      </w:r>
      <w:r w:rsidRPr="009B423C">
        <w:rPr>
          <w:rFonts w:eastAsia="SimSun"/>
          <w:sz w:val="24"/>
          <w:szCs w:val="24"/>
          <w:lang w:val="zh-CN" w:eastAsia="zh-CN"/>
        </w:rPr>
        <w:t>医疗；</w:t>
      </w:r>
      <w:proofErr w:type="gramStart"/>
      <w:r w:rsidRPr="009B423C">
        <w:rPr>
          <w:rFonts w:eastAsia="SimSun"/>
          <w:sz w:val="24"/>
          <w:szCs w:val="24"/>
          <w:lang w:val="zh-CN" w:eastAsia="zh-CN"/>
        </w:rPr>
        <w:t>(2)</w:t>
      </w:r>
      <w:proofErr w:type="gramEnd"/>
      <w:r w:rsidRPr="009B423C">
        <w:rPr>
          <w:rFonts w:eastAsia="SimSun"/>
          <w:sz w:val="24"/>
          <w:szCs w:val="24"/>
          <w:lang w:val="zh-CN" w:eastAsia="zh-CN"/>
        </w:rPr>
        <w:t xml:space="preserve"> </w:t>
      </w:r>
      <w:r w:rsidRPr="009B423C">
        <w:rPr>
          <w:rFonts w:eastAsia="SimSun"/>
          <w:sz w:val="24"/>
          <w:szCs w:val="24"/>
          <w:lang w:val="zh-CN" w:eastAsia="zh-CN"/>
        </w:rPr>
        <w:t>化学品。目前需要有关氢氟碳化物和氢氟烯烃的广泛专业知识，对于推进剂的批量制造和供应尤其如此。医化技选委员会认为，如果这两个小组委员会显然可以利用现有的专门知识独立运作，而不会遇到困难或失去技术平衡，则今后可以考虑其他配置方案。最后，</w:t>
      </w:r>
      <w:r w:rsidRPr="009B423C">
        <w:rPr>
          <w:rFonts w:ascii="SimHei" w:eastAsia="SimHei" w:hAnsi="SimHei"/>
          <w:b/>
          <w:bCs/>
          <w:sz w:val="24"/>
          <w:szCs w:val="24"/>
          <w:lang w:val="zh-CN" w:eastAsia="zh-CN"/>
        </w:rPr>
        <w:t>制冷技选委员会</w:t>
      </w:r>
      <w:r w:rsidRPr="009B423C">
        <w:rPr>
          <w:rFonts w:eastAsia="SimSun"/>
          <w:sz w:val="24"/>
          <w:szCs w:val="24"/>
          <w:lang w:val="zh-CN" w:eastAsia="zh-CN"/>
        </w:rPr>
        <w:t>目前作为一个由约</w:t>
      </w:r>
      <w:r w:rsidRPr="009B423C">
        <w:rPr>
          <w:rFonts w:eastAsia="SimSun"/>
          <w:sz w:val="24"/>
          <w:szCs w:val="24"/>
          <w:lang w:val="zh-CN" w:eastAsia="zh-CN"/>
        </w:rPr>
        <w:t>40</w:t>
      </w:r>
      <w:r w:rsidRPr="009B423C">
        <w:rPr>
          <w:rFonts w:eastAsia="SimSun"/>
          <w:sz w:val="24"/>
          <w:szCs w:val="24"/>
          <w:lang w:val="zh-CN" w:eastAsia="zh-CN"/>
        </w:rPr>
        <w:t>名成员和四名共同主席组成的单个委员会运作，并辅以小组委员会，运作非常有效。这种安排会促进强有力的协作并一贯提供高质量的产出。因此，制冷技选委员会未来配置倾向采用的方案是专注于与空调、制冷和热泵行业相关的跨领域方面和一般主题，同时继续与以下两个应用小组委员会合作：</w:t>
      </w:r>
      <w:proofErr w:type="gramStart"/>
      <w:r w:rsidRPr="009B423C">
        <w:rPr>
          <w:rFonts w:eastAsia="SimSun"/>
          <w:sz w:val="24"/>
          <w:szCs w:val="24"/>
          <w:lang w:val="zh-CN" w:eastAsia="zh-CN"/>
        </w:rPr>
        <w:t>(1)</w:t>
      </w:r>
      <w:proofErr w:type="gramEnd"/>
      <w:r w:rsidRPr="009B423C">
        <w:rPr>
          <w:rFonts w:eastAsia="SimSun"/>
          <w:sz w:val="24"/>
          <w:szCs w:val="24"/>
          <w:lang w:val="zh-CN" w:eastAsia="zh-CN"/>
        </w:rPr>
        <w:t xml:space="preserve"> </w:t>
      </w:r>
      <w:r w:rsidRPr="009B423C">
        <w:rPr>
          <w:rFonts w:eastAsia="SimSun"/>
          <w:sz w:val="24"/>
          <w:szCs w:val="24"/>
          <w:lang w:val="zh-CN" w:eastAsia="zh-CN"/>
        </w:rPr>
        <w:t>舒适制冷；</w:t>
      </w:r>
      <w:proofErr w:type="gramStart"/>
      <w:r w:rsidRPr="009B423C">
        <w:rPr>
          <w:rFonts w:eastAsia="SimSun"/>
          <w:sz w:val="24"/>
          <w:szCs w:val="24"/>
          <w:lang w:val="zh-CN" w:eastAsia="zh-CN"/>
        </w:rPr>
        <w:t>(2)</w:t>
      </w:r>
      <w:proofErr w:type="gramEnd"/>
      <w:r w:rsidRPr="009B423C">
        <w:rPr>
          <w:rFonts w:eastAsia="SimSun"/>
          <w:sz w:val="24"/>
          <w:szCs w:val="24"/>
          <w:lang w:val="zh-CN" w:eastAsia="zh-CN"/>
        </w:rPr>
        <w:t xml:space="preserve"> </w:t>
      </w:r>
      <w:r w:rsidRPr="009B423C">
        <w:rPr>
          <w:rFonts w:eastAsia="SimSun"/>
          <w:sz w:val="24"/>
          <w:szCs w:val="24"/>
          <w:lang w:val="zh-CN" w:eastAsia="zh-CN"/>
        </w:rPr>
        <w:t>冷链和其他应用。</w:t>
      </w:r>
    </w:p>
    <w:p w14:paraId="34865D5B" w14:textId="77777777" w:rsidR="00B906B9" w:rsidRPr="009B423C" w:rsidRDefault="00B906B9" w:rsidP="009B423C">
      <w:pPr>
        <w:pStyle w:val="Normal-pool"/>
        <w:jc w:val="both"/>
        <w:rPr>
          <w:rFonts w:eastAsia="SimSun"/>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B906B9" w:rsidRPr="009B423C" w14:paraId="436115AA" w14:textId="77777777" w:rsidTr="009B423C">
        <w:trPr>
          <w:jc w:val="center"/>
        </w:trPr>
        <w:tc>
          <w:tcPr>
            <w:tcW w:w="1897" w:type="dxa"/>
          </w:tcPr>
          <w:p w14:paraId="21B84AEC" w14:textId="77777777" w:rsidR="00B906B9" w:rsidRPr="009B423C" w:rsidRDefault="00B906B9" w:rsidP="00560692">
            <w:pPr>
              <w:pStyle w:val="Normal-pool"/>
              <w:spacing w:before="520"/>
              <w:jc w:val="both"/>
              <w:rPr>
                <w:rFonts w:eastAsia="SimSun"/>
                <w:sz w:val="24"/>
                <w:szCs w:val="24"/>
                <w:lang w:eastAsia="zh-CN"/>
              </w:rPr>
            </w:pPr>
          </w:p>
        </w:tc>
        <w:tc>
          <w:tcPr>
            <w:tcW w:w="1897" w:type="dxa"/>
          </w:tcPr>
          <w:p w14:paraId="361EF190" w14:textId="77777777" w:rsidR="00B906B9" w:rsidRPr="009B423C" w:rsidRDefault="00B906B9" w:rsidP="00560692">
            <w:pPr>
              <w:pStyle w:val="Normal-pool"/>
              <w:spacing w:before="520"/>
              <w:jc w:val="both"/>
              <w:rPr>
                <w:rFonts w:eastAsia="SimSun"/>
                <w:sz w:val="24"/>
                <w:szCs w:val="24"/>
                <w:lang w:eastAsia="zh-CN"/>
              </w:rPr>
            </w:pPr>
          </w:p>
        </w:tc>
        <w:tc>
          <w:tcPr>
            <w:tcW w:w="1897" w:type="dxa"/>
            <w:tcBorders>
              <w:bottom w:val="single" w:sz="4" w:space="0" w:color="auto"/>
            </w:tcBorders>
          </w:tcPr>
          <w:p w14:paraId="5C25F322" w14:textId="77777777" w:rsidR="00B906B9" w:rsidRPr="009B423C" w:rsidRDefault="00B906B9" w:rsidP="00560692">
            <w:pPr>
              <w:pStyle w:val="Normal-pool"/>
              <w:spacing w:before="520"/>
              <w:jc w:val="both"/>
              <w:rPr>
                <w:rFonts w:eastAsia="SimSun"/>
                <w:sz w:val="24"/>
                <w:szCs w:val="24"/>
                <w:lang w:eastAsia="zh-CN"/>
              </w:rPr>
            </w:pPr>
          </w:p>
        </w:tc>
        <w:tc>
          <w:tcPr>
            <w:tcW w:w="1898" w:type="dxa"/>
          </w:tcPr>
          <w:p w14:paraId="36ED46AE" w14:textId="77777777" w:rsidR="00B906B9" w:rsidRPr="009B423C" w:rsidRDefault="00B906B9" w:rsidP="00560692">
            <w:pPr>
              <w:pStyle w:val="Normal-pool"/>
              <w:spacing w:before="520"/>
              <w:jc w:val="both"/>
              <w:rPr>
                <w:rFonts w:eastAsia="SimSun"/>
                <w:sz w:val="24"/>
                <w:szCs w:val="24"/>
                <w:lang w:eastAsia="zh-CN"/>
              </w:rPr>
            </w:pPr>
          </w:p>
        </w:tc>
        <w:tc>
          <w:tcPr>
            <w:tcW w:w="1898" w:type="dxa"/>
          </w:tcPr>
          <w:p w14:paraId="47BD4732" w14:textId="77777777" w:rsidR="00B906B9" w:rsidRPr="009B423C" w:rsidRDefault="00B906B9" w:rsidP="00560692">
            <w:pPr>
              <w:pStyle w:val="Normal-pool"/>
              <w:spacing w:before="520"/>
              <w:jc w:val="both"/>
              <w:rPr>
                <w:rFonts w:eastAsia="SimSun"/>
                <w:sz w:val="24"/>
                <w:szCs w:val="24"/>
                <w:lang w:eastAsia="zh-CN"/>
              </w:rPr>
            </w:pPr>
          </w:p>
        </w:tc>
      </w:tr>
    </w:tbl>
    <w:p w14:paraId="0B681372" w14:textId="2E8956C4" w:rsidR="000704E6" w:rsidRPr="009B423C" w:rsidRDefault="000704E6" w:rsidP="009B423C">
      <w:pPr>
        <w:pStyle w:val="Normal-pool"/>
        <w:jc w:val="both"/>
        <w:rPr>
          <w:rFonts w:eastAsia="SimSun"/>
          <w:sz w:val="24"/>
          <w:szCs w:val="24"/>
          <w:lang w:eastAsia="zh-CN"/>
        </w:rPr>
      </w:pPr>
    </w:p>
    <w:sectPr w:rsidR="000704E6" w:rsidRPr="009B423C" w:rsidSect="002D629B">
      <w:headerReference w:type="even" r:id="rId22"/>
      <w:headerReference w:type="default" r:id="rId23"/>
      <w:headerReference w:type="first" r:id="rId24"/>
      <w:footerReference w:type="first" r:id="rId25"/>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C2195" w14:textId="77777777" w:rsidR="00A3557F" w:rsidRPr="002C0D3E" w:rsidRDefault="00A3557F">
      <w:r w:rsidRPr="002C0D3E">
        <w:separator/>
      </w:r>
    </w:p>
  </w:endnote>
  <w:endnote w:type="continuationSeparator" w:id="0">
    <w:p w14:paraId="168B664A" w14:textId="77777777" w:rsidR="00A3557F" w:rsidRPr="002C0D3E" w:rsidRDefault="00A3557F">
      <w:r w:rsidRPr="002C0D3E">
        <w:continuationSeparator/>
      </w:r>
    </w:p>
  </w:endnote>
  <w:endnote w:type="continuationNotice" w:id="1">
    <w:p w14:paraId="31EF396F" w14:textId="77777777" w:rsidR="00A3557F" w:rsidRDefault="00A355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auto"/>
    <w:pitch w:val="variable"/>
    <w:sig w:usb0="00000001" w:usb1="080E0000" w:usb2="00000010" w:usb3="00000000" w:csb0="00040000"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561C8" w14:textId="3179FD79" w:rsidR="00E34BB8" w:rsidRPr="00136A91" w:rsidRDefault="00C214FF" w:rsidP="00C214FF">
    <w:pPr>
      <w:pStyle w:val="Footer-pool"/>
      <w:rPr>
        <w:sz w:val="20"/>
      </w:rPr>
    </w:pPr>
    <w:r w:rsidRPr="00136A91">
      <w:rPr>
        <w:sz w:val="20"/>
      </w:rPr>
      <w:fldChar w:fldCharType="begin"/>
    </w:r>
    <w:r w:rsidRPr="00136A91">
      <w:rPr>
        <w:sz w:val="20"/>
      </w:rPr>
      <w:instrText xml:space="preserve"> PAGE </w:instrText>
    </w:r>
    <w:r w:rsidRPr="00136A91">
      <w:rPr>
        <w:sz w:val="20"/>
      </w:rPr>
      <w:fldChar w:fldCharType="separate"/>
    </w:r>
    <w:r w:rsidRPr="00136A91">
      <w:rPr>
        <w:noProof/>
        <w:sz w:val="20"/>
      </w:rPr>
      <w:t>2</w:t>
    </w:r>
    <w:r w:rsidRPr="00136A91">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B9B9" w14:textId="2FFDE566" w:rsidR="00E34BB8" w:rsidRPr="00136A91" w:rsidRDefault="00C214FF" w:rsidP="00C214FF">
    <w:pPr>
      <w:pStyle w:val="Footer-pool"/>
      <w:jc w:val="right"/>
      <w:rPr>
        <w:sz w:val="20"/>
      </w:rPr>
    </w:pPr>
    <w:r w:rsidRPr="00136A91">
      <w:rPr>
        <w:sz w:val="20"/>
      </w:rPr>
      <w:fldChar w:fldCharType="begin"/>
    </w:r>
    <w:r w:rsidRPr="00136A91">
      <w:rPr>
        <w:sz w:val="20"/>
      </w:rPr>
      <w:instrText xml:space="preserve"> PAGE \* MERGEFORMAT </w:instrText>
    </w:r>
    <w:r w:rsidRPr="00136A91">
      <w:rPr>
        <w:sz w:val="20"/>
      </w:rPr>
      <w:fldChar w:fldCharType="separate"/>
    </w:r>
    <w:r w:rsidRPr="00136A91">
      <w:rPr>
        <w:noProof/>
        <w:sz w:val="20"/>
      </w:rPr>
      <w:t>3</w:t>
    </w:r>
    <w:r w:rsidRPr="00136A91">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7CDC5" w14:textId="5E0F146B" w:rsidR="00E34BB8" w:rsidRDefault="0009397A" w:rsidP="00C214FF">
    <w:pPr>
      <w:pStyle w:val="Footer-jobnumber"/>
    </w:pPr>
    <w:bookmarkStart w:id="32" w:name="FooterJobDate"/>
    <w:r>
      <w:t>UNON_DCS_2610696[</w:t>
    </w:r>
    <w:r w:rsidR="007C7EEB">
      <w:rPr>
        <w:rFonts w:eastAsiaTheme="minorEastAsia" w:hint="eastAsia"/>
        <w:lang w:eastAsia="zh-CN"/>
      </w:rPr>
      <w:t>C</w:t>
    </w:r>
    <w:r>
      <w:t>]</w:t>
    </w:r>
    <w:r>
      <w:tab/>
    </w:r>
    <w:r w:rsidR="00AB5558">
      <w:rPr>
        <w:rFonts w:eastAsiaTheme="minorEastAsia"/>
        <w:lang w:eastAsia="zh-CN"/>
      </w:rPr>
      <w:t>11</w:t>
    </w:r>
    <w:r>
      <w:t>0</w:t>
    </w:r>
    <w:r w:rsidR="00AB5558">
      <w:t>9</w:t>
    </w:r>
    <w:r>
      <w:t>26</w:t>
    </w:r>
    <w:bookmarkEnd w:id="3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7DF6" w14:textId="1AAE4F4F" w:rsidR="002C0D3E" w:rsidRPr="00B91634" w:rsidRDefault="002C0D3E" w:rsidP="00B91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8FB0" w14:textId="77777777" w:rsidR="00A3557F" w:rsidRPr="002C0D3E" w:rsidRDefault="00A3557F" w:rsidP="00C70B49">
      <w:pPr>
        <w:pStyle w:val="Footnote-Separator"/>
        <w:rPr>
          <w:szCs w:val="18"/>
        </w:rPr>
      </w:pPr>
      <w:r w:rsidRPr="002C0D3E">
        <w:separator/>
      </w:r>
    </w:p>
  </w:footnote>
  <w:footnote w:type="continuationSeparator" w:id="0">
    <w:p w14:paraId="6987B8BD" w14:textId="77777777" w:rsidR="00A3557F" w:rsidRPr="002C0D3E" w:rsidRDefault="00A3557F" w:rsidP="00C70B49">
      <w:pPr>
        <w:pStyle w:val="Footnote-Separator"/>
      </w:pPr>
      <w:r w:rsidRPr="002C0D3E">
        <w:continuationSeparator/>
      </w:r>
    </w:p>
  </w:footnote>
  <w:footnote w:type="continuationNotice" w:id="1">
    <w:p w14:paraId="6CDEEA57" w14:textId="77777777" w:rsidR="00A3557F" w:rsidRPr="002C0D3E" w:rsidRDefault="00A3557F" w:rsidP="00C70B49">
      <w:pPr>
        <w:pStyle w:val="ASpacer"/>
      </w:pPr>
    </w:p>
  </w:footnote>
  <w:footnote w:id="2">
    <w:p w14:paraId="064A49C0" w14:textId="448E099F" w:rsidR="002150BE" w:rsidRPr="009100A8" w:rsidRDefault="002150BE" w:rsidP="005E7D93">
      <w:pPr>
        <w:pStyle w:val="Footnote-Text"/>
        <w:rPr>
          <w:rFonts w:eastAsia="SimSun"/>
          <w:sz w:val="20"/>
        </w:rPr>
      </w:pPr>
      <w:r w:rsidRPr="009100A8">
        <w:rPr>
          <w:rStyle w:val="FootnoteReference"/>
          <w:spacing w:val="0"/>
          <w:w w:val="100"/>
          <w:position w:val="0"/>
          <w:szCs w:val="20"/>
          <w:lang w:val="zh-CN"/>
        </w:rPr>
        <w:footnoteRef/>
      </w:r>
      <w:r w:rsidRPr="009100A8">
        <w:rPr>
          <w:rFonts w:eastAsia="SimSun"/>
          <w:sz w:val="20"/>
          <w:lang w:val="zh-CN"/>
        </w:rPr>
        <w:t xml:space="preserve"> </w:t>
      </w:r>
      <w:proofErr w:type="spellStart"/>
      <w:r w:rsidRPr="009100A8">
        <w:rPr>
          <w:rFonts w:eastAsia="SimSun"/>
          <w:sz w:val="20"/>
          <w:lang w:val="zh-CN"/>
        </w:rPr>
        <w:t>收件邮箱</w:t>
      </w:r>
      <w:proofErr w:type="spellEnd"/>
      <w:r w:rsidRPr="009100A8">
        <w:rPr>
          <w:rFonts w:eastAsia="SimSun"/>
          <w:sz w:val="20"/>
          <w:lang w:val="zh-CN"/>
        </w:rPr>
        <w:t>：</w:t>
      </w:r>
      <w:hyperlink r:id="rId1" w:history="1">
        <w:r w:rsidR="001146BF" w:rsidRPr="009100A8">
          <w:rPr>
            <w:rStyle w:val="Hyperlink"/>
            <w:rFonts w:eastAsia="SimSun"/>
            <w:sz w:val="20"/>
            <w:lang w:val="zh-CN"/>
          </w:rPr>
          <w:t>mea-ozoneinfo@un.org</w:t>
        </w:r>
      </w:hyperlink>
      <w:r w:rsidRPr="009100A8">
        <w:rPr>
          <w:rFonts w:eastAsia="SimSun"/>
          <w:sz w:val="20"/>
          <w:lang w:val="zh-CN"/>
        </w:rPr>
        <w:t>。</w:t>
      </w:r>
      <w:hyperlink r:id="rId2" w:history="1"/>
    </w:p>
  </w:footnote>
  <w:footnote w:id="3">
    <w:p w14:paraId="37694F84" w14:textId="366A1910" w:rsidR="00B6681E" w:rsidRPr="009100A8" w:rsidRDefault="00B6681E" w:rsidP="005E7D93">
      <w:pPr>
        <w:pStyle w:val="Footer-pool"/>
        <w:spacing w:before="20" w:after="40"/>
        <w:ind w:left="1247"/>
        <w:rPr>
          <w:rFonts w:eastAsia="SimSun"/>
          <w:b w:val="0"/>
          <w:bCs/>
          <w:sz w:val="20"/>
          <w:lang w:eastAsia="zh-CN"/>
        </w:rPr>
      </w:pPr>
      <w:r w:rsidRPr="009100A8">
        <w:rPr>
          <w:rStyle w:val="FootnoteReference"/>
          <w:b w:val="0"/>
          <w:bCs/>
          <w:spacing w:val="0"/>
          <w:w w:val="100"/>
          <w:position w:val="0"/>
          <w:szCs w:val="20"/>
          <w:lang w:val="zh-CN"/>
        </w:rPr>
        <w:footnoteRef/>
      </w:r>
      <w:r w:rsidRPr="009100A8">
        <w:rPr>
          <w:rFonts w:eastAsia="SimSun"/>
          <w:b w:val="0"/>
          <w:bCs/>
          <w:sz w:val="20"/>
          <w:lang w:eastAsia="zh-CN"/>
        </w:rPr>
        <w:t xml:space="preserve"> </w:t>
      </w:r>
      <w:r w:rsidR="00D1481E" w:rsidRPr="009100A8">
        <w:rPr>
          <w:b w:val="0"/>
          <w:bCs/>
          <w:sz w:val="20"/>
          <w:lang w:eastAsia="zh-CN"/>
        </w:rPr>
        <w:t>https://ka-10.info</w:t>
      </w:r>
      <w:r w:rsidRPr="009100A8">
        <w:rPr>
          <w:rFonts w:eastAsia="SimSun"/>
          <w:b w:val="0"/>
          <w:bCs/>
          <w:sz w:val="20"/>
          <w:lang w:val="zh-CN" w:eastAsia="zh-CN"/>
        </w:rPr>
        <w:t>。</w:t>
      </w:r>
      <w:r>
        <w:fldChar w:fldCharType="begin"/>
      </w:r>
      <w:r>
        <w:rPr>
          <w:lang w:eastAsia="zh-CN"/>
        </w:rPr>
        <w:instrText>HYPERLINK "https://ozone.unep.org/mop38-activities"</w:instrText>
      </w:r>
      <w:r>
        <w:fldChar w:fldCharType="separate"/>
      </w:r>
      <w:r>
        <w:fldChar w:fldCharType="end"/>
      </w:r>
    </w:p>
  </w:footnote>
  <w:footnote w:id="4">
    <w:p w14:paraId="7EC8D5DE" w14:textId="0ABB310F" w:rsidR="00B6681E" w:rsidRPr="009100A8" w:rsidRDefault="00B6681E" w:rsidP="005E7D93">
      <w:pPr>
        <w:pStyle w:val="Footnote-Text"/>
        <w:rPr>
          <w:rFonts w:eastAsia="SimSun"/>
          <w:sz w:val="20"/>
          <w:lang w:eastAsia="zh-CN"/>
        </w:rPr>
      </w:pPr>
      <w:r w:rsidRPr="009100A8">
        <w:rPr>
          <w:rStyle w:val="FootnoteReference"/>
          <w:spacing w:val="0"/>
          <w:w w:val="100"/>
          <w:position w:val="0"/>
          <w:szCs w:val="20"/>
          <w:lang w:val="zh-CN"/>
        </w:rPr>
        <w:footnoteRef/>
      </w:r>
      <w:r w:rsidRPr="009100A8">
        <w:rPr>
          <w:rFonts w:eastAsia="SimSun"/>
          <w:sz w:val="20"/>
          <w:lang w:val="zh-CN" w:eastAsia="zh-CN"/>
        </w:rPr>
        <w:t xml:space="preserve"> </w:t>
      </w:r>
      <w:r w:rsidRPr="009100A8">
        <w:rPr>
          <w:rFonts w:eastAsia="SimSun"/>
          <w:sz w:val="20"/>
          <w:lang w:val="zh-CN" w:eastAsia="zh-CN"/>
        </w:rPr>
        <w:t>亚美尼亚不是该会议室文件的提案方。</w:t>
      </w:r>
    </w:p>
  </w:footnote>
  <w:footnote w:id="5">
    <w:p w14:paraId="7C8895ED" w14:textId="77777777" w:rsidR="00B6681E" w:rsidRPr="009100A8" w:rsidRDefault="00B6681E" w:rsidP="005E7D93">
      <w:pPr>
        <w:pStyle w:val="Footnote-Text"/>
        <w:rPr>
          <w:rFonts w:eastAsia="SimSun"/>
          <w:sz w:val="20"/>
          <w:lang w:eastAsia="zh-CN"/>
        </w:rPr>
      </w:pPr>
      <w:proofErr w:type="gramStart"/>
      <w:r w:rsidRPr="009100A8">
        <w:rPr>
          <w:rFonts w:eastAsia="SimSun"/>
          <w:sz w:val="20"/>
          <w:lang w:val="zh-CN" w:eastAsia="zh-CN"/>
        </w:rPr>
        <w:t xml:space="preserve">* </w:t>
      </w:r>
      <w:r w:rsidRPr="009100A8">
        <w:rPr>
          <w:rFonts w:eastAsia="SimSun"/>
          <w:sz w:val="20"/>
          <w:lang w:val="zh-CN" w:eastAsia="zh-CN"/>
        </w:rPr>
        <w:t>本</w:t>
      </w:r>
      <w:proofErr w:type="gramEnd"/>
      <w:r w:rsidRPr="009100A8">
        <w:rPr>
          <w:rFonts w:eastAsia="SimSun"/>
          <w:sz w:val="20"/>
          <w:lang w:val="zh-CN" w:eastAsia="zh-CN"/>
        </w:rPr>
        <w:t>附件英文原文未经正式编辑。</w:t>
      </w:r>
    </w:p>
  </w:footnote>
  <w:footnote w:id="6">
    <w:p w14:paraId="0C949447" w14:textId="77777777" w:rsidR="000141C8" w:rsidRPr="009100A8" w:rsidRDefault="000141C8" w:rsidP="005E7D93">
      <w:pPr>
        <w:pStyle w:val="Footnote-Text"/>
        <w:rPr>
          <w:rFonts w:eastAsia="SimSun"/>
          <w:sz w:val="20"/>
        </w:rPr>
      </w:pPr>
      <w:r w:rsidRPr="009100A8">
        <w:rPr>
          <w:rStyle w:val="FootnoteReference"/>
          <w:spacing w:val="0"/>
          <w:w w:val="100"/>
          <w:position w:val="0"/>
          <w:szCs w:val="20"/>
          <w:lang w:val="zh-CN"/>
        </w:rPr>
        <w:footnoteRef/>
      </w:r>
      <w:r w:rsidRPr="009100A8">
        <w:rPr>
          <w:rFonts w:eastAsia="SimSun"/>
          <w:sz w:val="20"/>
        </w:rPr>
        <w:t xml:space="preserve"> UNEP/OzL.Pro.4/15</w:t>
      </w:r>
      <w:r w:rsidRPr="009100A8">
        <w:rPr>
          <w:rFonts w:eastAsia="SimSun"/>
          <w:sz w:val="20"/>
          <w:lang w:val="zh-CN"/>
        </w:rPr>
        <w:t>。</w:t>
      </w:r>
    </w:p>
  </w:footnote>
  <w:footnote w:id="7">
    <w:p w14:paraId="7EF676C1" w14:textId="49A738C8" w:rsidR="00D4105D" w:rsidRPr="009629DD" w:rsidRDefault="00D4105D" w:rsidP="009629DD">
      <w:pPr>
        <w:pStyle w:val="FootnoteText"/>
        <w:spacing w:before="20" w:after="40" w:line="240" w:lineRule="auto"/>
        <w:ind w:left="1253" w:firstLine="0"/>
        <w:rPr>
          <w:rFonts w:eastAsiaTheme="minorEastAsia"/>
          <w:spacing w:val="0"/>
          <w:w w:val="100"/>
          <w:kern w:val="0"/>
          <w:sz w:val="20"/>
        </w:rPr>
      </w:pPr>
      <w:r w:rsidRPr="009629DD">
        <w:rPr>
          <w:rStyle w:val="FootnoteReference"/>
          <w:spacing w:val="0"/>
          <w:w w:val="100"/>
          <w:kern w:val="0"/>
          <w:position w:val="0"/>
          <w:szCs w:val="20"/>
        </w:rPr>
        <w:t>2</w:t>
      </w:r>
      <w:r w:rsidRPr="009629DD">
        <w:rPr>
          <w:spacing w:val="0"/>
          <w:w w:val="100"/>
          <w:kern w:val="0"/>
          <w:sz w:val="20"/>
        </w:rPr>
        <w:t xml:space="preserve"> UNEP/OzL.Pro.37/7</w:t>
      </w:r>
      <w:r w:rsidR="001B1DB8">
        <w:rPr>
          <w:rFonts w:ascii="SimSun" w:eastAsia="SimSun" w:hAnsi="SimSun" w:cs="SimSun" w:hint="eastAsia"/>
          <w:spacing w:val="0"/>
          <w:w w:val="100"/>
          <w:kern w:val="0"/>
          <w:sz w:val="20"/>
        </w:rPr>
        <w:t>。</w:t>
      </w:r>
    </w:p>
  </w:footnote>
  <w:footnote w:id="8">
    <w:p w14:paraId="0B4D5324" w14:textId="15845EE8" w:rsidR="008B1163" w:rsidRPr="009629DD" w:rsidRDefault="008B1163" w:rsidP="009629DD">
      <w:pPr>
        <w:pStyle w:val="FootnoteText"/>
        <w:spacing w:before="20" w:after="40" w:line="240" w:lineRule="auto"/>
        <w:ind w:left="1253" w:firstLine="0"/>
        <w:rPr>
          <w:rFonts w:eastAsiaTheme="minorEastAsia"/>
        </w:rPr>
      </w:pPr>
      <w:r w:rsidRPr="009629DD">
        <w:rPr>
          <w:rStyle w:val="FootnoteReference"/>
          <w:spacing w:val="0"/>
          <w:w w:val="100"/>
          <w:kern w:val="0"/>
          <w:position w:val="0"/>
          <w:szCs w:val="20"/>
        </w:rPr>
        <w:t>3</w:t>
      </w:r>
      <w:r w:rsidRPr="009629DD">
        <w:rPr>
          <w:spacing w:val="0"/>
          <w:w w:val="100"/>
          <w:kern w:val="0"/>
          <w:sz w:val="20"/>
        </w:rPr>
        <w:t xml:space="preserve"> UNEP/OzL.Pro.WG.1/47/4</w:t>
      </w:r>
      <w:r w:rsidR="001B1DB8">
        <w:rPr>
          <w:rFonts w:ascii="SimSun" w:eastAsia="SimSun" w:hAnsi="SimSun" w:cs="SimSun" w:hint="eastAsia"/>
          <w:spacing w:val="0"/>
          <w:w w:val="100"/>
          <w:kern w:val="0"/>
          <w:sz w:val="20"/>
        </w:rPr>
        <w:t>。</w:t>
      </w:r>
    </w:p>
  </w:footnote>
  <w:footnote w:id="9">
    <w:p w14:paraId="6EC35A94" w14:textId="24712A10" w:rsidR="00B20676" w:rsidRPr="009629DD" w:rsidRDefault="00B20676" w:rsidP="009629DD">
      <w:pPr>
        <w:pStyle w:val="FootnoteText"/>
        <w:spacing w:before="20" w:after="40" w:line="240" w:lineRule="auto"/>
        <w:ind w:left="1253" w:firstLine="0"/>
        <w:rPr>
          <w:rFonts w:eastAsiaTheme="minorEastAsia"/>
        </w:rPr>
      </w:pPr>
      <w:r w:rsidRPr="009629DD">
        <w:rPr>
          <w:rStyle w:val="FootnoteReference"/>
          <w:spacing w:val="0"/>
          <w:w w:val="100"/>
          <w:kern w:val="0"/>
          <w:position w:val="0"/>
          <w:szCs w:val="20"/>
        </w:rPr>
        <w:t>4</w:t>
      </w:r>
      <w:r w:rsidRPr="009629DD">
        <w:rPr>
          <w:spacing w:val="0"/>
          <w:w w:val="100"/>
          <w:kern w:val="0"/>
          <w:sz w:val="20"/>
        </w:rPr>
        <w:t xml:space="preserve"> UNEP/OzL.Pro/ImpCom/74/6</w:t>
      </w:r>
      <w:r w:rsidR="003F03CE" w:rsidRPr="009629DD">
        <w:rPr>
          <w:rFonts w:ascii="SimSun" w:eastAsia="SimSun" w:hAnsi="SimSun" w:cs="SimSun" w:hint="eastAsia"/>
          <w:spacing w:val="0"/>
          <w:w w:val="100"/>
          <w:kern w:val="0"/>
          <w:sz w:val="20"/>
        </w:rPr>
        <w:t>。</w:t>
      </w:r>
    </w:p>
  </w:footnote>
  <w:footnote w:id="10">
    <w:p w14:paraId="6E0DC3F9" w14:textId="77777777" w:rsidR="000A3C4D" w:rsidRPr="009100A8" w:rsidRDefault="000A3C4D" w:rsidP="005E7D93">
      <w:pPr>
        <w:pStyle w:val="Footnote-Text"/>
        <w:rPr>
          <w:rFonts w:eastAsia="SimSun"/>
          <w:sz w:val="20"/>
          <w:lang w:eastAsia="zh-CN"/>
        </w:rPr>
      </w:pPr>
      <w:proofErr w:type="gramStart"/>
      <w:r w:rsidRPr="009100A8">
        <w:rPr>
          <w:rFonts w:eastAsia="SimSun"/>
          <w:sz w:val="20"/>
          <w:lang w:val="zh-CN" w:eastAsia="zh-CN"/>
        </w:rPr>
        <w:t xml:space="preserve">* </w:t>
      </w:r>
      <w:r w:rsidRPr="009100A8">
        <w:rPr>
          <w:rFonts w:eastAsia="SimSun"/>
          <w:sz w:val="20"/>
          <w:lang w:val="zh-CN" w:eastAsia="zh-CN"/>
        </w:rPr>
        <w:t>本</w:t>
      </w:r>
      <w:proofErr w:type="gramEnd"/>
      <w:r w:rsidRPr="009100A8">
        <w:rPr>
          <w:rFonts w:eastAsia="SimSun"/>
          <w:sz w:val="20"/>
          <w:lang w:val="zh-CN" w:eastAsia="zh-CN"/>
        </w:rPr>
        <w:t>附件英文原文未经正式编辑。</w:t>
      </w:r>
    </w:p>
  </w:footnote>
  <w:footnote w:id="11">
    <w:p w14:paraId="36D7FD7A" w14:textId="77777777" w:rsidR="00B906B9" w:rsidRPr="009100A8" w:rsidRDefault="00B906B9" w:rsidP="005E7D93">
      <w:pPr>
        <w:pStyle w:val="Footnote-Text"/>
        <w:rPr>
          <w:rFonts w:eastAsia="SimSun"/>
          <w:sz w:val="20"/>
          <w:lang w:eastAsia="zh-CN"/>
        </w:rPr>
      </w:pPr>
      <w:proofErr w:type="gramStart"/>
      <w:r w:rsidRPr="009100A8">
        <w:rPr>
          <w:rFonts w:eastAsia="SimSun"/>
          <w:sz w:val="20"/>
          <w:lang w:val="zh-CN" w:eastAsia="zh-CN"/>
        </w:rPr>
        <w:t xml:space="preserve">* </w:t>
      </w:r>
      <w:r w:rsidRPr="009100A8">
        <w:rPr>
          <w:rFonts w:eastAsia="SimSun"/>
          <w:sz w:val="20"/>
          <w:lang w:val="zh-CN" w:eastAsia="zh-CN"/>
        </w:rPr>
        <w:t>该</w:t>
      </w:r>
      <w:proofErr w:type="gramEnd"/>
      <w:r w:rsidRPr="009100A8">
        <w:rPr>
          <w:rFonts w:eastAsia="SimSun"/>
          <w:sz w:val="20"/>
          <w:lang w:val="zh-CN" w:eastAsia="zh-CN"/>
        </w:rPr>
        <w:t>附件英文原文未经正式编辑。</w:t>
      </w:r>
    </w:p>
  </w:footnote>
  <w:footnote w:id="12">
    <w:p w14:paraId="1723F80E" w14:textId="77777777" w:rsidR="00B906B9" w:rsidRPr="009100A8" w:rsidRDefault="00B906B9" w:rsidP="005E7D93">
      <w:pPr>
        <w:pStyle w:val="Footnote-Text"/>
        <w:rPr>
          <w:rFonts w:eastAsia="SimSun"/>
          <w:sz w:val="20"/>
          <w:lang w:eastAsia="zh-CN"/>
        </w:rPr>
      </w:pPr>
      <w:proofErr w:type="gramStart"/>
      <w:r w:rsidRPr="009100A8">
        <w:rPr>
          <w:rFonts w:eastAsia="SimSun"/>
          <w:sz w:val="20"/>
          <w:lang w:val="zh-CN" w:eastAsia="zh-CN"/>
        </w:rPr>
        <w:t xml:space="preserve">* </w:t>
      </w:r>
      <w:r w:rsidRPr="009100A8">
        <w:rPr>
          <w:rFonts w:eastAsia="SimSun"/>
          <w:sz w:val="20"/>
          <w:lang w:val="zh-CN" w:eastAsia="zh-CN"/>
        </w:rPr>
        <w:t>该</w:t>
      </w:r>
      <w:proofErr w:type="gramEnd"/>
      <w:r w:rsidRPr="009100A8">
        <w:rPr>
          <w:rFonts w:eastAsia="SimSun"/>
          <w:sz w:val="20"/>
          <w:lang w:val="zh-CN" w:eastAsia="zh-CN"/>
        </w:rPr>
        <w:t>附件英文原文未经正式编辑。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4ED1C" w14:textId="5F309318" w:rsidR="00E34BB8" w:rsidRPr="00136A91" w:rsidRDefault="00731F92" w:rsidP="00136A91">
    <w:pPr>
      <w:pStyle w:val="Header-pool"/>
      <w:spacing w:line="240" w:lineRule="auto"/>
      <w:rPr>
        <w:sz w:val="20"/>
        <w:szCs w:val="20"/>
      </w:rPr>
    </w:pPr>
    <w:r w:rsidRPr="00136A91">
      <w:rPr>
        <w:noProof/>
        <w:sz w:val="20"/>
        <w:szCs w:val="20"/>
      </w:rPr>
      <w:t>UNEP/OzL.Pro.WG.1/48/5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7CBE" w14:textId="28EB6687" w:rsidR="00E34BB8" w:rsidRPr="00136A91" w:rsidRDefault="00731F92" w:rsidP="00136A91">
    <w:pPr>
      <w:pStyle w:val="Header-pool"/>
      <w:spacing w:line="240" w:lineRule="auto"/>
      <w:jc w:val="right"/>
      <w:rPr>
        <w:sz w:val="20"/>
        <w:szCs w:val="20"/>
      </w:rPr>
    </w:pPr>
    <w:r w:rsidRPr="00136A91">
      <w:rPr>
        <w:noProof/>
        <w:sz w:val="20"/>
        <w:szCs w:val="20"/>
      </w:rPr>
      <w:t>UNEP/OzL.Pro.WG.1/48/5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F7C5" w14:textId="77777777" w:rsidR="000E0F1C" w:rsidRDefault="000E0F1C" w:rsidP="00DB3AF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274EC197" w:rsidR="00C06F67" w:rsidRPr="00B966E6" w:rsidRDefault="00731F92" w:rsidP="00B966E6">
    <w:pPr>
      <w:pStyle w:val="Header-pool"/>
      <w:spacing w:line="240" w:lineRule="auto"/>
      <w:rPr>
        <w:sz w:val="20"/>
        <w:szCs w:val="20"/>
      </w:rPr>
    </w:pPr>
    <w:r w:rsidRPr="00B966E6">
      <w:rPr>
        <w:noProof/>
        <w:sz w:val="20"/>
        <w:szCs w:val="20"/>
      </w:rPr>
      <w:t>UNEP/OzL.Pro.WG.1/48/5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3B739998" w:rsidR="00C06F67" w:rsidRPr="00B966E6" w:rsidRDefault="00731F92" w:rsidP="00B966E6">
    <w:pPr>
      <w:pStyle w:val="Header-pool"/>
      <w:spacing w:line="240" w:lineRule="auto"/>
      <w:jc w:val="right"/>
      <w:rPr>
        <w:sz w:val="20"/>
        <w:szCs w:val="20"/>
      </w:rPr>
    </w:pPr>
    <w:r w:rsidRPr="00B966E6">
      <w:rPr>
        <w:noProof/>
        <w:sz w:val="20"/>
        <w:szCs w:val="20"/>
      </w:rPr>
      <w:t>UNEP/OzL.Pro.WG.1/48/5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BA08" w14:textId="16406AC4" w:rsidR="009972F3" w:rsidRDefault="00000000">
    <w:pPr>
      <w:pStyle w:val="Header"/>
    </w:pPr>
    <w:r>
      <w:pict w14:anchorId="07D132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 style="position:absolute;left:0;text-align:left;margin-left:0;margin-top:0;width:494.85pt;height:141.35pt;rotation:315;z-index:-251658752;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F769C"/>
    <w:multiLevelType w:val="hybridMultilevel"/>
    <w:tmpl w:val="5CE051E4"/>
    <w:lvl w:ilvl="0" w:tplc="0809000F">
      <w:start w:val="1"/>
      <w:numFmt w:val="decimal"/>
      <w:lvlText w:val="%1."/>
      <w:lvlJc w:val="left"/>
      <w:pPr>
        <w:ind w:left="1967" w:hanging="360"/>
      </w:pPr>
    </w:lvl>
    <w:lvl w:ilvl="1" w:tplc="161205B8">
      <w:start w:val="1"/>
      <w:numFmt w:val="upp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3304FC"/>
    <w:multiLevelType w:val="hybridMultilevel"/>
    <w:tmpl w:val="E6E2205A"/>
    <w:lvl w:ilvl="0" w:tplc="FFFFFFFF">
      <w:start w:val="1"/>
      <w:numFmt w:val="chineseCountingThousand"/>
      <w:lvlText w:val="%1、"/>
      <w:lvlJc w:val="left"/>
      <w:pPr>
        <w:ind w:left="980" w:hanging="440"/>
      </w:pPr>
    </w:lvl>
    <w:lvl w:ilvl="1" w:tplc="04090013">
      <w:start w:val="1"/>
      <w:numFmt w:val="chineseCountingThousand"/>
      <w:lvlText w:val="%2、"/>
      <w:lvlJc w:val="left"/>
      <w:pPr>
        <w:ind w:left="980" w:hanging="440"/>
      </w:pPr>
    </w:lvl>
    <w:lvl w:ilvl="2" w:tplc="FFFFFFFF" w:tentative="1">
      <w:start w:val="1"/>
      <w:numFmt w:val="lowerRoman"/>
      <w:lvlText w:val="%3."/>
      <w:lvlJc w:val="right"/>
      <w:pPr>
        <w:ind w:left="1860" w:hanging="440"/>
      </w:pPr>
    </w:lvl>
    <w:lvl w:ilvl="3" w:tplc="FFFFFFFF" w:tentative="1">
      <w:start w:val="1"/>
      <w:numFmt w:val="decimal"/>
      <w:lvlText w:val="%4."/>
      <w:lvlJc w:val="left"/>
      <w:pPr>
        <w:ind w:left="2300" w:hanging="440"/>
      </w:pPr>
    </w:lvl>
    <w:lvl w:ilvl="4" w:tplc="FFFFFFFF" w:tentative="1">
      <w:start w:val="1"/>
      <w:numFmt w:val="lowerLetter"/>
      <w:lvlText w:val="%5)"/>
      <w:lvlJc w:val="left"/>
      <w:pPr>
        <w:ind w:left="2740" w:hanging="440"/>
      </w:pPr>
    </w:lvl>
    <w:lvl w:ilvl="5" w:tplc="FFFFFFFF" w:tentative="1">
      <w:start w:val="1"/>
      <w:numFmt w:val="lowerRoman"/>
      <w:lvlText w:val="%6."/>
      <w:lvlJc w:val="right"/>
      <w:pPr>
        <w:ind w:left="3180" w:hanging="440"/>
      </w:pPr>
    </w:lvl>
    <w:lvl w:ilvl="6" w:tplc="FFFFFFFF" w:tentative="1">
      <w:start w:val="1"/>
      <w:numFmt w:val="decimal"/>
      <w:lvlText w:val="%7."/>
      <w:lvlJc w:val="left"/>
      <w:pPr>
        <w:ind w:left="3620" w:hanging="440"/>
      </w:pPr>
    </w:lvl>
    <w:lvl w:ilvl="7" w:tplc="FFFFFFFF" w:tentative="1">
      <w:start w:val="1"/>
      <w:numFmt w:val="lowerLetter"/>
      <w:lvlText w:val="%8)"/>
      <w:lvlJc w:val="left"/>
      <w:pPr>
        <w:ind w:left="4060" w:hanging="440"/>
      </w:pPr>
    </w:lvl>
    <w:lvl w:ilvl="8" w:tplc="FFFFFFFF" w:tentative="1">
      <w:start w:val="1"/>
      <w:numFmt w:val="lowerRoman"/>
      <w:lvlText w:val="%9."/>
      <w:lvlJc w:val="right"/>
      <w:pPr>
        <w:ind w:left="4500" w:hanging="440"/>
      </w:pPr>
    </w:lvl>
  </w:abstractNum>
  <w:abstractNum w:abstractNumId="13"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4"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1BDC7433"/>
    <w:multiLevelType w:val="hybridMultilevel"/>
    <w:tmpl w:val="1F766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7" w15:restartNumberingAfterBreak="0">
    <w:nsid w:val="205228FF"/>
    <w:multiLevelType w:val="hybridMultilevel"/>
    <w:tmpl w:val="04C8B6EA"/>
    <w:lvl w:ilvl="0" w:tplc="04090015">
      <w:start w:val="1"/>
      <w:numFmt w:val="upperLetter"/>
      <w:lvlText w:val="%1."/>
      <w:lvlJc w:val="left"/>
      <w:pPr>
        <w:ind w:left="1340" w:hanging="440"/>
      </w:pPr>
    </w:lvl>
    <w:lvl w:ilvl="1" w:tplc="D12E66D8">
      <w:start w:val="1"/>
      <w:numFmt w:val="decimal"/>
      <w:lvlText w:val="%2."/>
      <w:lvlJc w:val="left"/>
      <w:pPr>
        <w:ind w:left="1955" w:hanging="615"/>
      </w:pPr>
      <w:rPr>
        <w:rFonts w:hint="default"/>
      </w:rPr>
    </w:lvl>
    <w:lvl w:ilvl="2" w:tplc="0409001B" w:tentative="1">
      <w:start w:val="1"/>
      <w:numFmt w:val="lowerRoman"/>
      <w:lvlText w:val="%3."/>
      <w:lvlJc w:val="right"/>
      <w:pPr>
        <w:ind w:left="2220" w:hanging="440"/>
      </w:pPr>
    </w:lvl>
    <w:lvl w:ilvl="3" w:tplc="0409000F" w:tentative="1">
      <w:start w:val="1"/>
      <w:numFmt w:val="decimal"/>
      <w:lvlText w:val="%4."/>
      <w:lvlJc w:val="left"/>
      <w:pPr>
        <w:ind w:left="2660" w:hanging="440"/>
      </w:pPr>
    </w:lvl>
    <w:lvl w:ilvl="4" w:tplc="04090019" w:tentative="1">
      <w:start w:val="1"/>
      <w:numFmt w:val="lowerLetter"/>
      <w:lvlText w:val="%5)"/>
      <w:lvlJc w:val="left"/>
      <w:pPr>
        <w:ind w:left="3100" w:hanging="440"/>
      </w:pPr>
    </w:lvl>
    <w:lvl w:ilvl="5" w:tplc="0409001B" w:tentative="1">
      <w:start w:val="1"/>
      <w:numFmt w:val="lowerRoman"/>
      <w:lvlText w:val="%6."/>
      <w:lvlJc w:val="right"/>
      <w:pPr>
        <w:ind w:left="3540" w:hanging="440"/>
      </w:pPr>
    </w:lvl>
    <w:lvl w:ilvl="6" w:tplc="0409000F" w:tentative="1">
      <w:start w:val="1"/>
      <w:numFmt w:val="decimal"/>
      <w:lvlText w:val="%7."/>
      <w:lvlJc w:val="left"/>
      <w:pPr>
        <w:ind w:left="3980" w:hanging="440"/>
      </w:pPr>
    </w:lvl>
    <w:lvl w:ilvl="7" w:tplc="04090019" w:tentative="1">
      <w:start w:val="1"/>
      <w:numFmt w:val="lowerLetter"/>
      <w:lvlText w:val="%8)"/>
      <w:lvlJc w:val="left"/>
      <w:pPr>
        <w:ind w:left="4420" w:hanging="440"/>
      </w:pPr>
    </w:lvl>
    <w:lvl w:ilvl="8" w:tplc="0409001B" w:tentative="1">
      <w:start w:val="1"/>
      <w:numFmt w:val="lowerRoman"/>
      <w:lvlText w:val="%9."/>
      <w:lvlJc w:val="right"/>
      <w:pPr>
        <w:ind w:left="4860" w:hanging="440"/>
      </w:pPr>
    </w:lvl>
  </w:abstractNum>
  <w:abstractNum w:abstractNumId="18" w15:restartNumberingAfterBreak="0">
    <w:nsid w:val="24296487"/>
    <w:multiLevelType w:val="hybridMultilevel"/>
    <w:tmpl w:val="C1D6E508"/>
    <w:lvl w:ilvl="0" w:tplc="0409000F">
      <w:start w:val="1"/>
      <w:numFmt w:val="decimal"/>
      <w:lvlText w:val="%1."/>
      <w:lvlJc w:val="left"/>
      <w:pPr>
        <w:ind w:left="1340" w:hanging="440"/>
      </w:pPr>
    </w:lvl>
    <w:lvl w:ilvl="1" w:tplc="04090019" w:tentative="1">
      <w:start w:val="1"/>
      <w:numFmt w:val="lowerLetter"/>
      <w:lvlText w:val="%2)"/>
      <w:lvlJc w:val="left"/>
      <w:pPr>
        <w:ind w:left="1780" w:hanging="440"/>
      </w:pPr>
    </w:lvl>
    <w:lvl w:ilvl="2" w:tplc="0409001B" w:tentative="1">
      <w:start w:val="1"/>
      <w:numFmt w:val="lowerRoman"/>
      <w:lvlText w:val="%3."/>
      <w:lvlJc w:val="right"/>
      <w:pPr>
        <w:ind w:left="2220" w:hanging="440"/>
      </w:pPr>
    </w:lvl>
    <w:lvl w:ilvl="3" w:tplc="0409000F" w:tentative="1">
      <w:start w:val="1"/>
      <w:numFmt w:val="decimal"/>
      <w:lvlText w:val="%4."/>
      <w:lvlJc w:val="left"/>
      <w:pPr>
        <w:ind w:left="2660" w:hanging="440"/>
      </w:pPr>
    </w:lvl>
    <w:lvl w:ilvl="4" w:tplc="04090019" w:tentative="1">
      <w:start w:val="1"/>
      <w:numFmt w:val="lowerLetter"/>
      <w:lvlText w:val="%5)"/>
      <w:lvlJc w:val="left"/>
      <w:pPr>
        <w:ind w:left="3100" w:hanging="440"/>
      </w:pPr>
    </w:lvl>
    <w:lvl w:ilvl="5" w:tplc="0409001B" w:tentative="1">
      <w:start w:val="1"/>
      <w:numFmt w:val="lowerRoman"/>
      <w:lvlText w:val="%6."/>
      <w:lvlJc w:val="right"/>
      <w:pPr>
        <w:ind w:left="3540" w:hanging="440"/>
      </w:pPr>
    </w:lvl>
    <w:lvl w:ilvl="6" w:tplc="0409000F" w:tentative="1">
      <w:start w:val="1"/>
      <w:numFmt w:val="decimal"/>
      <w:lvlText w:val="%7."/>
      <w:lvlJc w:val="left"/>
      <w:pPr>
        <w:ind w:left="3980" w:hanging="440"/>
      </w:pPr>
    </w:lvl>
    <w:lvl w:ilvl="7" w:tplc="04090019" w:tentative="1">
      <w:start w:val="1"/>
      <w:numFmt w:val="lowerLetter"/>
      <w:lvlText w:val="%8)"/>
      <w:lvlJc w:val="left"/>
      <w:pPr>
        <w:ind w:left="4420" w:hanging="440"/>
      </w:pPr>
    </w:lvl>
    <w:lvl w:ilvl="8" w:tplc="0409001B" w:tentative="1">
      <w:start w:val="1"/>
      <w:numFmt w:val="lowerRoman"/>
      <w:lvlText w:val="%9."/>
      <w:lvlJc w:val="right"/>
      <w:pPr>
        <w:ind w:left="4860" w:hanging="440"/>
      </w:pPr>
    </w:lvl>
  </w:abstractNum>
  <w:abstractNum w:abstractNumId="19" w15:restartNumberingAfterBreak="0">
    <w:nsid w:val="295027A8"/>
    <w:multiLevelType w:val="hybridMultilevel"/>
    <w:tmpl w:val="386C0F9A"/>
    <w:lvl w:ilvl="0" w:tplc="04090015">
      <w:start w:val="1"/>
      <w:numFmt w:val="upperLetter"/>
      <w:lvlText w:val="%1."/>
      <w:lvlJc w:val="left"/>
      <w:pPr>
        <w:ind w:left="1340" w:hanging="440"/>
      </w:pPr>
    </w:lvl>
    <w:lvl w:ilvl="1" w:tplc="04090019" w:tentative="1">
      <w:start w:val="1"/>
      <w:numFmt w:val="lowerLetter"/>
      <w:lvlText w:val="%2)"/>
      <w:lvlJc w:val="left"/>
      <w:pPr>
        <w:ind w:left="1780" w:hanging="440"/>
      </w:pPr>
    </w:lvl>
    <w:lvl w:ilvl="2" w:tplc="0409001B" w:tentative="1">
      <w:start w:val="1"/>
      <w:numFmt w:val="lowerRoman"/>
      <w:lvlText w:val="%3."/>
      <w:lvlJc w:val="right"/>
      <w:pPr>
        <w:ind w:left="2220" w:hanging="440"/>
      </w:pPr>
    </w:lvl>
    <w:lvl w:ilvl="3" w:tplc="0409000F" w:tentative="1">
      <w:start w:val="1"/>
      <w:numFmt w:val="decimal"/>
      <w:lvlText w:val="%4."/>
      <w:lvlJc w:val="left"/>
      <w:pPr>
        <w:ind w:left="2660" w:hanging="440"/>
      </w:pPr>
    </w:lvl>
    <w:lvl w:ilvl="4" w:tplc="04090019" w:tentative="1">
      <w:start w:val="1"/>
      <w:numFmt w:val="lowerLetter"/>
      <w:lvlText w:val="%5)"/>
      <w:lvlJc w:val="left"/>
      <w:pPr>
        <w:ind w:left="3100" w:hanging="440"/>
      </w:pPr>
    </w:lvl>
    <w:lvl w:ilvl="5" w:tplc="0409001B" w:tentative="1">
      <w:start w:val="1"/>
      <w:numFmt w:val="lowerRoman"/>
      <w:lvlText w:val="%6."/>
      <w:lvlJc w:val="right"/>
      <w:pPr>
        <w:ind w:left="3540" w:hanging="440"/>
      </w:pPr>
    </w:lvl>
    <w:lvl w:ilvl="6" w:tplc="0409000F" w:tentative="1">
      <w:start w:val="1"/>
      <w:numFmt w:val="decimal"/>
      <w:lvlText w:val="%7."/>
      <w:lvlJc w:val="left"/>
      <w:pPr>
        <w:ind w:left="3980" w:hanging="440"/>
      </w:pPr>
    </w:lvl>
    <w:lvl w:ilvl="7" w:tplc="04090019" w:tentative="1">
      <w:start w:val="1"/>
      <w:numFmt w:val="lowerLetter"/>
      <w:lvlText w:val="%8)"/>
      <w:lvlJc w:val="left"/>
      <w:pPr>
        <w:ind w:left="4420" w:hanging="440"/>
      </w:pPr>
    </w:lvl>
    <w:lvl w:ilvl="8" w:tplc="0409001B" w:tentative="1">
      <w:start w:val="1"/>
      <w:numFmt w:val="lowerRoman"/>
      <w:lvlText w:val="%9."/>
      <w:lvlJc w:val="right"/>
      <w:pPr>
        <w:ind w:left="4860" w:hanging="440"/>
      </w:pPr>
    </w:lvl>
  </w:abstractNum>
  <w:abstractNum w:abstractNumId="20" w15:restartNumberingAfterBreak="0">
    <w:nsid w:val="29C6415E"/>
    <w:multiLevelType w:val="hybridMultilevel"/>
    <w:tmpl w:val="7AA69E22"/>
    <w:lvl w:ilvl="0" w:tplc="FFFFFFFF">
      <w:start w:val="1"/>
      <w:numFmt w:val="upperLetter"/>
      <w:lvlText w:val="%1."/>
      <w:lvlJc w:val="left"/>
      <w:pPr>
        <w:ind w:left="1149" w:hanging="440"/>
      </w:pPr>
    </w:lvl>
    <w:lvl w:ilvl="1" w:tplc="04090015">
      <w:start w:val="1"/>
      <w:numFmt w:val="upperLetter"/>
      <w:lvlText w:val="%2."/>
      <w:lvlJc w:val="left"/>
      <w:pPr>
        <w:ind w:left="1340" w:hanging="440"/>
      </w:pPr>
    </w:lvl>
    <w:lvl w:ilvl="2" w:tplc="FFFFFFFF" w:tentative="1">
      <w:start w:val="1"/>
      <w:numFmt w:val="lowerRoman"/>
      <w:lvlText w:val="%3."/>
      <w:lvlJc w:val="right"/>
      <w:pPr>
        <w:ind w:left="2029" w:hanging="440"/>
      </w:pPr>
    </w:lvl>
    <w:lvl w:ilvl="3" w:tplc="FFFFFFFF" w:tentative="1">
      <w:start w:val="1"/>
      <w:numFmt w:val="decimal"/>
      <w:lvlText w:val="%4."/>
      <w:lvlJc w:val="left"/>
      <w:pPr>
        <w:ind w:left="2469" w:hanging="440"/>
      </w:pPr>
    </w:lvl>
    <w:lvl w:ilvl="4" w:tplc="FFFFFFFF" w:tentative="1">
      <w:start w:val="1"/>
      <w:numFmt w:val="lowerLetter"/>
      <w:lvlText w:val="%5)"/>
      <w:lvlJc w:val="left"/>
      <w:pPr>
        <w:ind w:left="2909" w:hanging="440"/>
      </w:pPr>
    </w:lvl>
    <w:lvl w:ilvl="5" w:tplc="FFFFFFFF" w:tentative="1">
      <w:start w:val="1"/>
      <w:numFmt w:val="lowerRoman"/>
      <w:lvlText w:val="%6."/>
      <w:lvlJc w:val="right"/>
      <w:pPr>
        <w:ind w:left="3349" w:hanging="440"/>
      </w:pPr>
    </w:lvl>
    <w:lvl w:ilvl="6" w:tplc="FFFFFFFF" w:tentative="1">
      <w:start w:val="1"/>
      <w:numFmt w:val="decimal"/>
      <w:lvlText w:val="%7."/>
      <w:lvlJc w:val="left"/>
      <w:pPr>
        <w:ind w:left="3789" w:hanging="440"/>
      </w:pPr>
    </w:lvl>
    <w:lvl w:ilvl="7" w:tplc="FFFFFFFF" w:tentative="1">
      <w:start w:val="1"/>
      <w:numFmt w:val="lowerLetter"/>
      <w:lvlText w:val="%8)"/>
      <w:lvlJc w:val="left"/>
      <w:pPr>
        <w:ind w:left="4229" w:hanging="440"/>
      </w:pPr>
    </w:lvl>
    <w:lvl w:ilvl="8" w:tplc="FFFFFFFF" w:tentative="1">
      <w:start w:val="1"/>
      <w:numFmt w:val="lowerRoman"/>
      <w:lvlText w:val="%9."/>
      <w:lvlJc w:val="right"/>
      <w:pPr>
        <w:ind w:left="4669" w:hanging="440"/>
      </w:pPr>
    </w:lvl>
  </w:abstractNum>
  <w:abstractNum w:abstractNumId="21" w15:restartNumberingAfterBreak="0">
    <w:nsid w:val="2B5350D6"/>
    <w:multiLevelType w:val="hybridMultilevel"/>
    <w:tmpl w:val="8300FDF8"/>
    <w:lvl w:ilvl="0" w:tplc="B0380142">
      <w:start w:val="1"/>
      <w:numFmt w:val="lowerLetter"/>
      <w:lvlText w:val="(%1)"/>
      <w:lvlJc w:val="left"/>
      <w:pPr>
        <w:ind w:left="2260" w:hanging="360"/>
      </w:pPr>
      <w:rPr>
        <w:rFonts w:hint="default"/>
      </w:rPr>
    </w:lvl>
    <w:lvl w:ilvl="1" w:tplc="FFFFFFFF">
      <w:start w:val="1"/>
      <w:numFmt w:val="lowerLetter"/>
      <w:lvlText w:val="%2."/>
      <w:lvlJc w:val="left"/>
      <w:pPr>
        <w:ind w:left="1733" w:hanging="360"/>
      </w:pPr>
    </w:lvl>
    <w:lvl w:ilvl="2" w:tplc="FFFFFFFF">
      <w:start w:val="1"/>
      <w:numFmt w:val="lowerRoman"/>
      <w:lvlText w:val="%3."/>
      <w:lvlJc w:val="right"/>
      <w:pPr>
        <w:ind w:left="2453" w:hanging="180"/>
      </w:pPr>
    </w:lvl>
    <w:lvl w:ilvl="3" w:tplc="FFFFFFFF">
      <w:start w:val="1"/>
      <w:numFmt w:val="lowerLetter"/>
      <w:lvlText w:val="(%4)"/>
      <w:lvlJc w:val="left"/>
      <w:pPr>
        <w:ind w:left="1108" w:hanging="360"/>
      </w:pPr>
      <w:rPr>
        <w:rFonts w:hint="default"/>
      </w:r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22"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CDB5FB6"/>
    <w:multiLevelType w:val="hybridMultilevel"/>
    <w:tmpl w:val="B7C0BABE"/>
    <w:lvl w:ilvl="0" w:tplc="FFFFFFFF">
      <w:start w:val="1"/>
      <w:numFmt w:val="upperLetter"/>
      <w:lvlText w:val="%1."/>
      <w:lvlJc w:val="left"/>
      <w:pPr>
        <w:ind w:left="1340" w:hanging="440"/>
      </w:pPr>
    </w:lvl>
    <w:lvl w:ilvl="1" w:tplc="04090015">
      <w:start w:val="1"/>
      <w:numFmt w:val="upperLetter"/>
      <w:lvlText w:val="%2."/>
      <w:lvlJc w:val="left"/>
      <w:pPr>
        <w:ind w:left="1340" w:hanging="440"/>
      </w:pPr>
    </w:lvl>
    <w:lvl w:ilvl="2" w:tplc="FFFFFFFF" w:tentative="1">
      <w:start w:val="1"/>
      <w:numFmt w:val="lowerRoman"/>
      <w:lvlText w:val="%3."/>
      <w:lvlJc w:val="right"/>
      <w:pPr>
        <w:ind w:left="2220" w:hanging="440"/>
      </w:pPr>
    </w:lvl>
    <w:lvl w:ilvl="3" w:tplc="FFFFFFFF" w:tentative="1">
      <w:start w:val="1"/>
      <w:numFmt w:val="decimal"/>
      <w:lvlText w:val="%4."/>
      <w:lvlJc w:val="left"/>
      <w:pPr>
        <w:ind w:left="2660" w:hanging="440"/>
      </w:pPr>
    </w:lvl>
    <w:lvl w:ilvl="4" w:tplc="FFFFFFFF" w:tentative="1">
      <w:start w:val="1"/>
      <w:numFmt w:val="lowerLetter"/>
      <w:lvlText w:val="%5)"/>
      <w:lvlJc w:val="left"/>
      <w:pPr>
        <w:ind w:left="3100" w:hanging="440"/>
      </w:pPr>
    </w:lvl>
    <w:lvl w:ilvl="5" w:tplc="FFFFFFFF" w:tentative="1">
      <w:start w:val="1"/>
      <w:numFmt w:val="lowerRoman"/>
      <w:lvlText w:val="%6."/>
      <w:lvlJc w:val="right"/>
      <w:pPr>
        <w:ind w:left="3540" w:hanging="440"/>
      </w:pPr>
    </w:lvl>
    <w:lvl w:ilvl="6" w:tplc="FFFFFFFF" w:tentative="1">
      <w:start w:val="1"/>
      <w:numFmt w:val="decimal"/>
      <w:lvlText w:val="%7."/>
      <w:lvlJc w:val="left"/>
      <w:pPr>
        <w:ind w:left="3980" w:hanging="440"/>
      </w:pPr>
    </w:lvl>
    <w:lvl w:ilvl="7" w:tplc="FFFFFFFF" w:tentative="1">
      <w:start w:val="1"/>
      <w:numFmt w:val="lowerLetter"/>
      <w:lvlText w:val="%8)"/>
      <w:lvlJc w:val="left"/>
      <w:pPr>
        <w:ind w:left="4420" w:hanging="440"/>
      </w:pPr>
    </w:lvl>
    <w:lvl w:ilvl="8" w:tplc="FFFFFFFF" w:tentative="1">
      <w:start w:val="1"/>
      <w:numFmt w:val="lowerRoman"/>
      <w:lvlText w:val="%9."/>
      <w:lvlJc w:val="right"/>
      <w:pPr>
        <w:ind w:left="4860" w:hanging="440"/>
      </w:pPr>
    </w:lvl>
  </w:abstractNum>
  <w:abstractNum w:abstractNumId="24" w15:restartNumberingAfterBreak="0">
    <w:nsid w:val="44D31D6C"/>
    <w:multiLevelType w:val="hybridMultilevel"/>
    <w:tmpl w:val="DB6091D2"/>
    <w:lvl w:ilvl="0" w:tplc="FFFFFFFF">
      <w:start w:val="1"/>
      <w:numFmt w:val="upperLetter"/>
      <w:lvlText w:val="%1."/>
      <w:lvlJc w:val="left"/>
      <w:pPr>
        <w:ind w:left="1342" w:hanging="440"/>
      </w:pPr>
    </w:lvl>
    <w:lvl w:ilvl="1" w:tplc="04090015">
      <w:start w:val="1"/>
      <w:numFmt w:val="upperLetter"/>
      <w:lvlText w:val="%2."/>
      <w:lvlJc w:val="left"/>
      <w:pPr>
        <w:ind w:left="1340" w:hanging="440"/>
      </w:pPr>
    </w:lvl>
    <w:lvl w:ilvl="2" w:tplc="FFFFFFFF" w:tentative="1">
      <w:start w:val="1"/>
      <w:numFmt w:val="lowerRoman"/>
      <w:lvlText w:val="%3."/>
      <w:lvlJc w:val="right"/>
      <w:pPr>
        <w:ind w:left="2222" w:hanging="440"/>
      </w:pPr>
    </w:lvl>
    <w:lvl w:ilvl="3" w:tplc="FFFFFFFF" w:tentative="1">
      <w:start w:val="1"/>
      <w:numFmt w:val="decimal"/>
      <w:lvlText w:val="%4."/>
      <w:lvlJc w:val="left"/>
      <w:pPr>
        <w:ind w:left="2662" w:hanging="440"/>
      </w:pPr>
    </w:lvl>
    <w:lvl w:ilvl="4" w:tplc="FFFFFFFF" w:tentative="1">
      <w:start w:val="1"/>
      <w:numFmt w:val="lowerLetter"/>
      <w:lvlText w:val="%5)"/>
      <w:lvlJc w:val="left"/>
      <w:pPr>
        <w:ind w:left="3102" w:hanging="440"/>
      </w:pPr>
    </w:lvl>
    <w:lvl w:ilvl="5" w:tplc="FFFFFFFF" w:tentative="1">
      <w:start w:val="1"/>
      <w:numFmt w:val="lowerRoman"/>
      <w:lvlText w:val="%6."/>
      <w:lvlJc w:val="right"/>
      <w:pPr>
        <w:ind w:left="3542" w:hanging="440"/>
      </w:pPr>
    </w:lvl>
    <w:lvl w:ilvl="6" w:tplc="FFFFFFFF" w:tentative="1">
      <w:start w:val="1"/>
      <w:numFmt w:val="decimal"/>
      <w:lvlText w:val="%7."/>
      <w:lvlJc w:val="left"/>
      <w:pPr>
        <w:ind w:left="3982" w:hanging="440"/>
      </w:pPr>
    </w:lvl>
    <w:lvl w:ilvl="7" w:tplc="FFFFFFFF" w:tentative="1">
      <w:start w:val="1"/>
      <w:numFmt w:val="lowerLetter"/>
      <w:lvlText w:val="%8)"/>
      <w:lvlJc w:val="left"/>
      <w:pPr>
        <w:ind w:left="4422" w:hanging="440"/>
      </w:pPr>
    </w:lvl>
    <w:lvl w:ilvl="8" w:tplc="FFFFFFFF" w:tentative="1">
      <w:start w:val="1"/>
      <w:numFmt w:val="lowerRoman"/>
      <w:lvlText w:val="%9."/>
      <w:lvlJc w:val="right"/>
      <w:pPr>
        <w:ind w:left="4862" w:hanging="440"/>
      </w:pPr>
    </w:lvl>
  </w:abstractNum>
  <w:abstractNum w:abstractNumId="25"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47584270"/>
    <w:multiLevelType w:val="hybridMultilevel"/>
    <w:tmpl w:val="6082DA5C"/>
    <w:lvl w:ilvl="0" w:tplc="81CAB4C4">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F45A9B"/>
    <w:multiLevelType w:val="hybridMultilevel"/>
    <w:tmpl w:val="E0FCA506"/>
    <w:lvl w:ilvl="0" w:tplc="FFFFFFFF">
      <w:start w:val="1"/>
      <w:numFmt w:val="decimal"/>
      <w:lvlText w:val="%1."/>
      <w:lvlJc w:val="left"/>
      <w:pPr>
        <w:ind w:left="2311" w:hanging="440"/>
      </w:pPr>
    </w:lvl>
    <w:lvl w:ilvl="1" w:tplc="0409000F">
      <w:start w:val="1"/>
      <w:numFmt w:val="decimal"/>
      <w:lvlText w:val="%2."/>
      <w:lvlJc w:val="left"/>
      <w:pPr>
        <w:ind w:left="2751" w:hanging="440"/>
      </w:pPr>
    </w:lvl>
    <w:lvl w:ilvl="2" w:tplc="FFFFFFFF" w:tentative="1">
      <w:start w:val="1"/>
      <w:numFmt w:val="lowerRoman"/>
      <w:lvlText w:val="%3."/>
      <w:lvlJc w:val="right"/>
      <w:pPr>
        <w:ind w:left="3191" w:hanging="440"/>
      </w:pPr>
    </w:lvl>
    <w:lvl w:ilvl="3" w:tplc="FFFFFFFF" w:tentative="1">
      <w:start w:val="1"/>
      <w:numFmt w:val="decimal"/>
      <w:lvlText w:val="%4."/>
      <w:lvlJc w:val="left"/>
      <w:pPr>
        <w:ind w:left="3631" w:hanging="440"/>
      </w:pPr>
    </w:lvl>
    <w:lvl w:ilvl="4" w:tplc="FFFFFFFF" w:tentative="1">
      <w:start w:val="1"/>
      <w:numFmt w:val="lowerLetter"/>
      <w:lvlText w:val="%5)"/>
      <w:lvlJc w:val="left"/>
      <w:pPr>
        <w:ind w:left="4071" w:hanging="440"/>
      </w:pPr>
    </w:lvl>
    <w:lvl w:ilvl="5" w:tplc="FFFFFFFF" w:tentative="1">
      <w:start w:val="1"/>
      <w:numFmt w:val="lowerRoman"/>
      <w:lvlText w:val="%6."/>
      <w:lvlJc w:val="right"/>
      <w:pPr>
        <w:ind w:left="4511" w:hanging="440"/>
      </w:pPr>
    </w:lvl>
    <w:lvl w:ilvl="6" w:tplc="FFFFFFFF" w:tentative="1">
      <w:start w:val="1"/>
      <w:numFmt w:val="decimal"/>
      <w:lvlText w:val="%7."/>
      <w:lvlJc w:val="left"/>
      <w:pPr>
        <w:ind w:left="4951" w:hanging="440"/>
      </w:pPr>
    </w:lvl>
    <w:lvl w:ilvl="7" w:tplc="FFFFFFFF" w:tentative="1">
      <w:start w:val="1"/>
      <w:numFmt w:val="lowerLetter"/>
      <w:lvlText w:val="%8)"/>
      <w:lvlJc w:val="left"/>
      <w:pPr>
        <w:ind w:left="5391" w:hanging="440"/>
      </w:pPr>
    </w:lvl>
    <w:lvl w:ilvl="8" w:tplc="FFFFFFFF" w:tentative="1">
      <w:start w:val="1"/>
      <w:numFmt w:val="lowerRoman"/>
      <w:lvlText w:val="%9."/>
      <w:lvlJc w:val="right"/>
      <w:pPr>
        <w:ind w:left="5831" w:hanging="440"/>
      </w:pPr>
    </w:lvl>
  </w:abstractNum>
  <w:abstractNum w:abstractNumId="28" w15:restartNumberingAfterBreak="0">
    <w:nsid w:val="4F221989"/>
    <w:multiLevelType w:val="hybridMultilevel"/>
    <w:tmpl w:val="4B78CF58"/>
    <w:lvl w:ilvl="0" w:tplc="FFFFFFFF">
      <w:start w:val="1"/>
      <w:numFmt w:val="upperLetter"/>
      <w:lvlText w:val="%1."/>
      <w:lvlJc w:val="left"/>
      <w:pPr>
        <w:ind w:left="1340" w:hanging="440"/>
      </w:pPr>
    </w:lvl>
    <w:lvl w:ilvl="1" w:tplc="04090015">
      <w:start w:val="1"/>
      <w:numFmt w:val="upperLetter"/>
      <w:lvlText w:val="%2."/>
      <w:lvlJc w:val="left"/>
      <w:pPr>
        <w:ind w:left="1340" w:hanging="440"/>
      </w:pPr>
    </w:lvl>
    <w:lvl w:ilvl="2" w:tplc="FFFFFFFF" w:tentative="1">
      <w:start w:val="1"/>
      <w:numFmt w:val="lowerRoman"/>
      <w:lvlText w:val="%3."/>
      <w:lvlJc w:val="right"/>
      <w:pPr>
        <w:ind w:left="2220" w:hanging="440"/>
      </w:pPr>
    </w:lvl>
    <w:lvl w:ilvl="3" w:tplc="FFFFFFFF" w:tentative="1">
      <w:start w:val="1"/>
      <w:numFmt w:val="decimal"/>
      <w:lvlText w:val="%4."/>
      <w:lvlJc w:val="left"/>
      <w:pPr>
        <w:ind w:left="2660" w:hanging="440"/>
      </w:pPr>
    </w:lvl>
    <w:lvl w:ilvl="4" w:tplc="FFFFFFFF" w:tentative="1">
      <w:start w:val="1"/>
      <w:numFmt w:val="lowerLetter"/>
      <w:lvlText w:val="%5)"/>
      <w:lvlJc w:val="left"/>
      <w:pPr>
        <w:ind w:left="3100" w:hanging="440"/>
      </w:pPr>
    </w:lvl>
    <w:lvl w:ilvl="5" w:tplc="FFFFFFFF" w:tentative="1">
      <w:start w:val="1"/>
      <w:numFmt w:val="lowerRoman"/>
      <w:lvlText w:val="%6."/>
      <w:lvlJc w:val="right"/>
      <w:pPr>
        <w:ind w:left="3540" w:hanging="440"/>
      </w:pPr>
    </w:lvl>
    <w:lvl w:ilvl="6" w:tplc="FFFFFFFF" w:tentative="1">
      <w:start w:val="1"/>
      <w:numFmt w:val="decimal"/>
      <w:lvlText w:val="%7."/>
      <w:lvlJc w:val="left"/>
      <w:pPr>
        <w:ind w:left="3980" w:hanging="440"/>
      </w:pPr>
    </w:lvl>
    <w:lvl w:ilvl="7" w:tplc="FFFFFFFF" w:tentative="1">
      <w:start w:val="1"/>
      <w:numFmt w:val="lowerLetter"/>
      <w:lvlText w:val="%8)"/>
      <w:lvlJc w:val="left"/>
      <w:pPr>
        <w:ind w:left="4420" w:hanging="440"/>
      </w:pPr>
    </w:lvl>
    <w:lvl w:ilvl="8" w:tplc="FFFFFFFF" w:tentative="1">
      <w:start w:val="1"/>
      <w:numFmt w:val="lowerRoman"/>
      <w:lvlText w:val="%9."/>
      <w:lvlJc w:val="right"/>
      <w:pPr>
        <w:ind w:left="4860" w:hanging="440"/>
      </w:pPr>
    </w:lvl>
  </w:abstractNum>
  <w:abstractNum w:abstractNumId="29" w15:restartNumberingAfterBreak="0">
    <w:nsid w:val="4F540217"/>
    <w:multiLevelType w:val="hybridMultilevel"/>
    <w:tmpl w:val="2D568804"/>
    <w:lvl w:ilvl="0" w:tplc="FFFFFFFF">
      <w:start w:val="1"/>
      <w:numFmt w:val="upperLetter"/>
      <w:lvlText w:val="%1."/>
      <w:lvlJc w:val="left"/>
      <w:pPr>
        <w:ind w:left="440" w:hanging="440"/>
      </w:pPr>
    </w:lvl>
    <w:lvl w:ilvl="1" w:tplc="04090015">
      <w:start w:val="1"/>
      <w:numFmt w:val="upperLetter"/>
      <w:lvlText w:val="%2."/>
      <w:lvlJc w:val="left"/>
      <w:pPr>
        <w:ind w:left="134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0"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1" w15:restartNumberingAfterBreak="0">
    <w:nsid w:val="56CE7693"/>
    <w:multiLevelType w:val="hybridMultilevel"/>
    <w:tmpl w:val="507E7866"/>
    <w:lvl w:ilvl="0" w:tplc="C99E3B0C">
      <w:start w:val="1"/>
      <w:numFmt w:val="lowerLetter"/>
      <w:lvlText w:val="(%1)"/>
      <w:lvlJc w:val="left"/>
      <w:pPr>
        <w:ind w:left="2687" w:hanging="360"/>
      </w:pPr>
      <w:rPr>
        <w:rFonts w:hint="default"/>
      </w:rPr>
    </w:lvl>
    <w:lvl w:ilvl="1" w:tplc="08090019" w:tentative="1">
      <w:start w:val="1"/>
      <w:numFmt w:val="lowerLetter"/>
      <w:lvlText w:val="%2."/>
      <w:lvlJc w:val="left"/>
      <w:pPr>
        <w:ind w:left="3407" w:hanging="360"/>
      </w:pPr>
    </w:lvl>
    <w:lvl w:ilvl="2" w:tplc="0809001B" w:tentative="1">
      <w:start w:val="1"/>
      <w:numFmt w:val="lowerRoman"/>
      <w:lvlText w:val="%3."/>
      <w:lvlJc w:val="right"/>
      <w:pPr>
        <w:ind w:left="4127" w:hanging="180"/>
      </w:pPr>
    </w:lvl>
    <w:lvl w:ilvl="3" w:tplc="0809000F" w:tentative="1">
      <w:start w:val="1"/>
      <w:numFmt w:val="decimal"/>
      <w:lvlText w:val="%4."/>
      <w:lvlJc w:val="left"/>
      <w:pPr>
        <w:ind w:left="4847" w:hanging="360"/>
      </w:pPr>
    </w:lvl>
    <w:lvl w:ilvl="4" w:tplc="08090019" w:tentative="1">
      <w:start w:val="1"/>
      <w:numFmt w:val="lowerLetter"/>
      <w:lvlText w:val="%5."/>
      <w:lvlJc w:val="left"/>
      <w:pPr>
        <w:ind w:left="5567" w:hanging="360"/>
      </w:pPr>
    </w:lvl>
    <w:lvl w:ilvl="5" w:tplc="0809001B" w:tentative="1">
      <w:start w:val="1"/>
      <w:numFmt w:val="lowerRoman"/>
      <w:lvlText w:val="%6."/>
      <w:lvlJc w:val="right"/>
      <w:pPr>
        <w:ind w:left="6287" w:hanging="180"/>
      </w:pPr>
    </w:lvl>
    <w:lvl w:ilvl="6" w:tplc="0809000F" w:tentative="1">
      <w:start w:val="1"/>
      <w:numFmt w:val="decimal"/>
      <w:lvlText w:val="%7."/>
      <w:lvlJc w:val="left"/>
      <w:pPr>
        <w:ind w:left="7007" w:hanging="360"/>
      </w:pPr>
    </w:lvl>
    <w:lvl w:ilvl="7" w:tplc="08090019" w:tentative="1">
      <w:start w:val="1"/>
      <w:numFmt w:val="lowerLetter"/>
      <w:lvlText w:val="%8."/>
      <w:lvlJc w:val="left"/>
      <w:pPr>
        <w:ind w:left="7727" w:hanging="360"/>
      </w:pPr>
    </w:lvl>
    <w:lvl w:ilvl="8" w:tplc="0809001B" w:tentative="1">
      <w:start w:val="1"/>
      <w:numFmt w:val="lowerRoman"/>
      <w:lvlText w:val="%9."/>
      <w:lvlJc w:val="right"/>
      <w:pPr>
        <w:ind w:left="8447" w:hanging="180"/>
      </w:pPr>
    </w:lvl>
  </w:abstractNum>
  <w:abstractNum w:abstractNumId="32" w15:restartNumberingAfterBreak="0">
    <w:nsid w:val="640A2A41"/>
    <w:multiLevelType w:val="hybridMultilevel"/>
    <w:tmpl w:val="01FC5854"/>
    <w:lvl w:ilvl="0" w:tplc="04090013">
      <w:start w:val="1"/>
      <w:numFmt w:val="chineseCountingThousand"/>
      <w:lvlText w:val="%1、"/>
      <w:lvlJc w:val="left"/>
      <w:pPr>
        <w:ind w:left="980" w:hanging="440"/>
      </w:pPr>
    </w:lvl>
    <w:lvl w:ilvl="1" w:tplc="EE3CFD54">
      <w:start w:val="1"/>
      <w:numFmt w:val="japaneseCounting"/>
      <w:lvlText w:val="%2、"/>
      <w:lvlJc w:val="left"/>
      <w:pPr>
        <w:ind w:left="1700" w:hanging="720"/>
      </w:pPr>
      <w:rPr>
        <w:rFonts w:hint="default"/>
      </w:rPr>
    </w:lvl>
    <w:lvl w:ilvl="2" w:tplc="0409001B" w:tentative="1">
      <w:start w:val="1"/>
      <w:numFmt w:val="lowerRoman"/>
      <w:lvlText w:val="%3."/>
      <w:lvlJc w:val="right"/>
      <w:pPr>
        <w:ind w:left="1860" w:hanging="440"/>
      </w:pPr>
    </w:lvl>
    <w:lvl w:ilvl="3" w:tplc="0409000F" w:tentative="1">
      <w:start w:val="1"/>
      <w:numFmt w:val="decimal"/>
      <w:lvlText w:val="%4."/>
      <w:lvlJc w:val="left"/>
      <w:pPr>
        <w:ind w:left="2300" w:hanging="440"/>
      </w:pPr>
    </w:lvl>
    <w:lvl w:ilvl="4" w:tplc="04090019" w:tentative="1">
      <w:start w:val="1"/>
      <w:numFmt w:val="lowerLetter"/>
      <w:lvlText w:val="%5)"/>
      <w:lvlJc w:val="left"/>
      <w:pPr>
        <w:ind w:left="2740" w:hanging="440"/>
      </w:pPr>
    </w:lvl>
    <w:lvl w:ilvl="5" w:tplc="0409001B" w:tentative="1">
      <w:start w:val="1"/>
      <w:numFmt w:val="lowerRoman"/>
      <w:lvlText w:val="%6."/>
      <w:lvlJc w:val="right"/>
      <w:pPr>
        <w:ind w:left="3180" w:hanging="440"/>
      </w:pPr>
    </w:lvl>
    <w:lvl w:ilvl="6" w:tplc="0409000F" w:tentative="1">
      <w:start w:val="1"/>
      <w:numFmt w:val="decimal"/>
      <w:lvlText w:val="%7."/>
      <w:lvlJc w:val="left"/>
      <w:pPr>
        <w:ind w:left="3620" w:hanging="440"/>
      </w:pPr>
    </w:lvl>
    <w:lvl w:ilvl="7" w:tplc="04090019" w:tentative="1">
      <w:start w:val="1"/>
      <w:numFmt w:val="lowerLetter"/>
      <w:lvlText w:val="%8)"/>
      <w:lvlJc w:val="left"/>
      <w:pPr>
        <w:ind w:left="4060" w:hanging="440"/>
      </w:pPr>
    </w:lvl>
    <w:lvl w:ilvl="8" w:tplc="0409001B" w:tentative="1">
      <w:start w:val="1"/>
      <w:numFmt w:val="lowerRoman"/>
      <w:lvlText w:val="%9."/>
      <w:lvlJc w:val="right"/>
      <w:pPr>
        <w:ind w:left="4500" w:hanging="440"/>
      </w:pPr>
    </w:lvl>
  </w:abstractNum>
  <w:abstractNum w:abstractNumId="33" w15:restartNumberingAfterBreak="0">
    <w:nsid w:val="6BBC4811"/>
    <w:multiLevelType w:val="hybridMultilevel"/>
    <w:tmpl w:val="13200174"/>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3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5" w15:restartNumberingAfterBreak="0">
    <w:nsid w:val="71EF28B0"/>
    <w:multiLevelType w:val="hybridMultilevel"/>
    <w:tmpl w:val="57027E58"/>
    <w:lvl w:ilvl="0" w:tplc="4148CD2A">
      <w:start w:val="1"/>
      <w:numFmt w:val="decimal"/>
      <w:lvlText w:val="%1."/>
      <w:lvlJc w:val="left"/>
      <w:pPr>
        <w:ind w:left="1248" w:hanging="360"/>
      </w:pPr>
      <w:rPr>
        <w:rFonts w:hint="default"/>
        <w:b w:val="0"/>
        <w:bCs/>
      </w:rPr>
    </w:lvl>
    <w:lvl w:ilvl="1" w:tplc="69A42AA4">
      <w:start w:val="1"/>
      <w:numFmt w:val="upperLetter"/>
      <w:lvlText w:val="%2."/>
      <w:lvlJc w:val="left"/>
      <w:pPr>
        <w:ind w:left="-353" w:hanging="360"/>
      </w:pPr>
      <w:rPr>
        <w:rFonts w:hint="default"/>
      </w:rPr>
    </w:lvl>
    <w:lvl w:ilvl="2" w:tplc="0409001B" w:tentative="1">
      <w:start w:val="1"/>
      <w:numFmt w:val="lowerRoman"/>
      <w:lvlText w:val="%3."/>
      <w:lvlJc w:val="right"/>
      <w:pPr>
        <w:ind w:left="367" w:hanging="180"/>
      </w:pPr>
    </w:lvl>
    <w:lvl w:ilvl="3" w:tplc="0409000F" w:tentative="1">
      <w:start w:val="1"/>
      <w:numFmt w:val="decimal"/>
      <w:lvlText w:val="%4."/>
      <w:lvlJc w:val="left"/>
      <w:pPr>
        <w:ind w:left="1087" w:hanging="360"/>
      </w:pPr>
    </w:lvl>
    <w:lvl w:ilvl="4" w:tplc="04090019" w:tentative="1">
      <w:start w:val="1"/>
      <w:numFmt w:val="lowerLetter"/>
      <w:lvlText w:val="%5."/>
      <w:lvlJc w:val="left"/>
      <w:pPr>
        <w:ind w:left="1807" w:hanging="360"/>
      </w:pPr>
    </w:lvl>
    <w:lvl w:ilvl="5" w:tplc="0409001B" w:tentative="1">
      <w:start w:val="1"/>
      <w:numFmt w:val="lowerRoman"/>
      <w:lvlText w:val="%6."/>
      <w:lvlJc w:val="right"/>
      <w:pPr>
        <w:ind w:left="2527" w:hanging="180"/>
      </w:pPr>
    </w:lvl>
    <w:lvl w:ilvl="6" w:tplc="0409000F" w:tentative="1">
      <w:start w:val="1"/>
      <w:numFmt w:val="decimal"/>
      <w:lvlText w:val="%7."/>
      <w:lvlJc w:val="left"/>
      <w:pPr>
        <w:ind w:left="3247" w:hanging="360"/>
      </w:pPr>
    </w:lvl>
    <w:lvl w:ilvl="7" w:tplc="04090019" w:tentative="1">
      <w:start w:val="1"/>
      <w:numFmt w:val="lowerLetter"/>
      <w:lvlText w:val="%8."/>
      <w:lvlJc w:val="left"/>
      <w:pPr>
        <w:ind w:left="3967" w:hanging="360"/>
      </w:pPr>
    </w:lvl>
    <w:lvl w:ilvl="8" w:tplc="0409001B" w:tentative="1">
      <w:start w:val="1"/>
      <w:numFmt w:val="lowerRoman"/>
      <w:lvlText w:val="%9."/>
      <w:lvlJc w:val="right"/>
      <w:pPr>
        <w:ind w:left="4687" w:hanging="180"/>
      </w:pPr>
    </w:lvl>
  </w:abstractNum>
  <w:abstractNum w:abstractNumId="36"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37"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30"/>
  </w:num>
  <w:num w:numId="2" w16cid:durableId="1242644713">
    <w:abstractNumId w:val="34"/>
  </w:num>
  <w:num w:numId="3" w16cid:durableId="1933662228">
    <w:abstractNumId w:val="22"/>
  </w:num>
  <w:num w:numId="4" w16cid:durableId="1991909117">
    <w:abstractNumId w:val="11"/>
  </w:num>
  <w:num w:numId="5" w16cid:durableId="1138956019">
    <w:abstractNumId w:val="14"/>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344552741">
    <w:abstractNumId w:val="31"/>
    <w:lvlOverride w:ilvl="0">
      <w:lvl w:ilvl="0" w:tplc="C99E3B0C">
        <w:start w:val="1"/>
        <w:numFmt w:val="lowerLetter"/>
        <w:lvlText w:val="(%1)"/>
        <w:lvlJc w:val="left"/>
        <w:pPr>
          <w:ind w:left="2687" w:hanging="360"/>
        </w:pPr>
        <w:rPr>
          <w:rFonts w:hint="default"/>
        </w:rPr>
      </w:lvl>
    </w:lvlOverride>
  </w:num>
  <w:num w:numId="17" w16cid:durableId="1448887245">
    <w:abstractNumId w:val="21"/>
    <w:lvlOverride w:ilvl="0">
      <w:lvl w:ilvl="0" w:tplc="B0380142">
        <w:start w:val="1"/>
        <w:numFmt w:val="lowerLetter"/>
        <w:lvlText w:val="(%1)"/>
        <w:lvlJc w:val="left"/>
        <w:pPr>
          <w:ind w:left="2260" w:hanging="360"/>
        </w:pPr>
        <w:rPr>
          <w:rFonts w:hint="default"/>
        </w:rPr>
      </w:lvl>
    </w:lvlOverride>
  </w:num>
  <w:num w:numId="18" w16cid:durableId="1126000753">
    <w:abstractNumId w:val="10"/>
    <w:lvlOverride w:ilvl="0">
      <w:lvl w:ilvl="0" w:tplc="0809000F">
        <w:start w:val="1"/>
        <w:numFmt w:val="decimal"/>
        <w:lvlText w:val="%1."/>
        <w:lvlJc w:val="left"/>
        <w:pPr>
          <w:ind w:left="1967" w:hanging="360"/>
        </w:pPr>
      </w:lvl>
    </w:lvlOverride>
  </w:num>
  <w:num w:numId="19" w16cid:durableId="427972397">
    <w:abstractNumId w:val="16"/>
  </w:num>
  <w:num w:numId="20" w16cid:durableId="1793208357">
    <w:abstractNumId w:val="25"/>
    <w:lvlOverride w:ilvl="0">
      <w:lvl w:ilvl="0" w:tplc="0809000F">
        <w:start w:val="1"/>
        <w:numFmt w:val="decimal"/>
        <w:lvlText w:val="%1."/>
        <w:lvlJc w:val="left"/>
        <w:pPr>
          <w:ind w:left="1967" w:hanging="360"/>
        </w:pPr>
      </w:lvl>
    </w:lvlOverride>
  </w:num>
  <w:num w:numId="21" w16cid:durableId="232929743">
    <w:abstractNumId w:val="35"/>
    <w:lvlOverride w:ilvl="0">
      <w:lvl w:ilvl="0" w:tplc="4148CD2A">
        <w:start w:val="1"/>
        <w:numFmt w:val="decimal"/>
        <w:lvlText w:val="%1."/>
        <w:lvlJc w:val="left"/>
        <w:pPr>
          <w:ind w:left="1248" w:hanging="360"/>
        </w:pPr>
        <w:rPr>
          <w:rFonts w:hint="default"/>
          <w:b w:val="0"/>
          <w:bCs/>
        </w:rPr>
      </w:lvl>
    </w:lvlOverride>
  </w:num>
  <w:num w:numId="22" w16cid:durableId="2108504120">
    <w:abstractNumId w:val="13"/>
    <w:lvlOverride w:ilvl="0">
      <w:lvl w:ilvl="0" w:tplc="0809000F">
        <w:start w:val="1"/>
        <w:numFmt w:val="decimal"/>
        <w:lvlText w:val="%1."/>
        <w:lvlJc w:val="left"/>
        <w:pPr>
          <w:ind w:left="1967" w:hanging="360"/>
        </w:pPr>
      </w:lvl>
    </w:lvlOverride>
  </w:num>
  <w:num w:numId="23" w16cid:durableId="1683317142">
    <w:abstractNumId w:val="36"/>
    <w:lvlOverride w:ilvl="0">
      <w:lvl w:ilvl="0" w:tplc="3496B362">
        <w:start w:val="1"/>
        <w:numFmt w:val="bullet"/>
        <w:lvlText w:val=""/>
        <w:lvlJc w:val="left"/>
        <w:pPr>
          <w:ind w:left="1967" w:hanging="360"/>
        </w:pPr>
        <w:rPr>
          <w:rFonts w:ascii="Symbol" w:hAnsi="Symbol" w:hint="default"/>
        </w:rPr>
      </w:lvl>
    </w:lvlOverride>
  </w:num>
  <w:num w:numId="24" w16cid:durableId="1818643086">
    <w:abstractNumId w:val="37"/>
    <w:lvlOverride w:ilvl="0">
      <w:lvl w:ilvl="0" w:tplc="5E5ED10E">
        <w:start w:val="1"/>
        <w:numFmt w:val="lowerLetter"/>
        <w:lvlText w:val="(%1)"/>
        <w:lvlJc w:val="left"/>
        <w:pPr>
          <w:ind w:left="1967" w:hanging="360"/>
        </w:pPr>
        <w:rPr>
          <w:rFonts w:hint="default"/>
        </w:rPr>
      </w:lvl>
    </w:lvlOverride>
  </w:num>
  <w:num w:numId="25" w16cid:durableId="1712729003">
    <w:abstractNumId w:val="33"/>
    <w:lvlOverride w:ilvl="0">
      <w:lvl w:ilvl="0" w:tplc="0809000F">
        <w:start w:val="1"/>
        <w:numFmt w:val="decimal"/>
        <w:lvlText w:val="%1."/>
        <w:lvlJc w:val="left"/>
        <w:pPr>
          <w:ind w:left="1608" w:hanging="360"/>
        </w:pPr>
      </w:lvl>
    </w:lvlOverride>
  </w:num>
  <w:num w:numId="26" w16cid:durableId="1937712324">
    <w:abstractNumId w:val="15"/>
  </w:num>
  <w:num w:numId="27" w16cid:durableId="1067343809">
    <w:abstractNumId w:val="26"/>
  </w:num>
  <w:num w:numId="28" w16cid:durableId="185406353">
    <w:abstractNumId w:val="32"/>
  </w:num>
  <w:num w:numId="29" w16cid:durableId="1976569376">
    <w:abstractNumId w:val="17"/>
  </w:num>
  <w:num w:numId="30" w16cid:durableId="1350181783">
    <w:abstractNumId w:val="29"/>
  </w:num>
  <w:num w:numId="31" w16cid:durableId="605121086">
    <w:abstractNumId w:val="18"/>
  </w:num>
  <w:num w:numId="32" w16cid:durableId="1591041950">
    <w:abstractNumId w:val="24"/>
  </w:num>
  <w:num w:numId="33" w16cid:durableId="1472213352">
    <w:abstractNumId w:val="28"/>
  </w:num>
  <w:num w:numId="34" w16cid:durableId="2038575089">
    <w:abstractNumId w:val="12"/>
  </w:num>
  <w:num w:numId="35" w16cid:durableId="252856252">
    <w:abstractNumId w:val="19"/>
  </w:num>
  <w:num w:numId="36" w16cid:durableId="306588203">
    <w:abstractNumId w:val="23"/>
  </w:num>
  <w:num w:numId="37" w16cid:durableId="1885480403">
    <w:abstractNumId w:val="20"/>
  </w:num>
  <w:num w:numId="38" w16cid:durableId="849833143">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zh-CN"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FEA"/>
    <w:rsid w:val="000016E0"/>
    <w:rsid w:val="00003855"/>
    <w:rsid w:val="00003AC5"/>
    <w:rsid w:val="00003ED1"/>
    <w:rsid w:val="00004BDD"/>
    <w:rsid w:val="00005DEC"/>
    <w:rsid w:val="000066D2"/>
    <w:rsid w:val="00010D47"/>
    <w:rsid w:val="00012DCF"/>
    <w:rsid w:val="00014040"/>
    <w:rsid w:val="000141C8"/>
    <w:rsid w:val="000149E6"/>
    <w:rsid w:val="00014E29"/>
    <w:rsid w:val="00016AF3"/>
    <w:rsid w:val="00016F3F"/>
    <w:rsid w:val="00017213"/>
    <w:rsid w:val="00017F2F"/>
    <w:rsid w:val="0002018F"/>
    <w:rsid w:val="0002033D"/>
    <w:rsid w:val="000207CD"/>
    <w:rsid w:val="000208C8"/>
    <w:rsid w:val="00020CFA"/>
    <w:rsid w:val="00023300"/>
    <w:rsid w:val="000233B2"/>
    <w:rsid w:val="000247B0"/>
    <w:rsid w:val="000251D5"/>
    <w:rsid w:val="00026740"/>
    <w:rsid w:val="00026997"/>
    <w:rsid w:val="000276C0"/>
    <w:rsid w:val="00027E4C"/>
    <w:rsid w:val="00030549"/>
    <w:rsid w:val="00031E9C"/>
    <w:rsid w:val="00032DF9"/>
    <w:rsid w:val="00032F1B"/>
    <w:rsid w:val="00032F9A"/>
    <w:rsid w:val="00033E0B"/>
    <w:rsid w:val="00034D8A"/>
    <w:rsid w:val="00035984"/>
    <w:rsid w:val="00035EDE"/>
    <w:rsid w:val="000409F1"/>
    <w:rsid w:val="00040D49"/>
    <w:rsid w:val="00042350"/>
    <w:rsid w:val="00045042"/>
    <w:rsid w:val="00047503"/>
    <w:rsid w:val="000477CE"/>
    <w:rsid w:val="000509B4"/>
    <w:rsid w:val="00050CA5"/>
    <w:rsid w:val="00052D16"/>
    <w:rsid w:val="00053AD8"/>
    <w:rsid w:val="00055102"/>
    <w:rsid w:val="00056B2C"/>
    <w:rsid w:val="0006035B"/>
    <w:rsid w:val="00060A3C"/>
    <w:rsid w:val="0006120B"/>
    <w:rsid w:val="0006138C"/>
    <w:rsid w:val="0006253E"/>
    <w:rsid w:val="00064292"/>
    <w:rsid w:val="0006565F"/>
    <w:rsid w:val="00065F8A"/>
    <w:rsid w:val="00070390"/>
    <w:rsid w:val="000704E6"/>
    <w:rsid w:val="0007166E"/>
    <w:rsid w:val="00071886"/>
    <w:rsid w:val="000729A9"/>
    <w:rsid w:val="00072C4A"/>
    <w:rsid w:val="00072E97"/>
    <w:rsid w:val="00073715"/>
    <w:rsid w:val="00073884"/>
    <w:rsid w:val="000742BC"/>
    <w:rsid w:val="00076AC2"/>
    <w:rsid w:val="00076EEF"/>
    <w:rsid w:val="00077E98"/>
    <w:rsid w:val="0008041D"/>
    <w:rsid w:val="00080454"/>
    <w:rsid w:val="000828BF"/>
    <w:rsid w:val="00082A0C"/>
    <w:rsid w:val="00082DCD"/>
    <w:rsid w:val="00082E11"/>
    <w:rsid w:val="00082F5E"/>
    <w:rsid w:val="000833C7"/>
    <w:rsid w:val="00083504"/>
    <w:rsid w:val="00083530"/>
    <w:rsid w:val="0008371A"/>
    <w:rsid w:val="000863FA"/>
    <w:rsid w:val="00086586"/>
    <w:rsid w:val="00086F44"/>
    <w:rsid w:val="0008710B"/>
    <w:rsid w:val="00087CE6"/>
    <w:rsid w:val="00090170"/>
    <w:rsid w:val="000914A0"/>
    <w:rsid w:val="00091579"/>
    <w:rsid w:val="00093259"/>
    <w:rsid w:val="0009397A"/>
    <w:rsid w:val="00093E74"/>
    <w:rsid w:val="00095D9B"/>
    <w:rsid w:val="0009640C"/>
    <w:rsid w:val="00096ED2"/>
    <w:rsid w:val="000A12F6"/>
    <w:rsid w:val="000A1530"/>
    <w:rsid w:val="000A22D9"/>
    <w:rsid w:val="000A2A0E"/>
    <w:rsid w:val="000A3C4D"/>
    <w:rsid w:val="000A5122"/>
    <w:rsid w:val="000A5D6B"/>
    <w:rsid w:val="000A7A02"/>
    <w:rsid w:val="000A7F8B"/>
    <w:rsid w:val="000B0477"/>
    <w:rsid w:val="000B05CA"/>
    <w:rsid w:val="000B0688"/>
    <w:rsid w:val="000B0792"/>
    <w:rsid w:val="000B0D0E"/>
    <w:rsid w:val="000B1613"/>
    <w:rsid w:val="000B1BE1"/>
    <w:rsid w:val="000B21D5"/>
    <w:rsid w:val="000B22A2"/>
    <w:rsid w:val="000B4653"/>
    <w:rsid w:val="000B7147"/>
    <w:rsid w:val="000C09C2"/>
    <w:rsid w:val="000C0F51"/>
    <w:rsid w:val="000C20FE"/>
    <w:rsid w:val="000C2A52"/>
    <w:rsid w:val="000C3EAA"/>
    <w:rsid w:val="000C46A9"/>
    <w:rsid w:val="000C48AC"/>
    <w:rsid w:val="000C6027"/>
    <w:rsid w:val="000C7C3F"/>
    <w:rsid w:val="000C7E53"/>
    <w:rsid w:val="000D13BF"/>
    <w:rsid w:val="000D1510"/>
    <w:rsid w:val="000D31CB"/>
    <w:rsid w:val="000D33B1"/>
    <w:rsid w:val="000D33C0"/>
    <w:rsid w:val="000D5884"/>
    <w:rsid w:val="000D5DA2"/>
    <w:rsid w:val="000D61A5"/>
    <w:rsid w:val="000D67CC"/>
    <w:rsid w:val="000D6941"/>
    <w:rsid w:val="000D71B6"/>
    <w:rsid w:val="000D7B7E"/>
    <w:rsid w:val="000E01FD"/>
    <w:rsid w:val="000E03CB"/>
    <w:rsid w:val="000E0405"/>
    <w:rsid w:val="000E0F1C"/>
    <w:rsid w:val="000E1149"/>
    <w:rsid w:val="000E56D2"/>
    <w:rsid w:val="000E58B0"/>
    <w:rsid w:val="000E71E8"/>
    <w:rsid w:val="000E7C58"/>
    <w:rsid w:val="000E7E16"/>
    <w:rsid w:val="000F02C0"/>
    <w:rsid w:val="000F10FC"/>
    <w:rsid w:val="000F120F"/>
    <w:rsid w:val="000F181B"/>
    <w:rsid w:val="000F392F"/>
    <w:rsid w:val="000F3DB0"/>
    <w:rsid w:val="000F44C9"/>
    <w:rsid w:val="000F4E98"/>
    <w:rsid w:val="000F6CFF"/>
    <w:rsid w:val="000F7301"/>
    <w:rsid w:val="0010023D"/>
    <w:rsid w:val="00100525"/>
    <w:rsid w:val="00100F0D"/>
    <w:rsid w:val="00101BFA"/>
    <w:rsid w:val="001022E7"/>
    <w:rsid w:val="001023DD"/>
    <w:rsid w:val="00102D9A"/>
    <w:rsid w:val="00103B9F"/>
    <w:rsid w:val="001040FC"/>
    <w:rsid w:val="00104887"/>
    <w:rsid w:val="00104E8E"/>
    <w:rsid w:val="001050E5"/>
    <w:rsid w:val="00106C6C"/>
    <w:rsid w:val="00106F13"/>
    <w:rsid w:val="0010712B"/>
    <w:rsid w:val="001078B8"/>
    <w:rsid w:val="0011068B"/>
    <w:rsid w:val="00110969"/>
    <w:rsid w:val="00110EFC"/>
    <w:rsid w:val="001119C4"/>
    <w:rsid w:val="00112145"/>
    <w:rsid w:val="00112458"/>
    <w:rsid w:val="001140D6"/>
    <w:rsid w:val="001146BF"/>
    <w:rsid w:val="00115011"/>
    <w:rsid w:val="00115F73"/>
    <w:rsid w:val="001173B4"/>
    <w:rsid w:val="001202E3"/>
    <w:rsid w:val="00121840"/>
    <w:rsid w:val="001218BF"/>
    <w:rsid w:val="00121DD5"/>
    <w:rsid w:val="001225D4"/>
    <w:rsid w:val="00123487"/>
    <w:rsid w:val="00123699"/>
    <w:rsid w:val="00123908"/>
    <w:rsid w:val="001258DD"/>
    <w:rsid w:val="00126C6B"/>
    <w:rsid w:val="0012745E"/>
    <w:rsid w:val="001302EA"/>
    <w:rsid w:val="0013059D"/>
    <w:rsid w:val="001317F6"/>
    <w:rsid w:val="00132B43"/>
    <w:rsid w:val="001333F2"/>
    <w:rsid w:val="00133DE3"/>
    <w:rsid w:val="00136415"/>
    <w:rsid w:val="00136A91"/>
    <w:rsid w:val="00137297"/>
    <w:rsid w:val="00137760"/>
    <w:rsid w:val="001378E9"/>
    <w:rsid w:val="0014083A"/>
    <w:rsid w:val="00140970"/>
    <w:rsid w:val="001417FE"/>
    <w:rsid w:val="0014184A"/>
    <w:rsid w:val="00141A55"/>
    <w:rsid w:val="00141D67"/>
    <w:rsid w:val="00141F2F"/>
    <w:rsid w:val="001421F7"/>
    <w:rsid w:val="001425B9"/>
    <w:rsid w:val="0014337A"/>
    <w:rsid w:val="00144693"/>
    <w:rsid w:val="001446A3"/>
    <w:rsid w:val="001456A6"/>
    <w:rsid w:val="001459A3"/>
    <w:rsid w:val="00146A6B"/>
    <w:rsid w:val="00146BEB"/>
    <w:rsid w:val="001510E3"/>
    <w:rsid w:val="00152ACF"/>
    <w:rsid w:val="00152DF8"/>
    <w:rsid w:val="001537BB"/>
    <w:rsid w:val="00154856"/>
    <w:rsid w:val="00155395"/>
    <w:rsid w:val="001553D1"/>
    <w:rsid w:val="001569C5"/>
    <w:rsid w:val="0015716C"/>
    <w:rsid w:val="00157B1F"/>
    <w:rsid w:val="00160984"/>
    <w:rsid w:val="00160C98"/>
    <w:rsid w:val="00161041"/>
    <w:rsid w:val="00161468"/>
    <w:rsid w:val="00162B3C"/>
    <w:rsid w:val="00164F43"/>
    <w:rsid w:val="00166B1C"/>
    <w:rsid w:val="00167301"/>
    <w:rsid w:val="001725EA"/>
    <w:rsid w:val="00172E6C"/>
    <w:rsid w:val="001733D6"/>
    <w:rsid w:val="00173941"/>
    <w:rsid w:val="00173D27"/>
    <w:rsid w:val="00174739"/>
    <w:rsid w:val="00176CAF"/>
    <w:rsid w:val="001777F0"/>
    <w:rsid w:val="00177D52"/>
    <w:rsid w:val="00177DA7"/>
    <w:rsid w:val="001806F5"/>
    <w:rsid w:val="00181005"/>
    <w:rsid w:val="0018127C"/>
    <w:rsid w:val="00181EC7"/>
    <w:rsid w:val="00181EC8"/>
    <w:rsid w:val="00181FC0"/>
    <w:rsid w:val="00182607"/>
    <w:rsid w:val="00183C3A"/>
    <w:rsid w:val="0018407A"/>
    <w:rsid w:val="00184349"/>
    <w:rsid w:val="00184D84"/>
    <w:rsid w:val="0018753B"/>
    <w:rsid w:val="00187B86"/>
    <w:rsid w:val="0019161E"/>
    <w:rsid w:val="0019235D"/>
    <w:rsid w:val="001953CF"/>
    <w:rsid w:val="0019560A"/>
    <w:rsid w:val="001958A3"/>
    <w:rsid w:val="00195F33"/>
    <w:rsid w:val="001970F5"/>
    <w:rsid w:val="00197425"/>
    <w:rsid w:val="00197C63"/>
    <w:rsid w:val="001A05F4"/>
    <w:rsid w:val="001A17B8"/>
    <w:rsid w:val="001A1996"/>
    <w:rsid w:val="001A2478"/>
    <w:rsid w:val="001A2B0D"/>
    <w:rsid w:val="001A2DE4"/>
    <w:rsid w:val="001A38E4"/>
    <w:rsid w:val="001A4FE9"/>
    <w:rsid w:val="001A51C5"/>
    <w:rsid w:val="001A5EE1"/>
    <w:rsid w:val="001A742B"/>
    <w:rsid w:val="001A78EF"/>
    <w:rsid w:val="001A7FF9"/>
    <w:rsid w:val="001B0EA1"/>
    <w:rsid w:val="001B1617"/>
    <w:rsid w:val="001B1DB8"/>
    <w:rsid w:val="001B2696"/>
    <w:rsid w:val="001B504B"/>
    <w:rsid w:val="001B619E"/>
    <w:rsid w:val="001C0D8C"/>
    <w:rsid w:val="001C29FC"/>
    <w:rsid w:val="001C2C1E"/>
    <w:rsid w:val="001C49C9"/>
    <w:rsid w:val="001C4A78"/>
    <w:rsid w:val="001C5036"/>
    <w:rsid w:val="001C6243"/>
    <w:rsid w:val="001C6447"/>
    <w:rsid w:val="001C6E4C"/>
    <w:rsid w:val="001C7637"/>
    <w:rsid w:val="001C7CBD"/>
    <w:rsid w:val="001D060B"/>
    <w:rsid w:val="001D0743"/>
    <w:rsid w:val="001D1615"/>
    <w:rsid w:val="001D3874"/>
    <w:rsid w:val="001D3A1B"/>
    <w:rsid w:val="001D41FA"/>
    <w:rsid w:val="001D4F5E"/>
    <w:rsid w:val="001D5344"/>
    <w:rsid w:val="001D68F8"/>
    <w:rsid w:val="001D6A5A"/>
    <w:rsid w:val="001D73BC"/>
    <w:rsid w:val="001D7799"/>
    <w:rsid w:val="001D7E75"/>
    <w:rsid w:val="001E0173"/>
    <w:rsid w:val="001E0F3F"/>
    <w:rsid w:val="001E1093"/>
    <w:rsid w:val="001E20A5"/>
    <w:rsid w:val="001E22D1"/>
    <w:rsid w:val="001E2332"/>
    <w:rsid w:val="001E2976"/>
    <w:rsid w:val="001E3333"/>
    <w:rsid w:val="001E56D2"/>
    <w:rsid w:val="001E6FCA"/>
    <w:rsid w:val="001E75AC"/>
    <w:rsid w:val="001E7D56"/>
    <w:rsid w:val="001E7F22"/>
    <w:rsid w:val="001F0CBB"/>
    <w:rsid w:val="001F1F39"/>
    <w:rsid w:val="001F2952"/>
    <w:rsid w:val="001F2EDC"/>
    <w:rsid w:val="001F387E"/>
    <w:rsid w:val="001F6AF6"/>
    <w:rsid w:val="001F75DE"/>
    <w:rsid w:val="00200917"/>
    <w:rsid w:val="00200D58"/>
    <w:rsid w:val="002013BE"/>
    <w:rsid w:val="002014F7"/>
    <w:rsid w:val="002018C2"/>
    <w:rsid w:val="002028A9"/>
    <w:rsid w:val="00203254"/>
    <w:rsid w:val="00203E8E"/>
    <w:rsid w:val="00204421"/>
    <w:rsid w:val="002053E4"/>
    <w:rsid w:val="002063A4"/>
    <w:rsid w:val="00206F97"/>
    <w:rsid w:val="002075E1"/>
    <w:rsid w:val="00207715"/>
    <w:rsid w:val="0021034E"/>
    <w:rsid w:val="0021035A"/>
    <w:rsid w:val="0021145B"/>
    <w:rsid w:val="00214277"/>
    <w:rsid w:val="0021486B"/>
    <w:rsid w:val="002150BE"/>
    <w:rsid w:val="00215329"/>
    <w:rsid w:val="00215EB0"/>
    <w:rsid w:val="002179D5"/>
    <w:rsid w:val="00220B4E"/>
    <w:rsid w:val="0022218E"/>
    <w:rsid w:val="00222583"/>
    <w:rsid w:val="00222A5A"/>
    <w:rsid w:val="0022366E"/>
    <w:rsid w:val="002239D1"/>
    <w:rsid w:val="002253BF"/>
    <w:rsid w:val="00225A7A"/>
    <w:rsid w:val="00226059"/>
    <w:rsid w:val="00226346"/>
    <w:rsid w:val="00226D9A"/>
    <w:rsid w:val="0022762D"/>
    <w:rsid w:val="00230741"/>
    <w:rsid w:val="00231A63"/>
    <w:rsid w:val="00232303"/>
    <w:rsid w:val="00233AD3"/>
    <w:rsid w:val="00234806"/>
    <w:rsid w:val="00234F1E"/>
    <w:rsid w:val="002351DD"/>
    <w:rsid w:val="002378D6"/>
    <w:rsid w:val="0024007E"/>
    <w:rsid w:val="002409C6"/>
    <w:rsid w:val="00240B36"/>
    <w:rsid w:val="00242520"/>
    <w:rsid w:val="00242F58"/>
    <w:rsid w:val="00243D36"/>
    <w:rsid w:val="00243E86"/>
    <w:rsid w:val="002443AA"/>
    <w:rsid w:val="00244CF2"/>
    <w:rsid w:val="00245B93"/>
    <w:rsid w:val="00246363"/>
    <w:rsid w:val="00246E01"/>
    <w:rsid w:val="00247707"/>
    <w:rsid w:val="002503BE"/>
    <w:rsid w:val="00252892"/>
    <w:rsid w:val="002543EB"/>
    <w:rsid w:val="00256FEE"/>
    <w:rsid w:val="00257DC2"/>
    <w:rsid w:val="00260D5D"/>
    <w:rsid w:val="00263171"/>
    <w:rsid w:val="0026426E"/>
    <w:rsid w:val="00264340"/>
    <w:rsid w:val="00265991"/>
    <w:rsid w:val="00267EC0"/>
    <w:rsid w:val="002704D0"/>
    <w:rsid w:val="002706BD"/>
    <w:rsid w:val="00271D5C"/>
    <w:rsid w:val="002730D2"/>
    <w:rsid w:val="00275BDB"/>
    <w:rsid w:val="00276AB2"/>
    <w:rsid w:val="00277919"/>
    <w:rsid w:val="00280879"/>
    <w:rsid w:val="002810F1"/>
    <w:rsid w:val="00281339"/>
    <w:rsid w:val="00282C38"/>
    <w:rsid w:val="002833F6"/>
    <w:rsid w:val="00285AC1"/>
    <w:rsid w:val="00286110"/>
    <w:rsid w:val="00286740"/>
    <w:rsid w:val="0028689D"/>
    <w:rsid w:val="00286E4D"/>
    <w:rsid w:val="00287B42"/>
    <w:rsid w:val="002908DE"/>
    <w:rsid w:val="00291239"/>
    <w:rsid w:val="00291473"/>
    <w:rsid w:val="002920DD"/>
    <w:rsid w:val="002925BC"/>
    <w:rsid w:val="002929D8"/>
    <w:rsid w:val="002935C2"/>
    <w:rsid w:val="00295389"/>
    <w:rsid w:val="0029554C"/>
    <w:rsid w:val="002A0107"/>
    <w:rsid w:val="002A08C3"/>
    <w:rsid w:val="002A11CE"/>
    <w:rsid w:val="002A1BB3"/>
    <w:rsid w:val="002A237D"/>
    <w:rsid w:val="002A2699"/>
    <w:rsid w:val="002A2D6A"/>
    <w:rsid w:val="002A3BE4"/>
    <w:rsid w:val="002A4105"/>
    <w:rsid w:val="002A46AE"/>
    <w:rsid w:val="002A4812"/>
    <w:rsid w:val="002A4C53"/>
    <w:rsid w:val="002A4DEB"/>
    <w:rsid w:val="002A638A"/>
    <w:rsid w:val="002A649D"/>
    <w:rsid w:val="002A662C"/>
    <w:rsid w:val="002B0327"/>
    <w:rsid w:val="002B0672"/>
    <w:rsid w:val="002B1B4C"/>
    <w:rsid w:val="002B247F"/>
    <w:rsid w:val="002B321D"/>
    <w:rsid w:val="002B4D21"/>
    <w:rsid w:val="002C0D3E"/>
    <w:rsid w:val="002C0E73"/>
    <w:rsid w:val="002C145D"/>
    <w:rsid w:val="002C2C3E"/>
    <w:rsid w:val="002C35AB"/>
    <w:rsid w:val="002C3DC8"/>
    <w:rsid w:val="002C533E"/>
    <w:rsid w:val="002C5525"/>
    <w:rsid w:val="002C7B34"/>
    <w:rsid w:val="002D0085"/>
    <w:rsid w:val="002D027F"/>
    <w:rsid w:val="002D0609"/>
    <w:rsid w:val="002D18AE"/>
    <w:rsid w:val="002D1B90"/>
    <w:rsid w:val="002D2511"/>
    <w:rsid w:val="002D629B"/>
    <w:rsid w:val="002D7A85"/>
    <w:rsid w:val="002D7B60"/>
    <w:rsid w:val="002E0905"/>
    <w:rsid w:val="002E19D4"/>
    <w:rsid w:val="002E1D71"/>
    <w:rsid w:val="002E271B"/>
    <w:rsid w:val="002E36A8"/>
    <w:rsid w:val="002E6689"/>
    <w:rsid w:val="002F0362"/>
    <w:rsid w:val="002F13DF"/>
    <w:rsid w:val="002F22EA"/>
    <w:rsid w:val="002F240E"/>
    <w:rsid w:val="002F2461"/>
    <w:rsid w:val="002F3D96"/>
    <w:rsid w:val="002F419C"/>
    <w:rsid w:val="002F4761"/>
    <w:rsid w:val="002F5626"/>
    <w:rsid w:val="002F57AC"/>
    <w:rsid w:val="002F5C79"/>
    <w:rsid w:val="002F6D48"/>
    <w:rsid w:val="00301592"/>
    <w:rsid w:val="003019E2"/>
    <w:rsid w:val="0030269E"/>
    <w:rsid w:val="00304F5B"/>
    <w:rsid w:val="00305620"/>
    <w:rsid w:val="00305B26"/>
    <w:rsid w:val="003071B9"/>
    <w:rsid w:val="003079B8"/>
    <w:rsid w:val="0031106E"/>
    <w:rsid w:val="0031122C"/>
    <w:rsid w:val="0031214F"/>
    <w:rsid w:val="00312EB3"/>
    <w:rsid w:val="0031413F"/>
    <w:rsid w:val="003147BE"/>
    <w:rsid w:val="003148BB"/>
    <w:rsid w:val="003153F6"/>
    <w:rsid w:val="00315752"/>
    <w:rsid w:val="00315C33"/>
    <w:rsid w:val="0031642C"/>
    <w:rsid w:val="00317976"/>
    <w:rsid w:val="0032028A"/>
    <w:rsid w:val="00321B65"/>
    <w:rsid w:val="00323885"/>
    <w:rsid w:val="00323943"/>
    <w:rsid w:val="00323CD6"/>
    <w:rsid w:val="00325E79"/>
    <w:rsid w:val="00325F3D"/>
    <w:rsid w:val="0032633D"/>
    <w:rsid w:val="0032677E"/>
    <w:rsid w:val="00326FE5"/>
    <w:rsid w:val="003308B8"/>
    <w:rsid w:val="00330D93"/>
    <w:rsid w:val="00331475"/>
    <w:rsid w:val="00331ECE"/>
    <w:rsid w:val="0033329E"/>
    <w:rsid w:val="003336DE"/>
    <w:rsid w:val="00333977"/>
    <w:rsid w:val="00333E80"/>
    <w:rsid w:val="00336172"/>
    <w:rsid w:val="00336EE5"/>
    <w:rsid w:val="003373D9"/>
    <w:rsid w:val="00337456"/>
    <w:rsid w:val="00337924"/>
    <w:rsid w:val="00337F3C"/>
    <w:rsid w:val="00342007"/>
    <w:rsid w:val="00343D9E"/>
    <w:rsid w:val="003451B4"/>
    <w:rsid w:val="00350B4F"/>
    <w:rsid w:val="003511F7"/>
    <w:rsid w:val="00351A93"/>
    <w:rsid w:val="003528FC"/>
    <w:rsid w:val="003532B2"/>
    <w:rsid w:val="00353CFC"/>
    <w:rsid w:val="00355080"/>
    <w:rsid w:val="00355EA9"/>
    <w:rsid w:val="00356462"/>
    <w:rsid w:val="00357645"/>
    <w:rsid w:val="003578DE"/>
    <w:rsid w:val="0036055C"/>
    <w:rsid w:val="00360E0F"/>
    <w:rsid w:val="00362E6C"/>
    <w:rsid w:val="00363AF7"/>
    <w:rsid w:val="00363FFE"/>
    <w:rsid w:val="003654A6"/>
    <w:rsid w:val="00365AC7"/>
    <w:rsid w:val="00365E97"/>
    <w:rsid w:val="00365F6B"/>
    <w:rsid w:val="00366F20"/>
    <w:rsid w:val="00370637"/>
    <w:rsid w:val="00370BF9"/>
    <w:rsid w:val="00371340"/>
    <w:rsid w:val="00371BC2"/>
    <w:rsid w:val="00372BB0"/>
    <w:rsid w:val="003733E1"/>
    <w:rsid w:val="00373564"/>
    <w:rsid w:val="003759E2"/>
    <w:rsid w:val="00376270"/>
    <w:rsid w:val="0037728E"/>
    <w:rsid w:val="00377E04"/>
    <w:rsid w:val="00377E08"/>
    <w:rsid w:val="00380986"/>
    <w:rsid w:val="00380E14"/>
    <w:rsid w:val="003844A8"/>
    <w:rsid w:val="0038450B"/>
    <w:rsid w:val="003856EB"/>
    <w:rsid w:val="00386374"/>
    <w:rsid w:val="0038685E"/>
    <w:rsid w:val="00386999"/>
    <w:rsid w:val="00390145"/>
    <w:rsid w:val="00390760"/>
    <w:rsid w:val="00390F2D"/>
    <w:rsid w:val="003928F7"/>
    <w:rsid w:val="00392BF9"/>
    <w:rsid w:val="00394379"/>
    <w:rsid w:val="003949AF"/>
    <w:rsid w:val="00396257"/>
    <w:rsid w:val="00397EB8"/>
    <w:rsid w:val="003A07AB"/>
    <w:rsid w:val="003A086E"/>
    <w:rsid w:val="003A2677"/>
    <w:rsid w:val="003A37B8"/>
    <w:rsid w:val="003A3A9F"/>
    <w:rsid w:val="003A437E"/>
    <w:rsid w:val="003A4FD0"/>
    <w:rsid w:val="003A4FF6"/>
    <w:rsid w:val="003A69D1"/>
    <w:rsid w:val="003A6BBB"/>
    <w:rsid w:val="003A6DD0"/>
    <w:rsid w:val="003A71A1"/>
    <w:rsid w:val="003A7705"/>
    <w:rsid w:val="003B1545"/>
    <w:rsid w:val="003B1675"/>
    <w:rsid w:val="003B54AD"/>
    <w:rsid w:val="003B7F0B"/>
    <w:rsid w:val="003C035E"/>
    <w:rsid w:val="003C06DD"/>
    <w:rsid w:val="003C0D90"/>
    <w:rsid w:val="003C191C"/>
    <w:rsid w:val="003C3267"/>
    <w:rsid w:val="003C3F9F"/>
    <w:rsid w:val="003C409D"/>
    <w:rsid w:val="003C41A5"/>
    <w:rsid w:val="003C5BA6"/>
    <w:rsid w:val="003C6E99"/>
    <w:rsid w:val="003C70AB"/>
    <w:rsid w:val="003D01D0"/>
    <w:rsid w:val="003D078D"/>
    <w:rsid w:val="003D24DA"/>
    <w:rsid w:val="003D335C"/>
    <w:rsid w:val="003D4289"/>
    <w:rsid w:val="003D63DD"/>
    <w:rsid w:val="003D69BB"/>
    <w:rsid w:val="003D79FF"/>
    <w:rsid w:val="003E06AE"/>
    <w:rsid w:val="003E138C"/>
    <w:rsid w:val="003E3512"/>
    <w:rsid w:val="003E3BE3"/>
    <w:rsid w:val="003E4633"/>
    <w:rsid w:val="003E54BD"/>
    <w:rsid w:val="003E5669"/>
    <w:rsid w:val="003F03CE"/>
    <w:rsid w:val="003F0E85"/>
    <w:rsid w:val="003F111F"/>
    <w:rsid w:val="003F1648"/>
    <w:rsid w:val="003F1ACB"/>
    <w:rsid w:val="003F1B87"/>
    <w:rsid w:val="003F25D5"/>
    <w:rsid w:val="003F2D0C"/>
    <w:rsid w:val="003F640A"/>
    <w:rsid w:val="004038BE"/>
    <w:rsid w:val="00403B07"/>
    <w:rsid w:val="00404CB5"/>
    <w:rsid w:val="00405251"/>
    <w:rsid w:val="0040556B"/>
    <w:rsid w:val="00406675"/>
    <w:rsid w:val="00407394"/>
    <w:rsid w:val="00410B21"/>
    <w:rsid w:val="00410C55"/>
    <w:rsid w:val="00410CD7"/>
    <w:rsid w:val="00411204"/>
    <w:rsid w:val="004128AD"/>
    <w:rsid w:val="00413B3D"/>
    <w:rsid w:val="004146CA"/>
    <w:rsid w:val="00415C6E"/>
    <w:rsid w:val="0041604D"/>
    <w:rsid w:val="00416854"/>
    <w:rsid w:val="00417725"/>
    <w:rsid w:val="0041779A"/>
    <w:rsid w:val="00417B99"/>
    <w:rsid w:val="00422277"/>
    <w:rsid w:val="004228BA"/>
    <w:rsid w:val="00422DBD"/>
    <w:rsid w:val="00424042"/>
    <w:rsid w:val="004243EA"/>
    <w:rsid w:val="0042653C"/>
    <w:rsid w:val="00426EF9"/>
    <w:rsid w:val="004274D1"/>
    <w:rsid w:val="00431DA8"/>
    <w:rsid w:val="00433035"/>
    <w:rsid w:val="0043755C"/>
    <w:rsid w:val="00437F26"/>
    <w:rsid w:val="00442D34"/>
    <w:rsid w:val="00443A4B"/>
    <w:rsid w:val="00444097"/>
    <w:rsid w:val="00445487"/>
    <w:rsid w:val="00445E02"/>
    <w:rsid w:val="0044677A"/>
    <w:rsid w:val="00446F22"/>
    <w:rsid w:val="00447755"/>
    <w:rsid w:val="00447DA6"/>
    <w:rsid w:val="00450F53"/>
    <w:rsid w:val="00452D8A"/>
    <w:rsid w:val="00453D2A"/>
    <w:rsid w:val="00454769"/>
    <w:rsid w:val="00455532"/>
    <w:rsid w:val="00456D58"/>
    <w:rsid w:val="00460C7B"/>
    <w:rsid w:val="00462421"/>
    <w:rsid w:val="004635B4"/>
    <w:rsid w:val="004637E5"/>
    <w:rsid w:val="00464656"/>
    <w:rsid w:val="0046543F"/>
    <w:rsid w:val="00465657"/>
    <w:rsid w:val="00465914"/>
    <w:rsid w:val="00466991"/>
    <w:rsid w:val="00466A3B"/>
    <w:rsid w:val="00470015"/>
    <w:rsid w:val="0047064C"/>
    <w:rsid w:val="00470C32"/>
    <w:rsid w:val="00471134"/>
    <w:rsid w:val="00472115"/>
    <w:rsid w:val="00473C39"/>
    <w:rsid w:val="004742F7"/>
    <w:rsid w:val="004744F3"/>
    <w:rsid w:val="00474D90"/>
    <w:rsid w:val="0047651E"/>
    <w:rsid w:val="0047682C"/>
    <w:rsid w:val="004779E8"/>
    <w:rsid w:val="00477AFF"/>
    <w:rsid w:val="00481F0B"/>
    <w:rsid w:val="00483201"/>
    <w:rsid w:val="00484A59"/>
    <w:rsid w:val="00485994"/>
    <w:rsid w:val="00485F1A"/>
    <w:rsid w:val="00487E61"/>
    <w:rsid w:val="004901E6"/>
    <w:rsid w:val="004908E5"/>
    <w:rsid w:val="004921B0"/>
    <w:rsid w:val="0049280F"/>
    <w:rsid w:val="00492857"/>
    <w:rsid w:val="00493B23"/>
    <w:rsid w:val="00494815"/>
    <w:rsid w:val="00494C07"/>
    <w:rsid w:val="00495BFE"/>
    <w:rsid w:val="00496B69"/>
    <w:rsid w:val="00496E99"/>
    <w:rsid w:val="004A01B5"/>
    <w:rsid w:val="004A3DF1"/>
    <w:rsid w:val="004A42E1"/>
    <w:rsid w:val="004A6939"/>
    <w:rsid w:val="004A69F3"/>
    <w:rsid w:val="004A6FE1"/>
    <w:rsid w:val="004A7E0A"/>
    <w:rsid w:val="004B162C"/>
    <w:rsid w:val="004B3587"/>
    <w:rsid w:val="004B3A03"/>
    <w:rsid w:val="004B4272"/>
    <w:rsid w:val="004B45A0"/>
    <w:rsid w:val="004B532B"/>
    <w:rsid w:val="004B6C42"/>
    <w:rsid w:val="004B6F09"/>
    <w:rsid w:val="004B76DC"/>
    <w:rsid w:val="004C0752"/>
    <w:rsid w:val="004C07CE"/>
    <w:rsid w:val="004C08B8"/>
    <w:rsid w:val="004C0A6C"/>
    <w:rsid w:val="004C3361"/>
    <w:rsid w:val="004C3DBE"/>
    <w:rsid w:val="004C47A0"/>
    <w:rsid w:val="004C4B7E"/>
    <w:rsid w:val="004C5286"/>
    <w:rsid w:val="004C5C96"/>
    <w:rsid w:val="004C7168"/>
    <w:rsid w:val="004C7E39"/>
    <w:rsid w:val="004D03BC"/>
    <w:rsid w:val="004D05E6"/>
    <w:rsid w:val="004D06A4"/>
    <w:rsid w:val="004D1232"/>
    <w:rsid w:val="004D1AB4"/>
    <w:rsid w:val="004D22C0"/>
    <w:rsid w:val="004D2E70"/>
    <w:rsid w:val="004D4591"/>
    <w:rsid w:val="004D59F1"/>
    <w:rsid w:val="004D60EA"/>
    <w:rsid w:val="004D6930"/>
    <w:rsid w:val="004D7951"/>
    <w:rsid w:val="004E02D6"/>
    <w:rsid w:val="004E0BAA"/>
    <w:rsid w:val="004E0DEB"/>
    <w:rsid w:val="004E318D"/>
    <w:rsid w:val="004E39F2"/>
    <w:rsid w:val="004E3E3F"/>
    <w:rsid w:val="004E59D4"/>
    <w:rsid w:val="004E5AF7"/>
    <w:rsid w:val="004E6970"/>
    <w:rsid w:val="004E79AC"/>
    <w:rsid w:val="004F018D"/>
    <w:rsid w:val="004F1742"/>
    <w:rsid w:val="004F1A81"/>
    <w:rsid w:val="004F22B8"/>
    <w:rsid w:val="004F3190"/>
    <w:rsid w:val="004F56DD"/>
    <w:rsid w:val="004F59C0"/>
    <w:rsid w:val="004F6BE9"/>
    <w:rsid w:val="004F6BF7"/>
    <w:rsid w:val="004F7A3F"/>
    <w:rsid w:val="005009B5"/>
    <w:rsid w:val="005035D5"/>
    <w:rsid w:val="00503EB9"/>
    <w:rsid w:val="00503FE9"/>
    <w:rsid w:val="00505177"/>
    <w:rsid w:val="005058AC"/>
    <w:rsid w:val="00505BF7"/>
    <w:rsid w:val="005070D0"/>
    <w:rsid w:val="0050739A"/>
    <w:rsid w:val="00507BD6"/>
    <w:rsid w:val="00511034"/>
    <w:rsid w:val="00512C1E"/>
    <w:rsid w:val="00512D34"/>
    <w:rsid w:val="005134D7"/>
    <w:rsid w:val="005149CF"/>
    <w:rsid w:val="00514A43"/>
    <w:rsid w:val="00514C35"/>
    <w:rsid w:val="005178D9"/>
    <w:rsid w:val="00517C0E"/>
    <w:rsid w:val="005218D9"/>
    <w:rsid w:val="00521915"/>
    <w:rsid w:val="0052245E"/>
    <w:rsid w:val="00523167"/>
    <w:rsid w:val="0052355D"/>
    <w:rsid w:val="00523960"/>
    <w:rsid w:val="00523CB7"/>
    <w:rsid w:val="00524FE7"/>
    <w:rsid w:val="005252A6"/>
    <w:rsid w:val="0052578B"/>
    <w:rsid w:val="005261D4"/>
    <w:rsid w:val="0052655D"/>
    <w:rsid w:val="00526A0D"/>
    <w:rsid w:val="00526A24"/>
    <w:rsid w:val="00531CF8"/>
    <w:rsid w:val="0053257E"/>
    <w:rsid w:val="00532E47"/>
    <w:rsid w:val="00533B33"/>
    <w:rsid w:val="00534107"/>
    <w:rsid w:val="0053607C"/>
    <w:rsid w:val="00536186"/>
    <w:rsid w:val="00536826"/>
    <w:rsid w:val="00536C44"/>
    <w:rsid w:val="00541F41"/>
    <w:rsid w:val="0054322D"/>
    <w:rsid w:val="00544CBB"/>
    <w:rsid w:val="00545898"/>
    <w:rsid w:val="00545B69"/>
    <w:rsid w:val="00550518"/>
    <w:rsid w:val="005515CE"/>
    <w:rsid w:val="0055203D"/>
    <w:rsid w:val="005521F1"/>
    <w:rsid w:val="00552CD6"/>
    <w:rsid w:val="00554785"/>
    <w:rsid w:val="00555B41"/>
    <w:rsid w:val="00560459"/>
    <w:rsid w:val="00560692"/>
    <w:rsid w:val="005622EB"/>
    <w:rsid w:val="0056253E"/>
    <w:rsid w:val="005635AE"/>
    <w:rsid w:val="00564829"/>
    <w:rsid w:val="00564CF3"/>
    <w:rsid w:val="005657C4"/>
    <w:rsid w:val="00565BC1"/>
    <w:rsid w:val="005660FF"/>
    <w:rsid w:val="00566A54"/>
    <w:rsid w:val="00567FD1"/>
    <w:rsid w:val="00570697"/>
    <w:rsid w:val="0057081F"/>
    <w:rsid w:val="0057261A"/>
    <w:rsid w:val="00572F69"/>
    <w:rsid w:val="0057315F"/>
    <w:rsid w:val="005739FE"/>
    <w:rsid w:val="005754B5"/>
    <w:rsid w:val="00575DF1"/>
    <w:rsid w:val="00576104"/>
    <w:rsid w:val="00581246"/>
    <w:rsid w:val="005819BE"/>
    <w:rsid w:val="00581B8B"/>
    <w:rsid w:val="00582EDC"/>
    <w:rsid w:val="00583E6F"/>
    <w:rsid w:val="005841BB"/>
    <w:rsid w:val="00584843"/>
    <w:rsid w:val="00587442"/>
    <w:rsid w:val="00590A6B"/>
    <w:rsid w:val="005922E6"/>
    <w:rsid w:val="005929E3"/>
    <w:rsid w:val="005940BC"/>
    <w:rsid w:val="0059410F"/>
    <w:rsid w:val="00594BA0"/>
    <w:rsid w:val="00594BBA"/>
    <w:rsid w:val="00594D26"/>
    <w:rsid w:val="005950D4"/>
    <w:rsid w:val="00596057"/>
    <w:rsid w:val="005969FD"/>
    <w:rsid w:val="0059733F"/>
    <w:rsid w:val="005A044D"/>
    <w:rsid w:val="005A101C"/>
    <w:rsid w:val="005A2407"/>
    <w:rsid w:val="005A61E0"/>
    <w:rsid w:val="005A675B"/>
    <w:rsid w:val="005B0A6F"/>
    <w:rsid w:val="005B51EC"/>
    <w:rsid w:val="005B7195"/>
    <w:rsid w:val="005B74E6"/>
    <w:rsid w:val="005C0479"/>
    <w:rsid w:val="005C154D"/>
    <w:rsid w:val="005C1977"/>
    <w:rsid w:val="005C1D08"/>
    <w:rsid w:val="005C33AE"/>
    <w:rsid w:val="005C3839"/>
    <w:rsid w:val="005C3D31"/>
    <w:rsid w:val="005C49B0"/>
    <w:rsid w:val="005C4A60"/>
    <w:rsid w:val="005C5733"/>
    <w:rsid w:val="005C67C8"/>
    <w:rsid w:val="005C7352"/>
    <w:rsid w:val="005D0099"/>
    <w:rsid w:val="005D0249"/>
    <w:rsid w:val="005D0519"/>
    <w:rsid w:val="005D07DE"/>
    <w:rsid w:val="005D2269"/>
    <w:rsid w:val="005D2B4B"/>
    <w:rsid w:val="005D5521"/>
    <w:rsid w:val="005D657F"/>
    <w:rsid w:val="005D6E8C"/>
    <w:rsid w:val="005D73EB"/>
    <w:rsid w:val="005E0574"/>
    <w:rsid w:val="005E2B2E"/>
    <w:rsid w:val="005E2B4A"/>
    <w:rsid w:val="005E3E4B"/>
    <w:rsid w:val="005E3FF6"/>
    <w:rsid w:val="005E4033"/>
    <w:rsid w:val="005E42DD"/>
    <w:rsid w:val="005E4365"/>
    <w:rsid w:val="005E5372"/>
    <w:rsid w:val="005E6143"/>
    <w:rsid w:val="005E7D93"/>
    <w:rsid w:val="005E7D96"/>
    <w:rsid w:val="005F100C"/>
    <w:rsid w:val="005F13D5"/>
    <w:rsid w:val="005F1709"/>
    <w:rsid w:val="005F22B9"/>
    <w:rsid w:val="005F39B4"/>
    <w:rsid w:val="005F3BF9"/>
    <w:rsid w:val="005F5104"/>
    <w:rsid w:val="005F55E2"/>
    <w:rsid w:val="005F570A"/>
    <w:rsid w:val="005F5830"/>
    <w:rsid w:val="005F68DA"/>
    <w:rsid w:val="005F75E6"/>
    <w:rsid w:val="00600FE1"/>
    <w:rsid w:val="006014DD"/>
    <w:rsid w:val="006036BD"/>
    <w:rsid w:val="00604540"/>
    <w:rsid w:val="006061B2"/>
    <w:rsid w:val="00606BBA"/>
    <w:rsid w:val="00606E75"/>
    <w:rsid w:val="00607572"/>
    <w:rsid w:val="0060773B"/>
    <w:rsid w:val="0060782B"/>
    <w:rsid w:val="00607D94"/>
    <w:rsid w:val="00607E6C"/>
    <w:rsid w:val="006157B5"/>
    <w:rsid w:val="006163C6"/>
    <w:rsid w:val="00617123"/>
    <w:rsid w:val="00620481"/>
    <w:rsid w:val="006212DF"/>
    <w:rsid w:val="006215D4"/>
    <w:rsid w:val="00622839"/>
    <w:rsid w:val="006242E6"/>
    <w:rsid w:val="00624C11"/>
    <w:rsid w:val="006261FD"/>
    <w:rsid w:val="00626FC6"/>
    <w:rsid w:val="00627494"/>
    <w:rsid w:val="00627B9A"/>
    <w:rsid w:val="006303B4"/>
    <w:rsid w:val="00630EFF"/>
    <w:rsid w:val="006331F9"/>
    <w:rsid w:val="00633738"/>
    <w:rsid w:val="00633A57"/>
    <w:rsid w:val="00633CEB"/>
    <w:rsid w:val="00633D3D"/>
    <w:rsid w:val="00633F3A"/>
    <w:rsid w:val="00634B1A"/>
    <w:rsid w:val="00636F5E"/>
    <w:rsid w:val="00637DA2"/>
    <w:rsid w:val="00641703"/>
    <w:rsid w:val="006418C2"/>
    <w:rsid w:val="006431A6"/>
    <w:rsid w:val="00644661"/>
    <w:rsid w:val="006459F6"/>
    <w:rsid w:val="00645A0D"/>
    <w:rsid w:val="00645D94"/>
    <w:rsid w:val="00647099"/>
    <w:rsid w:val="006471C2"/>
    <w:rsid w:val="006477B4"/>
    <w:rsid w:val="006501AD"/>
    <w:rsid w:val="00651BFA"/>
    <w:rsid w:val="006521B9"/>
    <w:rsid w:val="006523E4"/>
    <w:rsid w:val="006529F0"/>
    <w:rsid w:val="006533B3"/>
    <w:rsid w:val="00653840"/>
    <w:rsid w:val="006540AC"/>
    <w:rsid w:val="00657F13"/>
    <w:rsid w:val="00661070"/>
    <w:rsid w:val="00661213"/>
    <w:rsid w:val="006618F1"/>
    <w:rsid w:val="006624EE"/>
    <w:rsid w:val="006626D8"/>
    <w:rsid w:val="006635FF"/>
    <w:rsid w:val="00663A80"/>
    <w:rsid w:val="0066571F"/>
    <w:rsid w:val="00665A4B"/>
    <w:rsid w:val="0066618D"/>
    <w:rsid w:val="00667018"/>
    <w:rsid w:val="0066711D"/>
    <w:rsid w:val="00671970"/>
    <w:rsid w:val="00671CB0"/>
    <w:rsid w:val="0067303A"/>
    <w:rsid w:val="006731FE"/>
    <w:rsid w:val="00676F33"/>
    <w:rsid w:val="0067776E"/>
    <w:rsid w:val="00677E4A"/>
    <w:rsid w:val="00681B4B"/>
    <w:rsid w:val="00681FD4"/>
    <w:rsid w:val="006829A4"/>
    <w:rsid w:val="0068321C"/>
    <w:rsid w:val="00683281"/>
    <w:rsid w:val="00685D94"/>
    <w:rsid w:val="00685DE2"/>
    <w:rsid w:val="00685F16"/>
    <w:rsid w:val="00690BEF"/>
    <w:rsid w:val="0069105C"/>
    <w:rsid w:val="006917EC"/>
    <w:rsid w:val="00692351"/>
    <w:rsid w:val="00692E2A"/>
    <w:rsid w:val="00693E69"/>
    <w:rsid w:val="00693F28"/>
    <w:rsid w:val="006974B2"/>
    <w:rsid w:val="006A0CE7"/>
    <w:rsid w:val="006A0D9B"/>
    <w:rsid w:val="006A1C69"/>
    <w:rsid w:val="006A1F05"/>
    <w:rsid w:val="006A215F"/>
    <w:rsid w:val="006A532B"/>
    <w:rsid w:val="006A6E20"/>
    <w:rsid w:val="006A710A"/>
    <w:rsid w:val="006A7120"/>
    <w:rsid w:val="006A76F2"/>
    <w:rsid w:val="006B1595"/>
    <w:rsid w:val="006B35C7"/>
    <w:rsid w:val="006B4022"/>
    <w:rsid w:val="006B4E5E"/>
    <w:rsid w:val="006B67FE"/>
    <w:rsid w:val="006B7C5F"/>
    <w:rsid w:val="006B7DD0"/>
    <w:rsid w:val="006C0781"/>
    <w:rsid w:val="006C1A1A"/>
    <w:rsid w:val="006C227C"/>
    <w:rsid w:val="006C231B"/>
    <w:rsid w:val="006C39F9"/>
    <w:rsid w:val="006C3DDA"/>
    <w:rsid w:val="006C4187"/>
    <w:rsid w:val="006C478E"/>
    <w:rsid w:val="006C6D0F"/>
    <w:rsid w:val="006D18F4"/>
    <w:rsid w:val="006D217A"/>
    <w:rsid w:val="006D28D6"/>
    <w:rsid w:val="006D3277"/>
    <w:rsid w:val="006D3F67"/>
    <w:rsid w:val="006D4EB6"/>
    <w:rsid w:val="006D5D32"/>
    <w:rsid w:val="006D6C71"/>
    <w:rsid w:val="006D756B"/>
    <w:rsid w:val="006D7E0D"/>
    <w:rsid w:val="006D7EFB"/>
    <w:rsid w:val="006E1225"/>
    <w:rsid w:val="006E2C90"/>
    <w:rsid w:val="006E48FA"/>
    <w:rsid w:val="006E56BB"/>
    <w:rsid w:val="006E6431"/>
    <w:rsid w:val="006E6672"/>
    <w:rsid w:val="006E6722"/>
    <w:rsid w:val="006F10F1"/>
    <w:rsid w:val="006F1CB6"/>
    <w:rsid w:val="006F1EA0"/>
    <w:rsid w:val="006F23B4"/>
    <w:rsid w:val="006F2990"/>
    <w:rsid w:val="006F2F39"/>
    <w:rsid w:val="006F3CD2"/>
    <w:rsid w:val="006F3CE2"/>
    <w:rsid w:val="006F4AFE"/>
    <w:rsid w:val="006F53DA"/>
    <w:rsid w:val="006F6E19"/>
    <w:rsid w:val="006F720A"/>
    <w:rsid w:val="006F7708"/>
    <w:rsid w:val="006F7783"/>
    <w:rsid w:val="006F7DAD"/>
    <w:rsid w:val="00700677"/>
    <w:rsid w:val="00700B6B"/>
    <w:rsid w:val="007012F7"/>
    <w:rsid w:val="007027B9"/>
    <w:rsid w:val="00703FC0"/>
    <w:rsid w:val="00704A8B"/>
    <w:rsid w:val="00705932"/>
    <w:rsid w:val="00705FAA"/>
    <w:rsid w:val="00706066"/>
    <w:rsid w:val="007062FF"/>
    <w:rsid w:val="00710052"/>
    <w:rsid w:val="0071130D"/>
    <w:rsid w:val="00712CD3"/>
    <w:rsid w:val="00713D8F"/>
    <w:rsid w:val="00714AEE"/>
    <w:rsid w:val="00715E88"/>
    <w:rsid w:val="00716721"/>
    <w:rsid w:val="00716FEC"/>
    <w:rsid w:val="007174D4"/>
    <w:rsid w:val="00717CB8"/>
    <w:rsid w:val="00720819"/>
    <w:rsid w:val="00724192"/>
    <w:rsid w:val="0072424C"/>
    <w:rsid w:val="0072508B"/>
    <w:rsid w:val="007250E6"/>
    <w:rsid w:val="00726097"/>
    <w:rsid w:val="00726943"/>
    <w:rsid w:val="00727E2B"/>
    <w:rsid w:val="00727FDE"/>
    <w:rsid w:val="00731EB0"/>
    <w:rsid w:val="00731F92"/>
    <w:rsid w:val="00732257"/>
    <w:rsid w:val="00733143"/>
    <w:rsid w:val="00734141"/>
    <w:rsid w:val="00734CAA"/>
    <w:rsid w:val="0073544B"/>
    <w:rsid w:val="00735A68"/>
    <w:rsid w:val="00735E35"/>
    <w:rsid w:val="00736583"/>
    <w:rsid w:val="00736EB0"/>
    <w:rsid w:val="00737A02"/>
    <w:rsid w:val="00740223"/>
    <w:rsid w:val="007413B5"/>
    <w:rsid w:val="007432BF"/>
    <w:rsid w:val="00745B1B"/>
    <w:rsid w:val="00746E47"/>
    <w:rsid w:val="00750EFD"/>
    <w:rsid w:val="00751467"/>
    <w:rsid w:val="00752BA9"/>
    <w:rsid w:val="00752FAD"/>
    <w:rsid w:val="00754046"/>
    <w:rsid w:val="00754086"/>
    <w:rsid w:val="007545E1"/>
    <w:rsid w:val="0075473A"/>
    <w:rsid w:val="00755106"/>
    <w:rsid w:val="0075533C"/>
    <w:rsid w:val="00756A08"/>
    <w:rsid w:val="0075753D"/>
    <w:rsid w:val="00757581"/>
    <w:rsid w:val="00757D83"/>
    <w:rsid w:val="00757F99"/>
    <w:rsid w:val="007611A0"/>
    <w:rsid w:val="0076226B"/>
    <w:rsid w:val="00762AD3"/>
    <w:rsid w:val="00763DA3"/>
    <w:rsid w:val="00764273"/>
    <w:rsid w:val="00764607"/>
    <w:rsid w:val="007657FD"/>
    <w:rsid w:val="00765804"/>
    <w:rsid w:val="007658A0"/>
    <w:rsid w:val="00765B61"/>
    <w:rsid w:val="00766AF5"/>
    <w:rsid w:val="007703F5"/>
    <w:rsid w:val="00770589"/>
    <w:rsid w:val="00771992"/>
    <w:rsid w:val="007727F5"/>
    <w:rsid w:val="00772ED3"/>
    <w:rsid w:val="00773316"/>
    <w:rsid w:val="00773F7F"/>
    <w:rsid w:val="00774E7B"/>
    <w:rsid w:val="00775059"/>
    <w:rsid w:val="00777138"/>
    <w:rsid w:val="0077794D"/>
    <w:rsid w:val="007802C1"/>
    <w:rsid w:val="0078044C"/>
    <w:rsid w:val="0078152C"/>
    <w:rsid w:val="00781C40"/>
    <w:rsid w:val="007828F3"/>
    <w:rsid w:val="007829DE"/>
    <w:rsid w:val="00783907"/>
    <w:rsid w:val="00786E21"/>
    <w:rsid w:val="00787A97"/>
    <w:rsid w:val="00790C87"/>
    <w:rsid w:val="00791202"/>
    <w:rsid w:val="00792FED"/>
    <w:rsid w:val="00794931"/>
    <w:rsid w:val="0079571C"/>
    <w:rsid w:val="007959C3"/>
    <w:rsid w:val="007964B0"/>
    <w:rsid w:val="00796538"/>
    <w:rsid w:val="00796779"/>
    <w:rsid w:val="00796D3F"/>
    <w:rsid w:val="00797A32"/>
    <w:rsid w:val="007A1552"/>
    <w:rsid w:val="007A1683"/>
    <w:rsid w:val="007A2217"/>
    <w:rsid w:val="007A34C6"/>
    <w:rsid w:val="007A36F8"/>
    <w:rsid w:val="007A5C12"/>
    <w:rsid w:val="007A5E50"/>
    <w:rsid w:val="007A78D3"/>
    <w:rsid w:val="007A7CB0"/>
    <w:rsid w:val="007A7D4C"/>
    <w:rsid w:val="007B1FE5"/>
    <w:rsid w:val="007B26EC"/>
    <w:rsid w:val="007B3CC7"/>
    <w:rsid w:val="007B3D9D"/>
    <w:rsid w:val="007B47CA"/>
    <w:rsid w:val="007B5921"/>
    <w:rsid w:val="007B604D"/>
    <w:rsid w:val="007B68A3"/>
    <w:rsid w:val="007B7C6C"/>
    <w:rsid w:val="007C0F13"/>
    <w:rsid w:val="007C15BB"/>
    <w:rsid w:val="007C19A3"/>
    <w:rsid w:val="007C1EE7"/>
    <w:rsid w:val="007C2541"/>
    <w:rsid w:val="007C30B9"/>
    <w:rsid w:val="007C405B"/>
    <w:rsid w:val="007C4C05"/>
    <w:rsid w:val="007C4FC0"/>
    <w:rsid w:val="007C547F"/>
    <w:rsid w:val="007C653D"/>
    <w:rsid w:val="007C6A5A"/>
    <w:rsid w:val="007C6AFB"/>
    <w:rsid w:val="007C7EEB"/>
    <w:rsid w:val="007D07CC"/>
    <w:rsid w:val="007D1151"/>
    <w:rsid w:val="007D1EF8"/>
    <w:rsid w:val="007D2563"/>
    <w:rsid w:val="007D299E"/>
    <w:rsid w:val="007D66A8"/>
    <w:rsid w:val="007D773D"/>
    <w:rsid w:val="007E003F"/>
    <w:rsid w:val="007E3196"/>
    <w:rsid w:val="007E4BA1"/>
    <w:rsid w:val="007E5718"/>
    <w:rsid w:val="007E5773"/>
    <w:rsid w:val="007E58BF"/>
    <w:rsid w:val="007E5BF5"/>
    <w:rsid w:val="007E6F98"/>
    <w:rsid w:val="007F07A5"/>
    <w:rsid w:val="007F136E"/>
    <w:rsid w:val="007F3686"/>
    <w:rsid w:val="007F44EC"/>
    <w:rsid w:val="007F6146"/>
    <w:rsid w:val="00800F49"/>
    <w:rsid w:val="00802708"/>
    <w:rsid w:val="00802E72"/>
    <w:rsid w:val="008031BB"/>
    <w:rsid w:val="008049AF"/>
    <w:rsid w:val="00805F1D"/>
    <w:rsid w:val="00807A24"/>
    <w:rsid w:val="008118B3"/>
    <w:rsid w:val="0081275A"/>
    <w:rsid w:val="00812D01"/>
    <w:rsid w:val="00813BDC"/>
    <w:rsid w:val="00814F4A"/>
    <w:rsid w:val="008164F2"/>
    <w:rsid w:val="008209B6"/>
    <w:rsid w:val="00821395"/>
    <w:rsid w:val="00822D8F"/>
    <w:rsid w:val="008237E8"/>
    <w:rsid w:val="0082396B"/>
    <w:rsid w:val="00826CD1"/>
    <w:rsid w:val="00827495"/>
    <w:rsid w:val="0082780E"/>
    <w:rsid w:val="0083087B"/>
    <w:rsid w:val="00830E26"/>
    <w:rsid w:val="00832159"/>
    <w:rsid w:val="00833511"/>
    <w:rsid w:val="008349DB"/>
    <w:rsid w:val="00835332"/>
    <w:rsid w:val="0083607E"/>
    <w:rsid w:val="008367E5"/>
    <w:rsid w:val="008407A0"/>
    <w:rsid w:val="00843576"/>
    <w:rsid w:val="00843B64"/>
    <w:rsid w:val="00844043"/>
    <w:rsid w:val="00844054"/>
    <w:rsid w:val="00844739"/>
    <w:rsid w:val="00844BAF"/>
    <w:rsid w:val="00845CD4"/>
    <w:rsid w:val="008470BD"/>
    <w:rsid w:val="008478FC"/>
    <w:rsid w:val="00850D87"/>
    <w:rsid w:val="00852239"/>
    <w:rsid w:val="00854DB4"/>
    <w:rsid w:val="00854F9B"/>
    <w:rsid w:val="0085551E"/>
    <w:rsid w:val="00856BBE"/>
    <w:rsid w:val="00856E22"/>
    <w:rsid w:val="00857D69"/>
    <w:rsid w:val="00860166"/>
    <w:rsid w:val="008624FC"/>
    <w:rsid w:val="0086321F"/>
    <w:rsid w:val="0086415A"/>
    <w:rsid w:val="00864ADA"/>
    <w:rsid w:val="008667ED"/>
    <w:rsid w:val="0086712C"/>
    <w:rsid w:val="008673F4"/>
    <w:rsid w:val="00867BFF"/>
    <w:rsid w:val="008740F1"/>
    <w:rsid w:val="00875E37"/>
    <w:rsid w:val="0087652A"/>
    <w:rsid w:val="008766A3"/>
    <w:rsid w:val="00877C0A"/>
    <w:rsid w:val="00877E1D"/>
    <w:rsid w:val="00880C01"/>
    <w:rsid w:val="00882377"/>
    <w:rsid w:val="008825B9"/>
    <w:rsid w:val="008826DB"/>
    <w:rsid w:val="00883769"/>
    <w:rsid w:val="0088480A"/>
    <w:rsid w:val="00885342"/>
    <w:rsid w:val="008872CC"/>
    <w:rsid w:val="0088757A"/>
    <w:rsid w:val="008876B0"/>
    <w:rsid w:val="00887A5E"/>
    <w:rsid w:val="00887AE4"/>
    <w:rsid w:val="00887B7F"/>
    <w:rsid w:val="0089066F"/>
    <w:rsid w:val="0089089C"/>
    <w:rsid w:val="0089130F"/>
    <w:rsid w:val="00892383"/>
    <w:rsid w:val="00892B3C"/>
    <w:rsid w:val="00892BE5"/>
    <w:rsid w:val="008937F8"/>
    <w:rsid w:val="008957DD"/>
    <w:rsid w:val="00897A16"/>
    <w:rsid w:val="00897D98"/>
    <w:rsid w:val="008A05BD"/>
    <w:rsid w:val="008A11ED"/>
    <w:rsid w:val="008A178E"/>
    <w:rsid w:val="008A222D"/>
    <w:rsid w:val="008A26B4"/>
    <w:rsid w:val="008A271D"/>
    <w:rsid w:val="008A2E05"/>
    <w:rsid w:val="008A417F"/>
    <w:rsid w:val="008A4850"/>
    <w:rsid w:val="008A4F3A"/>
    <w:rsid w:val="008A6B65"/>
    <w:rsid w:val="008A6DF2"/>
    <w:rsid w:val="008A7807"/>
    <w:rsid w:val="008A7B7F"/>
    <w:rsid w:val="008B0771"/>
    <w:rsid w:val="008B0D6B"/>
    <w:rsid w:val="008B1163"/>
    <w:rsid w:val="008B2065"/>
    <w:rsid w:val="008B22E3"/>
    <w:rsid w:val="008B23E7"/>
    <w:rsid w:val="008B28D4"/>
    <w:rsid w:val="008B2AD2"/>
    <w:rsid w:val="008B32DB"/>
    <w:rsid w:val="008B3832"/>
    <w:rsid w:val="008B41A5"/>
    <w:rsid w:val="008B425A"/>
    <w:rsid w:val="008B4CC9"/>
    <w:rsid w:val="008B545D"/>
    <w:rsid w:val="008B5DFE"/>
    <w:rsid w:val="008B7F7F"/>
    <w:rsid w:val="008C083F"/>
    <w:rsid w:val="008C0F3E"/>
    <w:rsid w:val="008C11CB"/>
    <w:rsid w:val="008C123A"/>
    <w:rsid w:val="008C13F0"/>
    <w:rsid w:val="008C1B8B"/>
    <w:rsid w:val="008C3695"/>
    <w:rsid w:val="008C445E"/>
    <w:rsid w:val="008C6BC3"/>
    <w:rsid w:val="008C6EBD"/>
    <w:rsid w:val="008C752B"/>
    <w:rsid w:val="008C79A1"/>
    <w:rsid w:val="008D0332"/>
    <w:rsid w:val="008D0DEF"/>
    <w:rsid w:val="008D1425"/>
    <w:rsid w:val="008D2561"/>
    <w:rsid w:val="008D3AE0"/>
    <w:rsid w:val="008D4BCC"/>
    <w:rsid w:val="008D4CD4"/>
    <w:rsid w:val="008D594E"/>
    <w:rsid w:val="008D7C99"/>
    <w:rsid w:val="008E0973"/>
    <w:rsid w:val="008E0FCB"/>
    <w:rsid w:val="008E34E4"/>
    <w:rsid w:val="008E380E"/>
    <w:rsid w:val="008E3B73"/>
    <w:rsid w:val="008E4351"/>
    <w:rsid w:val="008E495F"/>
    <w:rsid w:val="008E5331"/>
    <w:rsid w:val="008E5B34"/>
    <w:rsid w:val="008E7171"/>
    <w:rsid w:val="008E7F66"/>
    <w:rsid w:val="008F2914"/>
    <w:rsid w:val="008F3C8C"/>
    <w:rsid w:val="008F3EF5"/>
    <w:rsid w:val="008F491A"/>
    <w:rsid w:val="008F4D8F"/>
    <w:rsid w:val="008F6AAF"/>
    <w:rsid w:val="008F728C"/>
    <w:rsid w:val="009007BD"/>
    <w:rsid w:val="00903918"/>
    <w:rsid w:val="00903A28"/>
    <w:rsid w:val="0090438E"/>
    <w:rsid w:val="00904AB3"/>
    <w:rsid w:val="00905E2A"/>
    <w:rsid w:val="00906CFD"/>
    <w:rsid w:val="00907D3C"/>
    <w:rsid w:val="00907D78"/>
    <w:rsid w:val="009100A8"/>
    <w:rsid w:val="00912057"/>
    <w:rsid w:val="00912F63"/>
    <w:rsid w:val="0091373A"/>
    <w:rsid w:val="009141CE"/>
    <w:rsid w:val="00917371"/>
    <w:rsid w:val="009173A9"/>
    <w:rsid w:val="00917C86"/>
    <w:rsid w:val="0092178C"/>
    <w:rsid w:val="00921EF2"/>
    <w:rsid w:val="00922A94"/>
    <w:rsid w:val="00924111"/>
    <w:rsid w:val="0092493F"/>
    <w:rsid w:val="00924EED"/>
    <w:rsid w:val="00924F80"/>
    <w:rsid w:val="00924FA9"/>
    <w:rsid w:val="00930B88"/>
    <w:rsid w:val="00930C7E"/>
    <w:rsid w:val="009315FE"/>
    <w:rsid w:val="00932431"/>
    <w:rsid w:val="00933874"/>
    <w:rsid w:val="009344CE"/>
    <w:rsid w:val="00936DFC"/>
    <w:rsid w:val="009378DC"/>
    <w:rsid w:val="00937ADA"/>
    <w:rsid w:val="00940DCC"/>
    <w:rsid w:val="0094179A"/>
    <w:rsid w:val="00941AA7"/>
    <w:rsid w:val="00941D5B"/>
    <w:rsid w:val="009423BF"/>
    <w:rsid w:val="00942623"/>
    <w:rsid w:val="0094405A"/>
    <w:rsid w:val="0094459E"/>
    <w:rsid w:val="00944DBC"/>
    <w:rsid w:val="0094695B"/>
    <w:rsid w:val="009475C4"/>
    <w:rsid w:val="00950977"/>
    <w:rsid w:val="009516D3"/>
    <w:rsid w:val="00951A7B"/>
    <w:rsid w:val="00953050"/>
    <w:rsid w:val="00954936"/>
    <w:rsid w:val="0095521A"/>
    <w:rsid w:val="00955541"/>
    <w:rsid w:val="00955743"/>
    <w:rsid w:val="0095599E"/>
    <w:rsid w:val="00955CFE"/>
    <w:rsid w:val="00955DE9"/>
    <w:rsid w:val="009564A6"/>
    <w:rsid w:val="00956A2A"/>
    <w:rsid w:val="00956A61"/>
    <w:rsid w:val="0096039D"/>
    <w:rsid w:val="00960E7B"/>
    <w:rsid w:val="00961A33"/>
    <w:rsid w:val="00961B1E"/>
    <w:rsid w:val="009628B9"/>
    <w:rsid w:val="009629DD"/>
    <w:rsid w:val="00962CE0"/>
    <w:rsid w:val="009631AE"/>
    <w:rsid w:val="00964DC0"/>
    <w:rsid w:val="0096529B"/>
    <w:rsid w:val="009659A5"/>
    <w:rsid w:val="00965BB5"/>
    <w:rsid w:val="00967621"/>
    <w:rsid w:val="00967E6A"/>
    <w:rsid w:val="009714E3"/>
    <w:rsid w:val="00972451"/>
    <w:rsid w:val="00974616"/>
    <w:rsid w:val="00976AE1"/>
    <w:rsid w:val="00976CC4"/>
    <w:rsid w:val="0098018E"/>
    <w:rsid w:val="00980797"/>
    <w:rsid w:val="00980981"/>
    <w:rsid w:val="009825E0"/>
    <w:rsid w:val="00982BCB"/>
    <w:rsid w:val="00984317"/>
    <w:rsid w:val="00984658"/>
    <w:rsid w:val="009849C9"/>
    <w:rsid w:val="00984EB6"/>
    <w:rsid w:val="0098503C"/>
    <w:rsid w:val="00985463"/>
    <w:rsid w:val="00985469"/>
    <w:rsid w:val="00986A2D"/>
    <w:rsid w:val="00986CAF"/>
    <w:rsid w:val="009873AC"/>
    <w:rsid w:val="00987AB4"/>
    <w:rsid w:val="00987E6E"/>
    <w:rsid w:val="009901C4"/>
    <w:rsid w:val="009933D4"/>
    <w:rsid w:val="00993596"/>
    <w:rsid w:val="009935AC"/>
    <w:rsid w:val="009948AA"/>
    <w:rsid w:val="009953B8"/>
    <w:rsid w:val="009955C6"/>
    <w:rsid w:val="009972F3"/>
    <w:rsid w:val="009A0022"/>
    <w:rsid w:val="009A00BC"/>
    <w:rsid w:val="009A0730"/>
    <w:rsid w:val="009A203F"/>
    <w:rsid w:val="009A3457"/>
    <w:rsid w:val="009A3EDE"/>
    <w:rsid w:val="009A4594"/>
    <w:rsid w:val="009A4EF8"/>
    <w:rsid w:val="009A5830"/>
    <w:rsid w:val="009A6054"/>
    <w:rsid w:val="009A64E1"/>
    <w:rsid w:val="009A68D7"/>
    <w:rsid w:val="009B0089"/>
    <w:rsid w:val="009B035F"/>
    <w:rsid w:val="009B0B1C"/>
    <w:rsid w:val="009B0B7A"/>
    <w:rsid w:val="009B2681"/>
    <w:rsid w:val="009B359C"/>
    <w:rsid w:val="009B3AC4"/>
    <w:rsid w:val="009B3D20"/>
    <w:rsid w:val="009B423C"/>
    <w:rsid w:val="009B42F9"/>
    <w:rsid w:val="009B4A0F"/>
    <w:rsid w:val="009B6078"/>
    <w:rsid w:val="009B6940"/>
    <w:rsid w:val="009B6A38"/>
    <w:rsid w:val="009B7B2D"/>
    <w:rsid w:val="009C0FEC"/>
    <w:rsid w:val="009C11D2"/>
    <w:rsid w:val="009C12FA"/>
    <w:rsid w:val="009C2131"/>
    <w:rsid w:val="009C2875"/>
    <w:rsid w:val="009C29CC"/>
    <w:rsid w:val="009C3D03"/>
    <w:rsid w:val="009C57F8"/>
    <w:rsid w:val="009C5876"/>
    <w:rsid w:val="009C6C70"/>
    <w:rsid w:val="009C70FB"/>
    <w:rsid w:val="009D0836"/>
    <w:rsid w:val="009D0922"/>
    <w:rsid w:val="009D0B63"/>
    <w:rsid w:val="009D1190"/>
    <w:rsid w:val="009D1FFB"/>
    <w:rsid w:val="009D44B5"/>
    <w:rsid w:val="009D502A"/>
    <w:rsid w:val="009D58B5"/>
    <w:rsid w:val="009D6CB9"/>
    <w:rsid w:val="009D70A6"/>
    <w:rsid w:val="009E1690"/>
    <w:rsid w:val="009E17C4"/>
    <w:rsid w:val="009E1A50"/>
    <w:rsid w:val="009E2229"/>
    <w:rsid w:val="009E26C4"/>
    <w:rsid w:val="009E2E10"/>
    <w:rsid w:val="009E307E"/>
    <w:rsid w:val="009E4263"/>
    <w:rsid w:val="009E47E3"/>
    <w:rsid w:val="009E4D63"/>
    <w:rsid w:val="009E565B"/>
    <w:rsid w:val="009E5D6E"/>
    <w:rsid w:val="009E6909"/>
    <w:rsid w:val="009F0408"/>
    <w:rsid w:val="009F05D2"/>
    <w:rsid w:val="009F10C3"/>
    <w:rsid w:val="009F23FD"/>
    <w:rsid w:val="009F4B4D"/>
    <w:rsid w:val="009F57BD"/>
    <w:rsid w:val="009F5D66"/>
    <w:rsid w:val="009F6A0F"/>
    <w:rsid w:val="009F77A7"/>
    <w:rsid w:val="009F7C84"/>
    <w:rsid w:val="00A0094B"/>
    <w:rsid w:val="00A03A4A"/>
    <w:rsid w:val="00A049B0"/>
    <w:rsid w:val="00A05949"/>
    <w:rsid w:val="00A05D57"/>
    <w:rsid w:val="00A07823"/>
    <w:rsid w:val="00A07870"/>
    <w:rsid w:val="00A07D0A"/>
    <w:rsid w:val="00A07F19"/>
    <w:rsid w:val="00A10239"/>
    <w:rsid w:val="00A10DA9"/>
    <w:rsid w:val="00A12F98"/>
    <w:rsid w:val="00A1348D"/>
    <w:rsid w:val="00A13EF7"/>
    <w:rsid w:val="00A142D1"/>
    <w:rsid w:val="00A1489E"/>
    <w:rsid w:val="00A1619A"/>
    <w:rsid w:val="00A17B5E"/>
    <w:rsid w:val="00A17BE8"/>
    <w:rsid w:val="00A206DD"/>
    <w:rsid w:val="00A20BB6"/>
    <w:rsid w:val="00A20C44"/>
    <w:rsid w:val="00A231B4"/>
    <w:rsid w:val="00A232EE"/>
    <w:rsid w:val="00A239EB"/>
    <w:rsid w:val="00A248B7"/>
    <w:rsid w:val="00A25DF7"/>
    <w:rsid w:val="00A27A25"/>
    <w:rsid w:val="00A3030C"/>
    <w:rsid w:val="00A30975"/>
    <w:rsid w:val="00A3557F"/>
    <w:rsid w:val="00A364B7"/>
    <w:rsid w:val="00A40B3B"/>
    <w:rsid w:val="00A40F25"/>
    <w:rsid w:val="00A4175F"/>
    <w:rsid w:val="00A4176F"/>
    <w:rsid w:val="00A423D8"/>
    <w:rsid w:val="00A44411"/>
    <w:rsid w:val="00A45D69"/>
    <w:rsid w:val="00A469FA"/>
    <w:rsid w:val="00A471D2"/>
    <w:rsid w:val="00A4751B"/>
    <w:rsid w:val="00A47E25"/>
    <w:rsid w:val="00A50E94"/>
    <w:rsid w:val="00A52140"/>
    <w:rsid w:val="00A534F0"/>
    <w:rsid w:val="00A544F6"/>
    <w:rsid w:val="00A55B01"/>
    <w:rsid w:val="00A5624A"/>
    <w:rsid w:val="00A567ED"/>
    <w:rsid w:val="00A568F9"/>
    <w:rsid w:val="00A56B5B"/>
    <w:rsid w:val="00A60262"/>
    <w:rsid w:val="00A603FF"/>
    <w:rsid w:val="00A60992"/>
    <w:rsid w:val="00A6105B"/>
    <w:rsid w:val="00A62020"/>
    <w:rsid w:val="00A627AC"/>
    <w:rsid w:val="00A657DD"/>
    <w:rsid w:val="00A6616F"/>
    <w:rsid w:val="00A666A6"/>
    <w:rsid w:val="00A67593"/>
    <w:rsid w:val="00A675FD"/>
    <w:rsid w:val="00A70140"/>
    <w:rsid w:val="00A70422"/>
    <w:rsid w:val="00A70763"/>
    <w:rsid w:val="00A70DF4"/>
    <w:rsid w:val="00A71876"/>
    <w:rsid w:val="00A72437"/>
    <w:rsid w:val="00A72CA0"/>
    <w:rsid w:val="00A73910"/>
    <w:rsid w:val="00A75E31"/>
    <w:rsid w:val="00A7619B"/>
    <w:rsid w:val="00A76A00"/>
    <w:rsid w:val="00A80611"/>
    <w:rsid w:val="00A83C54"/>
    <w:rsid w:val="00A84B15"/>
    <w:rsid w:val="00A84B6C"/>
    <w:rsid w:val="00A84C16"/>
    <w:rsid w:val="00A86398"/>
    <w:rsid w:val="00A87016"/>
    <w:rsid w:val="00A90D21"/>
    <w:rsid w:val="00A9393D"/>
    <w:rsid w:val="00A95802"/>
    <w:rsid w:val="00A975F7"/>
    <w:rsid w:val="00A97C78"/>
    <w:rsid w:val="00AA020A"/>
    <w:rsid w:val="00AA0337"/>
    <w:rsid w:val="00AA0F31"/>
    <w:rsid w:val="00AA24BE"/>
    <w:rsid w:val="00AA265E"/>
    <w:rsid w:val="00AA2A6E"/>
    <w:rsid w:val="00AA3A31"/>
    <w:rsid w:val="00AA3D2A"/>
    <w:rsid w:val="00AA475D"/>
    <w:rsid w:val="00AA613C"/>
    <w:rsid w:val="00AA6CA0"/>
    <w:rsid w:val="00AB1F69"/>
    <w:rsid w:val="00AB31EC"/>
    <w:rsid w:val="00AB4CB9"/>
    <w:rsid w:val="00AB5340"/>
    <w:rsid w:val="00AB5558"/>
    <w:rsid w:val="00AB5580"/>
    <w:rsid w:val="00AB6678"/>
    <w:rsid w:val="00AC010E"/>
    <w:rsid w:val="00AC01CC"/>
    <w:rsid w:val="00AC16B8"/>
    <w:rsid w:val="00AC1884"/>
    <w:rsid w:val="00AC2265"/>
    <w:rsid w:val="00AC2843"/>
    <w:rsid w:val="00AC3CC2"/>
    <w:rsid w:val="00AC40AE"/>
    <w:rsid w:val="00AC4D0A"/>
    <w:rsid w:val="00AC5343"/>
    <w:rsid w:val="00AC53B6"/>
    <w:rsid w:val="00AC5D09"/>
    <w:rsid w:val="00AC7C96"/>
    <w:rsid w:val="00AD1431"/>
    <w:rsid w:val="00AD55EF"/>
    <w:rsid w:val="00AD62BC"/>
    <w:rsid w:val="00AD6EA3"/>
    <w:rsid w:val="00AD7DCA"/>
    <w:rsid w:val="00AE00B5"/>
    <w:rsid w:val="00AE0207"/>
    <w:rsid w:val="00AE0AA0"/>
    <w:rsid w:val="00AE1229"/>
    <w:rsid w:val="00AE1F22"/>
    <w:rsid w:val="00AE237D"/>
    <w:rsid w:val="00AE2A3D"/>
    <w:rsid w:val="00AE328A"/>
    <w:rsid w:val="00AE3480"/>
    <w:rsid w:val="00AE502A"/>
    <w:rsid w:val="00AE5090"/>
    <w:rsid w:val="00AE6502"/>
    <w:rsid w:val="00AE6D42"/>
    <w:rsid w:val="00AE72EC"/>
    <w:rsid w:val="00AE7EEA"/>
    <w:rsid w:val="00AF0DF7"/>
    <w:rsid w:val="00AF1143"/>
    <w:rsid w:val="00AF1CD6"/>
    <w:rsid w:val="00AF22F4"/>
    <w:rsid w:val="00AF2AA8"/>
    <w:rsid w:val="00AF3C42"/>
    <w:rsid w:val="00AF3F0D"/>
    <w:rsid w:val="00AF42F6"/>
    <w:rsid w:val="00AF5B3A"/>
    <w:rsid w:val="00AF5C70"/>
    <w:rsid w:val="00AF60D9"/>
    <w:rsid w:val="00AF7084"/>
    <w:rsid w:val="00AF7184"/>
    <w:rsid w:val="00AF7C07"/>
    <w:rsid w:val="00B00436"/>
    <w:rsid w:val="00B011B5"/>
    <w:rsid w:val="00B02F2A"/>
    <w:rsid w:val="00B06821"/>
    <w:rsid w:val="00B12D6F"/>
    <w:rsid w:val="00B15F7D"/>
    <w:rsid w:val="00B17BD5"/>
    <w:rsid w:val="00B2023C"/>
    <w:rsid w:val="00B20676"/>
    <w:rsid w:val="00B220A5"/>
    <w:rsid w:val="00B2258A"/>
    <w:rsid w:val="00B22C93"/>
    <w:rsid w:val="00B234DD"/>
    <w:rsid w:val="00B2359D"/>
    <w:rsid w:val="00B23CB0"/>
    <w:rsid w:val="00B26568"/>
    <w:rsid w:val="00B27589"/>
    <w:rsid w:val="00B27732"/>
    <w:rsid w:val="00B27B02"/>
    <w:rsid w:val="00B27E55"/>
    <w:rsid w:val="00B3153A"/>
    <w:rsid w:val="00B32618"/>
    <w:rsid w:val="00B32DAE"/>
    <w:rsid w:val="00B34DB2"/>
    <w:rsid w:val="00B37D06"/>
    <w:rsid w:val="00B37EF9"/>
    <w:rsid w:val="00B405B7"/>
    <w:rsid w:val="00B43593"/>
    <w:rsid w:val="00B45996"/>
    <w:rsid w:val="00B45E6D"/>
    <w:rsid w:val="00B45E84"/>
    <w:rsid w:val="00B46736"/>
    <w:rsid w:val="00B46A80"/>
    <w:rsid w:val="00B50035"/>
    <w:rsid w:val="00B50D46"/>
    <w:rsid w:val="00B52222"/>
    <w:rsid w:val="00B523A2"/>
    <w:rsid w:val="00B531C7"/>
    <w:rsid w:val="00B54FE7"/>
    <w:rsid w:val="00B564CA"/>
    <w:rsid w:val="00B57C47"/>
    <w:rsid w:val="00B57D99"/>
    <w:rsid w:val="00B60F0B"/>
    <w:rsid w:val="00B61F63"/>
    <w:rsid w:val="00B635D3"/>
    <w:rsid w:val="00B639D7"/>
    <w:rsid w:val="00B640E0"/>
    <w:rsid w:val="00B65AC8"/>
    <w:rsid w:val="00B65C83"/>
    <w:rsid w:val="00B6681E"/>
    <w:rsid w:val="00B66901"/>
    <w:rsid w:val="00B66F87"/>
    <w:rsid w:val="00B679A5"/>
    <w:rsid w:val="00B67ED4"/>
    <w:rsid w:val="00B67FC8"/>
    <w:rsid w:val="00B70745"/>
    <w:rsid w:val="00B71045"/>
    <w:rsid w:val="00B71E6D"/>
    <w:rsid w:val="00B72070"/>
    <w:rsid w:val="00B72766"/>
    <w:rsid w:val="00B749C1"/>
    <w:rsid w:val="00B74E54"/>
    <w:rsid w:val="00B75018"/>
    <w:rsid w:val="00B766F4"/>
    <w:rsid w:val="00B779E1"/>
    <w:rsid w:val="00B8066B"/>
    <w:rsid w:val="00B8123A"/>
    <w:rsid w:val="00B820FD"/>
    <w:rsid w:val="00B8279E"/>
    <w:rsid w:val="00B829DB"/>
    <w:rsid w:val="00B83BC6"/>
    <w:rsid w:val="00B83E4E"/>
    <w:rsid w:val="00B84596"/>
    <w:rsid w:val="00B8465D"/>
    <w:rsid w:val="00B84A04"/>
    <w:rsid w:val="00B84AEF"/>
    <w:rsid w:val="00B859A3"/>
    <w:rsid w:val="00B86E25"/>
    <w:rsid w:val="00B87AB2"/>
    <w:rsid w:val="00B87BFE"/>
    <w:rsid w:val="00B901B0"/>
    <w:rsid w:val="00B906B9"/>
    <w:rsid w:val="00B91403"/>
    <w:rsid w:val="00B91634"/>
    <w:rsid w:val="00B91A0D"/>
    <w:rsid w:val="00B91EE1"/>
    <w:rsid w:val="00B9337C"/>
    <w:rsid w:val="00B95F30"/>
    <w:rsid w:val="00B966E6"/>
    <w:rsid w:val="00BA0090"/>
    <w:rsid w:val="00BA0638"/>
    <w:rsid w:val="00BA12F2"/>
    <w:rsid w:val="00BA1841"/>
    <w:rsid w:val="00BA1A67"/>
    <w:rsid w:val="00BA3B9F"/>
    <w:rsid w:val="00BA52BC"/>
    <w:rsid w:val="00BA5F17"/>
    <w:rsid w:val="00BA6E4D"/>
    <w:rsid w:val="00BB0690"/>
    <w:rsid w:val="00BB2F19"/>
    <w:rsid w:val="00BB4015"/>
    <w:rsid w:val="00BB49DE"/>
    <w:rsid w:val="00BB4F7E"/>
    <w:rsid w:val="00BB6724"/>
    <w:rsid w:val="00BB6C5E"/>
    <w:rsid w:val="00BC07FE"/>
    <w:rsid w:val="00BC096D"/>
    <w:rsid w:val="00BC1E32"/>
    <w:rsid w:val="00BC1E41"/>
    <w:rsid w:val="00BC271D"/>
    <w:rsid w:val="00BC4319"/>
    <w:rsid w:val="00BC4BC6"/>
    <w:rsid w:val="00BC4BD3"/>
    <w:rsid w:val="00BC6570"/>
    <w:rsid w:val="00BD0163"/>
    <w:rsid w:val="00BD0624"/>
    <w:rsid w:val="00BD0D4B"/>
    <w:rsid w:val="00BD159E"/>
    <w:rsid w:val="00BD1A9D"/>
    <w:rsid w:val="00BD2271"/>
    <w:rsid w:val="00BD4BD3"/>
    <w:rsid w:val="00BD59BE"/>
    <w:rsid w:val="00BD6A22"/>
    <w:rsid w:val="00BD75D4"/>
    <w:rsid w:val="00BD7697"/>
    <w:rsid w:val="00BE05FB"/>
    <w:rsid w:val="00BE09DC"/>
    <w:rsid w:val="00BE0A1C"/>
    <w:rsid w:val="00BE1518"/>
    <w:rsid w:val="00BE4908"/>
    <w:rsid w:val="00BE5B5F"/>
    <w:rsid w:val="00BE7123"/>
    <w:rsid w:val="00BF074A"/>
    <w:rsid w:val="00BF1528"/>
    <w:rsid w:val="00BF19A2"/>
    <w:rsid w:val="00BF32AA"/>
    <w:rsid w:val="00BF4BF7"/>
    <w:rsid w:val="00BF7B0B"/>
    <w:rsid w:val="00C00CE3"/>
    <w:rsid w:val="00C01C59"/>
    <w:rsid w:val="00C0480D"/>
    <w:rsid w:val="00C049C6"/>
    <w:rsid w:val="00C04C57"/>
    <w:rsid w:val="00C05655"/>
    <w:rsid w:val="00C05DC4"/>
    <w:rsid w:val="00C06F67"/>
    <w:rsid w:val="00C07576"/>
    <w:rsid w:val="00C10A2E"/>
    <w:rsid w:val="00C127D8"/>
    <w:rsid w:val="00C13949"/>
    <w:rsid w:val="00C146A7"/>
    <w:rsid w:val="00C20DD2"/>
    <w:rsid w:val="00C214FF"/>
    <w:rsid w:val="00C2179C"/>
    <w:rsid w:val="00C23E09"/>
    <w:rsid w:val="00C24196"/>
    <w:rsid w:val="00C249A3"/>
    <w:rsid w:val="00C25645"/>
    <w:rsid w:val="00C26F55"/>
    <w:rsid w:val="00C270BA"/>
    <w:rsid w:val="00C30C63"/>
    <w:rsid w:val="00C31386"/>
    <w:rsid w:val="00C318AA"/>
    <w:rsid w:val="00C32B37"/>
    <w:rsid w:val="00C32D50"/>
    <w:rsid w:val="00C34C15"/>
    <w:rsid w:val="00C357E1"/>
    <w:rsid w:val="00C3589F"/>
    <w:rsid w:val="00C360B9"/>
    <w:rsid w:val="00C3659A"/>
    <w:rsid w:val="00C36B8B"/>
    <w:rsid w:val="00C37E4E"/>
    <w:rsid w:val="00C37F9F"/>
    <w:rsid w:val="00C37FA9"/>
    <w:rsid w:val="00C42D4C"/>
    <w:rsid w:val="00C43CAB"/>
    <w:rsid w:val="00C440E3"/>
    <w:rsid w:val="00C44272"/>
    <w:rsid w:val="00C44D1F"/>
    <w:rsid w:val="00C452D9"/>
    <w:rsid w:val="00C47DBF"/>
    <w:rsid w:val="00C53666"/>
    <w:rsid w:val="00C541D8"/>
    <w:rsid w:val="00C552FF"/>
    <w:rsid w:val="00C558DA"/>
    <w:rsid w:val="00C55AF3"/>
    <w:rsid w:val="00C55B80"/>
    <w:rsid w:val="00C55FD7"/>
    <w:rsid w:val="00C57047"/>
    <w:rsid w:val="00C571D4"/>
    <w:rsid w:val="00C57FC7"/>
    <w:rsid w:val="00C60713"/>
    <w:rsid w:val="00C60B67"/>
    <w:rsid w:val="00C60CC6"/>
    <w:rsid w:val="00C610F0"/>
    <w:rsid w:val="00C615B0"/>
    <w:rsid w:val="00C62CFA"/>
    <w:rsid w:val="00C63AF4"/>
    <w:rsid w:val="00C63FBE"/>
    <w:rsid w:val="00C65716"/>
    <w:rsid w:val="00C70003"/>
    <w:rsid w:val="00C704E6"/>
    <w:rsid w:val="00C70B49"/>
    <w:rsid w:val="00C70F1B"/>
    <w:rsid w:val="00C712C2"/>
    <w:rsid w:val="00C73E65"/>
    <w:rsid w:val="00C74AF9"/>
    <w:rsid w:val="00C75C7C"/>
    <w:rsid w:val="00C76580"/>
    <w:rsid w:val="00C81951"/>
    <w:rsid w:val="00C81B2B"/>
    <w:rsid w:val="00C82415"/>
    <w:rsid w:val="00C8261C"/>
    <w:rsid w:val="00C83224"/>
    <w:rsid w:val="00C83A8F"/>
    <w:rsid w:val="00C84759"/>
    <w:rsid w:val="00C84EA5"/>
    <w:rsid w:val="00C8666E"/>
    <w:rsid w:val="00C875F7"/>
    <w:rsid w:val="00C90532"/>
    <w:rsid w:val="00C90741"/>
    <w:rsid w:val="00C90AFE"/>
    <w:rsid w:val="00C91403"/>
    <w:rsid w:val="00C93E9B"/>
    <w:rsid w:val="00C971E0"/>
    <w:rsid w:val="00C97578"/>
    <w:rsid w:val="00C97BDD"/>
    <w:rsid w:val="00CA03A0"/>
    <w:rsid w:val="00CA0DC8"/>
    <w:rsid w:val="00CA15F8"/>
    <w:rsid w:val="00CA26C7"/>
    <w:rsid w:val="00CA31C8"/>
    <w:rsid w:val="00CA6C7F"/>
    <w:rsid w:val="00CA78AF"/>
    <w:rsid w:val="00CB1ACA"/>
    <w:rsid w:val="00CB1C9B"/>
    <w:rsid w:val="00CB348D"/>
    <w:rsid w:val="00CB3665"/>
    <w:rsid w:val="00CB52EB"/>
    <w:rsid w:val="00CB6EDF"/>
    <w:rsid w:val="00CB6F8C"/>
    <w:rsid w:val="00CB7263"/>
    <w:rsid w:val="00CB76C3"/>
    <w:rsid w:val="00CB7E0E"/>
    <w:rsid w:val="00CC0260"/>
    <w:rsid w:val="00CC10A6"/>
    <w:rsid w:val="00CC13D8"/>
    <w:rsid w:val="00CC3426"/>
    <w:rsid w:val="00CC5FB0"/>
    <w:rsid w:val="00CC6B5F"/>
    <w:rsid w:val="00CC7DA5"/>
    <w:rsid w:val="00CD25B0"/>
    <w:rsid w:val="00CD3574"/>
    <w:rsid w:val="00CD43B4"/>
    <w:rsid w:val="00CD44C7"/>
    <w:rsid w:val="00CD4D0A"/>
    <w:rsid w:val="00CD4ED8"/>
    <w:rsid w:val="00CD5EB8"/>
    <w:rsid w:val="00CD6AC7"/>
    <w:rsid w:val="00CD7044"/>
    <w:rsid w:val="00CE038E"/>
    <w:rsid w:val="00CE0537"/>
    <w:rsid w:val="00CE08B9"/>
    <w:rsid w:val="00CE26C3"/>
    <w:rsid w:val="00CE297D"/>
    <w:rsid w:val="00CE3777"/>
    <w:rsid w:val="00CE378C"/>
    <w:rsid w:val="00CE3C68"/>
    <w:rsid w:val="00CE4876"/>
    <w:rsid w:val="00CE524C"/>
    <w:rsid w:val="00CE58A3"/>
    <w:rsid w:val="00CE6531"/>
    <w:rsid w:val="00CE67E1"/>
    <w:rsid w:val="00CE745C"/>
    <w:rsid w:val="00CF02F5"/>
    <w:rsid w:val="00CF0E95"/>
    <w:rsid w:val="00CF141F"/>
    <w:rsid w:val="00CF4168"/>
    <w:rsid w:val="00CF4777"/>
    <w:rsid w:val="00CF5AF8"/>
    <w:rsid w:val="00D03B6E"/>
    <w:rsid w:val="00D050C7"/>
    <w:rsid w:val="00D067BB"/>
    <w:rsid w:val="00D070CC"/>
    <w:rsid w:val="00D10818"/>
    <w:rsid w:val="00D11FC2"/>
    <w:rsid w:val="00D12195"/>
    <w:rsid w:val="00D1307B"/>
    <w:rsid w:val="00D1352A"/>
    <w:rsid w:val="00D13B29"/>
    <w:rsid w:val="00D13EDE"/>
    <w:rsid w:val="00D1481E"/>
    <w:rsid w:val="00D1636D"/>
    <w:rsid w:val="00D168F0"/>
    <w:rsid w:val="00D169AF"/>
    <w:rsid w:val="00D171C0"/>
    <w:rsid w:val="00D179C7"/>
    <w:rsid w:val="00D20219"/>
    <w:rsid w:val="00D20D06"/>
    <w:rsid w:val="00D21C96"/>
    <w:rsid w:val="00D22709"/>
    <w:rsid w:val="00D22A28"/>
    <w:rsid w:val="00D24059"/>
    <w:rsid w:val="00D25249"/>
    <w:rsid w:val="00D25337"/>
    <w:rsid w:val="00D255A7"/>
    <w:rsid w:val="00D256A4"/>
    <w:rsid w:val="00D25E89"/>
    <w:rsid w:val="00D25FB4"/>
    <w:rsid w:val="00D262EE"/>
    <w:rsid w:val="00D26C94"/>
    <w:rsid w:val="00D276F9"/>
    <w:rsid w:val="00D27881"/>
    <w:rsid w:val="00D30801"/>
    <w:rsid w:val="00D33789"/>
    <w:rsid w:val="00D34FC7"/>
    <w:rsid w:val="00D3532D"/>
    <w:rsid w:val="00D35A3C"/>
    <w:rsid w:val="00D35FBB"/>
    <w:rsid w:val="00D37D7B"/>
    <w:rsid w:val="00D37DD5"/>
    <w:rsid w:val="00D4105D"/>
    <w:rsid w:val="00D41580"/>
    <w:rsid w:val="00D42411"/>
    <w:rsid w:val="00D44172"/>
    <w:rsid w:val="00D447D4"/>
    <w:rsid w:val="00D458DF"/>
    <w:rsid w:val="00D47A3C"/>
    <w:rsid w:val="00D47BDC"/>
    <w:rsid w:val="00D5230A"/>
    <w:rsid w:val="00D526D8"/>
    <w:rsid w:val="00D536F4"/>
    <w:rsid w:val="00D53C40"/>
    <w:rsid w:val="00D5667A"/>
    <w:rsid w:val="00D57666"/>
    <w:rsid w:val="00D576EB"/>
    <w:rsid w:val="00D60190"/>
    <w:rsid w:val="00D601C9"/>
    <w:rsid w:val="00D60C0D"/>
    <w:rsid w:val="00D6100D"/>
    <w:rsid w:val="00D6121B"/>
    <w:rsid w:val="00D62D78"/>
    <w:rsid w:val="00D63B8C"/>
    <w:rsid w:val="00D63DBC"/>
    <w:rsid w:val="00D65937"/>
    <w:rsid w:val="00D6641D"/>
    <w:rsid w:val="00D66B28"/>
    <w:rsid w:val="00D671BB"/>
    <w:rsid w:val="00D67719"/>
    <w:rsid w:val="00D6774E"/>
    <w:rsid w:val="00D7039C"/>
    <w:rsid w:val="00D712FD"/>
    <w:rsid w:val="00D71BF9"/>
    <w:rsid w:val="00D729CE"/>
    <w:rsid w:val="00D72CB6"/>
    <w:rsid w:val="00D73077"/>
    <w:rsid w:val="00D73175"/>
    <w:rsid w:val="00D73889"/>
    <w:rsid w:val="00D739CC"/>
    <w:rsid w:val="00D73C4A"/>
    <w:rsid w:val="00D7488A"/>
    <w:rsid w:val="00D751D4"/>
    <w:rsid w:val="00D75378"/>
    <w:rsid w:val="00D757D4"/>
    <w:rsid w:val="00D7606D"/>
    <w:rsid w:val="00D76CC3"/>
    <w:rsid w:val="00D8093D"/>
    <w:rsid w:val="00D8108C"/>
    <w:rsid w:val="00D81D4A"/>
    <w:rsid w:val="00D84103"/>
    <w:rsid w:val="00D842AE"/>
    <w:rsid w:val="00D848AD"/>
    <w:rsid w:val="00D84902"/>
    <w:rsid w:val="00D85214"/>
    <w:rsid w:val="00D85DC8"/>
    <w:rsid w:val="00D85FF6"/>
    <w:rsid w:val="00D8615D"/>
    <w:rsid w:val="00D9178F"/>
    <w:rsid w:val="00D918F6"/>
    <w:rsid w:val="00D918F9"/>
    <w:rsid w:val="00D9211C"/>
    <w:rsid w:val="00D92DE0"/>
    <w:rsid w:val="00D92FEF"/>
    <w:rsid w:val="00D93A0F"/>
    <w:rsid w:val="00D94918"/>
    <w:rsid w:val="00D94D86"/>
    <w:rsid w:val="00DA0F99"/>
    <w:rsid w:val="00DA1525"/>
    <w:rsid w:val="00DA1BCA"/>
    <w:rsid w:val="00DA285A"/>
    <w:rsid w:val="00DA3FFA"/>
    <w:rsid w:val="00DA63FF"/>
    <w:rsid w:val="00DA7299"/>
    <w:rsid w:val="00DA760C"/>
    <w:rsid w:val="00DA7EDE"/>
    <w:rsid w:val="00DB07D9"/>
    <w:rsid w:val="00DB1788"/>
    <w:rsid w:val="00DB1F92"/>
    <w:rsid w:val="00DB2EB8"/>
    <w:rsid w:val="00DB36B7"/>
    <w:rsid w:val="00DB3AF2"/>
    <w:rsid w:val="00DB3E23"/>
    <w:rsid w:val="00DB611F"/>
    <w:rsid w:val="00DC0F55"/>
    <w:rsid w:val="00DC25B9"/>
    <w:rsid w:val="00DC46FF"/>
    <w:rsid w:val="00DC4846"/>
    <w:rsid w:val="00DC5254"/>
    <w:rsid w:val="00DD153F"/>
    <w:rsid w:val="00DD1A4F"/>
    <w:rsid w:val="00DD2B47"/>
    <w:rsid w:val="00DD3107"/>
    <w:rsid w:val="00DD37CA"/>
    <w:rsid w:val="00DD3970"/>
    <w:rsid w:val="00DD3C18"/>
    <w:rsid w:val="00DD451A"/>
    <w:rsid w:val="00DD4FDE"/>
    <w:rsid w:val="00DD5034"/>
    <w:rsid w:val="00DD5D78"/>
    <w:rsid w:val="00DD5EFF"/>
    <w:rsid w:val="00DD7C2C"/>
    <w:rsid w:val="00DD7DAA"/>
    <w:rsid w:val="00DD7E02"/>
    <w:rsid w:val="00DE01C5"/>
    <w:rsid w:val="00DE0583"/>
    <w:rsid w:val="00DE1441"/>
    <w:rsid w:val="00DE16BA"/>
    <w:rsid w:val="00DE26FF"/>
    <w:rsid w:val="00DE33E5"/>
    <w:rsid w:val="00DE3756"/>
    <w:rsid w:val="00DE3D91"/>
    <w:rsid w:val="00DE48AE"/>
    <w:rsid w:val="00DE4D97"/>
    <w:rsid w:val="00DE6E55"/>
    <w:rsid w:val="00DF0074"/>
    <w:rsid w:val="00DF2D5F"/>
    <w:rsid w:val="00DF5312"/>
    <w:rsid w:val="00DF5660"/>
    <w:rsid w:val="00DF71CA"/>
    <w:rsid w:val="00DF7B3F"/>
    <w:rsid w:val="00E02616"/>
    <w:rsid w:val="00E027B7"/>
    <w:rsid w:val="00E0574F"/>
    <w:rsid w:val="00E06797"/>
    <w:rsid w:val="00E07DEB"/>
    <w:rsid w:val="00E11AE8"/>
    <w:rsid w:val="00E122BC"/>
    <w:rsid w:val="00E12386"/>
    <w:rsid w:val="00E12481"/>
    <w:rsid w:val="00E1265B"/>
    <w:rsid w:val="00E13B48"/>
    <w:rsid w:val="00E1404F"/>
    <w:rsid w:val="00E154C6"/>
    <w:rsid w:val="00E16176"/>
    <w:rsid w:val="00E17B25"/>
    <w:rsid w:val="00E20771"/>
    <w:rsid w:val="00E20B87"/>
    <w:rsid w:val="00E212EF"/>
    <w:rsid w:val="00E21303"/>
    <w:rsid w:val="00E21A1C"/>
    <w:rsid w:val="00E21C83"/>
    <w:rsid w:val="00E22E92"/>
    <w:rsid w:val="00E2478B"/>
    <w:rsid w:val="00E24ADA"/>
    <w:rsid w:val="00E256F6"/>
    <w:rsid w:val="00E25B1F"/>
    <w:rsid w:val="00E271C8"/>
    <w:rsid w:val="00E27CC2"/>
    <w:rsid w:val="00E30B20"/>
    <w:rsid w:val="00E30B46"/>
    <w:rsid w:val="00E31BC2"/>
    <w:rsid w:val="00E32F59"/>
    <w:rsid w:val="00E33677"/>
    <w:rsid w:val="00E33D20"/>
    <w:rsid w:val="00E34BB8"/>
    <w:rsid w:val="00E34DDB"/>
    <w:rsid w:val="00E35050"/>
    <w:rsid w:val="00E358C8"/>
    <w:rsid w:val="00E35FFE"/>
    <w:rsid w:val="00E37F15"/>
    <w:rsid w:val="00E42D79"/>
    <w:rsid w:val="00E440CD"/>
    <w:rsid w:val="00E44669"/>
    <w:rsid w:val="00E44732"/>
    <w:rsid w:val="00E449C2"/>
    <w:rsid w:val="00E4553E"/>
    <w:rsid w:val="00E4692E"/>
    <w:rsid w:val="00E46D9A"/>
    <w:rsid w:val="00E5017E"/>
    <w:rsid w:val="00E509D1"/>
    <w:rsid w:val="00E50B70"/>
    <w:rsid w:val="00E51E39"/>
    <w:rsid w:val="00E5237F"/>
    <w:rsid w:val="00E5299C"/>
    <w:rsid w:val="00E53319"/>
    <w:rsid w:val="00E547BD"/>
    <w:rsid w:val="00E552A9"/>
    <w:rsid w:val="00E55621"/>
    <w:rsid w:val="00E565FF"/>
    <w:rsid w:val="00E600D6"/>
    <w:rsid w:val="00E61219"/>
    <w:rsid w:val="00E63C75"/>
    <w:rsid w:val="00E63FE8"/>
    <w:rsid w:val="00E64295"/>
    <w:rsid w:val="00E645D7"/>
    <w:rsid w:val="00E64698"/>
    <w:rsid w:val="00E64C77"/>
    <w:rsid w:val="00E65388"/>
    <w:rsid w:val="00E65B85"/>
    <w:rsid w:val="00E66571"/>
    <w:rsid w:val="00E6673C"/>
    <w:rsid w:val="00E667C3"/>
    <w:rsid w:val="00E66A76"/>
    <w:rsid w:val="00E67707"/>
    <w:rsid w:val="00E67833"/>
    <w:rsid w:val="00E67E84"/>
    <w:rsid w:val="00E70AF1"/>
    <w:rsid w:val="00E72396"/>
    <w:rsid w:val="00E74ACB"/>
    <w:rsid w:val="00E75F11"/>
    <w:rsid w:val="00E76C71"/>
    <w:rsid w:val="00E76D49"/>
    <w:rsid w:val="00E77D8B"/>
    <w:rsid w:val="00E80075"/>
    <w:rsid w:val="00E81FDD"/>
    <w:rsid w:val="00E825A1"/>
    <w:rsid w:val="00E83FC4"/>
    <w:rsid w:val="00E85025"/>
    <w:rsid w:val="00E85B7D"/>
    <w:rsid w:val="00E870C8"/>
    <w:rsid w:val="00E87397"/>
    <w:rsid w:val="00E90090"/>
    <w:rsid w:val="00E90DCE"/>
    <w:rsid w:val="00E9121B"/>
    <w:rsid w:val="00E91905"/>
    <w:rsid w:val="00E91A92"/>
    <w:rsid w:val="00E923CA"/>
    <w:rsid w:val="00E94B48"/>
    <w:rsid w:val="00E96571"/>
    <w:rsid w:val="00E96614"/>
    <w:rsid w:val="00E96A61"/>
    <w:rsid w:val="00E96B9F"/>
    <w:rsid w:val="00EA04F9"/>
    <w:rsid w:val="00EA0AE2"/>
    <w:rsid w:val="00EA0C3A"/>
    <w:rsid w:val="00EA19F1"/>
    <w:rsid w:val="00EA292F"/>
    <w:rsid w:val="00EA34EB"/>
    <w:rsid w:val="00EA355C"/>
    <w:rsid w:val="00EA39E5"/>
    <w:rsid w:val="00EA42EA"/>
    <w:rsid w:val="00EA4DFF"/>
    <w:rsid w:val="00EB0310"/>
    <w:rsid w:val="00EB3106"/>
    <w:rsid w:val="00EB32BF"/>
    <w:rsid w:val="00EB34FD"/>
    <w:rsid w:val="00EB47A1"/>
    <w:rsid w:val="00EB56CD"/>
    <w:rsid w:val="00EB7D4E"/>
    <w:rsid w:val="00EC145D"/>
    <w:rsid w:val="00EC160C"/>
    <w:rsid w:val="00EC1E58"/>
    <w:rsid w:val="00EC2603"/>
    <w:rsid w:val="00EC2830"/>
    <w:rsid w:val="00EC2C08"/>
    <w:rsid w:val="00EC52A2"/>
    <w:rsid w:val="00EC5A46"/>
    <w:rsid w:val="00EC5CB2"/>
    <w:rsid w:val="00EC63E2"/>
    <w:rsid w:val="00EC670E"/>
    <w:rsid w:val="00EC7433"/>
    <w:rsid w:val="00ED0087"/>
    <w:rsid w:val="00ED1F3E"/>
    <w:rsid w:val="00ED24C1"/>
    <w:rsid w:val="00ED2E7A"/>
    <w:rsid w:val="00ED3D37"/>
    <w:rsid w:val="00ED510D"/>
    <w:rsid w:val="00ED65DE"/>
    <w:rsid w:val="00ED67A1"/>
    <w:rsid w:val="00ED7621"/>
    <w:rsid w:val="00EE11CB"/>
    <w:rsid w:val="00EE1AFB"/>
    <w:rsid w:val="00EE1BA8"/>
    <w:rsid w:val="00EE1E98"/>
    <w:rsid w:val="00EE3640"/>
    <w:rsid w:val="00EE397B"/>
    <w:rsid w:val="00EE41DF"/>
    <w:rsid w:val="00EE4483"/>
    <w:rsid w:val="00EE5261"/>
    <w:rsid w:val="00EE5936"/>
    <w:rsid w:val="00EF1289"/>
    <w:rsid w:val="00EF22B3"/>
    <w:rsid w:val="00EF2F31"/>
    <w:rsid w:val="00EF469A"/>
    <w:rsid w:val="00EF4BC7"/>
    <w:rsid w:val="00EF4E7C"/>
    <w:rsid w:val="00EF508B"/>
    <w:rsid w:val="00EF5352"/>
    <w:rsid w:val="00EF5B7F"/>
    <w:rsid w:val="00EF6B44"/>
    <w:rsid w:val="00EF6E07"/>
    <w:rsid w:val="00F010F4"/>
    <w:rsid w:val="00F014D9"/>
    <w:rsid w:val="00F023CE"/>
    <w:rsid w:val="00F03B69"/>
    <w:rsid w:val="00F04F4E"/>
    <w:rsid w:val="00F05B70"/>
    <w:rsid w:val="00F0652C"/>
    <w:rsid w:val="00F07A50"/>
    <w:rsid w:val="00F113DA"/>
    <w:rsid w:val="00F11408"/>
    <w:rsid w:val="00F11E2E"/>
    <w:rsid w:val="00F1303C"/>
    <w:rsid w:val="00F15A43"/>
    <w:rsid w:val="00F16EBF"/>
    <w:rsid w:val="00F22FA4"/>
    <w:rsid w:val="00F23184"/>
    <w:rsid w:val="00F23952"/>
    <w:rsid w:val="00F248EC"/>
    <w:rsid w:val="00F25B58"/>
    <w:rsid w:val="00F25F15"/>
    <w:rsid w:val="00F27DDA"/>
    <w:rsid w:val="00F30681"/>
    <w:rsid w:val="00F319FC"/>
    <w:rsid w:val="00F31D8A"/>
    <w:rsid w:val="00F33D27"/>
    <w:rsid w:val="00F346C6"/>
    <w:rsid w:val="00F35F58"/>
    <w:rsid w:val="00F37632"/>
    <w:rsid w:val="00F3778D"/>
    <w:rsid w:val="00F37DC8"/>
    <w:rsid w:val="00F427FE"/>
    <w:rsid w:val="00F42C38"/>
    <w:rsid w:val="00F439B3"/>
    <w:rsid w:val="00F44180"/>
    <w:rsid w:val="00F45AA8"/>
    <w:rsid w:val="00F4693E"/>
    <w:rsid w:val="00F47818"/>
    <w:rsid w:val="00F47920"/>
    <w:rsid w:val="00F502DD"/>
    <w:rsid w:val="00F50C09"/>
    <w:rsid w:val="00F50CE6"/>
    <w:rsid w:val="00F511D5"/>
    <w:rsid w:val="00F515A6"/>
    <w:rsid w:val="00F52A1B"/>
    <w:rsid w:val="00F5412B"/>
    <w:rsid w:val="00F54E5C"/>
    <w:rsid w:val="00F55F38"/>
    <w:rsid w:val="00F575E4"/>
    <w:rsid w:val="00F61C54"/>
    <w:rsid w:val="00F638FC"/>
    <w:rsid w:val="00F63E6E"/>
    <w:rsid w:val="00F64065"/>
    <w:rsid w:val="00F64D15"/>
    <w:rsid w:val="00F650BA"/>
    <w:rsid w:val="00F650C3"/>
    <w:rsid w:val="00F65D85"/>
    <w:rsid w:val="00F67595"/>
    <w:rsid w:val="00F714E7"/>
    <w:rsid w:val="00F71DE9"/>
    <w:rsid w:val="00F7203C"/>
    <w:rsid w:val="00F72D28"/>
    <w:rsid w:val="00F75453"/>
    <w:rsid w:val="00F754FC"/>
    <w:rsid w:val="00F7677C"/>
    <w:rsid w:val="00F768CD"/>
    <w:rsid w:val="00F77EBC"/>
    <w:rsid w:val="00F8091E"/>
    <w:rsid w:val="00F80E5D"/>
    <w:rsid w:val="00F85686"/>
    <w:rsid w:val="00F8615C"/>
    <w:rsid w:val="00F864A1"/>
    <w:rsid w:val="00F90860"/>
    <w:rsid w:val="00F90BDD"/>
    <w:rsid w:val="00F922E9"/>
    <w:rsid w:val="00F92471"/>
    <w:rsid w:val="00F93913"/>
    <w:rsid w:val="00F93F5F"/>
    <w:rsid w:val="00F9418D"/>
    <w:rsid w:val="00F941D8"/>
    <w:rsid w:val="00F9474E"/>
    <w:rsid w:val="00F95D3F"/>
    <w:rsid w:val="00F969E5"/>
    <w:rsid w:val="00F97AEE"/>
    <w:rsid w:val="00F97E54"/>
    <w:rsid w:val="00FA09A8"/>
    <w:rsid w:val="00FA1C95"/>
    <w:rsid w:val="00FA2EEE"/>
    <w:rsid w:val="00FA55D6"/>
    <w:rsid w:val="00FA5AE4"/>
    <w:rsid w:val="00FA6BB0"/>
    <w:rsid w:val="00FA7C80"/>
    <w:rsid w:val="00FB1BBC"/>
    <w:rsid w:val="00FB1C79"/>
    <w:rsid w:val="00FB1DFB"/>
    <w:rsid w:val="00FB2C89"/>
    <w:rsid w:val="00FB5AC3"/>
    <w:rsid w:val="00FB6E08"/>
    <w:rsid w:val="00FC0C1B"/>
    <w:rsid w:val="00FC1615"/>
    <w:rsid w:val="00FC1ACD"/>
    <w:rsid w:val="00FC2783"/>
    <w:rsid w:val="00FC2ED0"/>
    <w:rsid w:val="00FC3E6B"/>
    <w:rsid w:val="00FC5DD8"/>
    <w:rsid w:val="00FC6A6C"/>
    <w:rsid w:val="00FD0E75"/>
    <w:rsid w:val="00FD1A39"/>
    <w:rsid w:val="00FD1AE9"/>
    <w:rsid w:val="00FD1B87"/>
    <w:rsid w:val="00FD2D77"/>
    <w:rsid w:val="00FD30B3"/>
    <w:rsid w:val="00FD396F"/>
    <w:rsid w:val="00FD40CC"/>
    <w:rsid w:val="00FD5860"/>
    <w:rsid w:val="00FD5AAE"/>
    <w:rsid w:val="00FD6BBD"/>
    <w:rsid w:val="00FD6E87"/>
    <w:rsid w:val="00FE017E"/>
    <w:rsid w:val="00FE1B65"/>
    <w:rsid w:val="00FE21CA"/>
    <w:rsid w:val="00FE21EE"/>
    <w:rsid w:val="00FE352D"/>
    <w:rsid w:val="00FE40EB"/>
    <w:rsid w:val="00FE4695"/>
    <w:rsid w:val="00FE4D02"/>
    <w:rsid w:val="00FE51C9"/>
    <w:rsid w:val="00FE54CF"/>
    <w:rsid w:val="00FE64A4"/>
    <w:rsid w:val="00FE6C4E"/>
    <w:rsid w:val="00FE7B2F"/>
    <w:rsid w:val="00FE7D62"/>
    <w:rsid w:val="00FF0578"/>
    <w:rsid w:val="00FF0584"/>
    <w:rsid w:val="00FF0BA4"/>
    <w:rsid w:val="00FF0BDA"/>
    <w:rsid w:val="00FF1505"/>
    <w:rsid w:val="00FF1814"/>
    <w:rsid w:val="00FF23CE"/>
    <w:rsid w:val="00FF2854"/>
    <w:rsid w:val="00FF3247"/>
    <w:rsid w:val="00FF3819"/>
    <w:rsid w:val="00FF5BFE"/>
    <w:rsid w:val="00FF6A85"/>
    <w:rsid w:val="00FF7E73"/>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5822E318-F1FF-4E22-ABD7-163BB8F0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2C0D3E"/>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CH1"/>
    <w:next w:val="Normalnumber"/>
    <w:link w:val="Heading1Char"/>
    <w:rsid w:val="002C0D3E"/>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2C0D3E"/>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2C0D3E"/>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2C0D3E"/>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2C0D3E"/>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2C0D3E"/>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2C0D3E"/>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2C0D3E"/>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2C0D3E"/>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2C0D3E"/>
    <w:rPr>
      <w:rFonts w:ascii="Times New Roman" w:hAnsi="Times New Roman"/>
      <w:b/>
      <w:sz w:val="18"/>
      <w:lang w:val="en-GB"/>
    </w:rPr>
  </w:style>
  <w:style w:type="table" w:customStyle="1" w:styleId="Tabledocright">
    <w:name w:val="Table_doc_right"/>
    <w:basedOn w:val="TableNormal"/>
    <w:rsid w:val="002C0D3E"/>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2C0D3E"/>
    <w:pPr>
      <w:ind w:left="1000"/>
    </w:pPr>
    <w:rPr>
      <w:sz w:val="18"/>
      <w:szCs w:val="18"/>
    </w:rPr>
  </w:style>
  <w:style w:type="paragraph" w:styleId="TOC7">
    <w:name w:val="toc 7"/>
    <w:basedOn w:val="Normal"/>
    <w:next w:val="Normal"/>
    <w:autoRedefine/>
    <w:semiHidden/>
    <w:rsid w:val="002C0D3E"/>
    <w:pPr>
      <w:ind w:left="1200"/>
    </w:pPr>
    <w:rPr>
      <w:sz w:val="18"/>
      <w:szCs w:val="18"/>
    </w:rPr>
  </w:style>
  <w:style w:type="paragraph" w:styleId="TOC8">
    <w:name w:val="toc 8"/>
    <w:basedOn w:val="Normal"/>
    <w:next w:val="Normal"/>
    <w:autoRedefine/>
    <w:semiHidden/>
    <w:rsid w:val="002C0D3E"/>
    <w:pPr>
      <w:ind w:left="1400"/>
    </w:pPr>
    <w:rPr>
      <w:sz w:val="18"/>
      <w:szCs w:val="18"/>
    </w:rPr>
  </w:style>
  <w:style w:type="paragraph" w:styleId="TOC9">
    <w:name w:val="toc 9"/>
    <w:basedOn w:val="Normal"/>
    <w:next w:val="Normal"/>
    <w:autoRedefine/>
    <w:semiHidden/>
    <w:rsid w:val="002C0D3E"/>
    <w:pPr>
      <w:ind w:left="1600"/>
    </w:pPr>
    <w:rPr>
      <w:sz w:val="18"/>
      <w:szCs w:val="18"/>
    </w:rPr>
  </w:style>
  <w:style w:type="paragraph" w:customStyle="1" w:styleId="Titlefigure">
    <w:name w:val="Title_figure"/>
    <w:basedOn w:val="Titletable"/>
    <w:next w:val="NormalNonumber"/>
    <w:rsid w:val="002C0D3E"/>
    <w:pPr>
      <w:tabs>
        <w:tab w:val="clear" w:pos="4990"/>
      </w:tabs>
    </w:pPr>
    <w:rPr>
      <w:bCs w:val="0"/>
    </w:rPr>
  </w:style>
  <w:style w:type="paragraph" w:styleId="TableofFigures">
    <w:name w:val="table of figures"/>
    <w:basedOn w:val="Normal"/>
    <w:next w:val="Normal"/>
    <w:autoRedefine/>
    <w:semiHidden/>
    <w:rsid w:val="002C0D3E"/>
    <w:pPr>
      <w:ind w:left="1814" w:hanging="567"/>
    </w:pPr>
  </w:style>
  <w:style w:type="paragraph" w:customStyle="1" w:styleId="CH1">
    <w:name w:val="CH1"/>
    <w:basedOn w:val="Normal-pool"/>
    <w:next w:val="CH2"/>
    <w:qFormat/>
    <w:rsid w:val="002C0D3E"/>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2C0D3E"/>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2C0D3E"/>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2C0D3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2C0D3E"/>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2C0D3E"/>
    <w:pPr>
      <w:tabs>
        <w:tab w:val="left" w:pos="4321"/>
        <w:tab w:val="right" w:pos="8641"/>
      </w:tabs>
      <w:spacing w:before="60"/>
    </w:pPr>
    <w:rPr>
      <w:b/>
      <w:sz w:val="18"/>
    </w:rPr>
  </w:style>
  <w:style w:type="paragraph" w:customStyle="1" w:styleId="Footer-pool">
    <w:name w:val="Footer-pool"/>
    <w:basedOn w:val="Normal-pool"/>
    <w:next w:val="Normal-pool"/>
    <w:rsid w:val="002C0D3E"/>
    <w:pPr>
      <w:tabs>
        <w:tab w:val="right" w:pos="8641"/>
      </w:tabs>
      <w:spacing w:after="120"/>
    </w:pPr>
    <w:rPr>
      <w:b/>
      <w:sz w:val="18"/>
    </w:rPr>
  </w:style>
  <w:style w:type="paragraph" w:customStyle="1" w:styleId="Header-pool">
    <w:name w:val="Header-pool"/>
    <w:basedOn w:val="Normal"/>
    <w:next w:val="Normal"/>
    <w:rsid w:val="002C0D3E"/>
    <w:pPr>
      <w:pBdr>
        <w:bottom w:val="single" w:sz="4" w:space="1" w:color="auto"/>
      </w:pBdr>
      <w:tabs>
        <w:tab w:val="right" w:pos="9072"/>
      </w:tabs>
    </w:pPr>
    <w:rPr>
      <w:b/>
      <w:sz w:val="18"/>
    </w:rPr>
  </w:style>
  <w:style w:type="character" w:styleId="FootnoteReference">
    <w:name w:val="footnote reference"/>
    <w:aliases w:val="Footnote text,16 Point,Superscript 6 Point,Footnote Text1,Footnote Text2,ftref,number,SUPERS,Footnote Reference Superscript,(Ref. de nota al pie),Footnote Reference1,Ref,de nota al pie,註腳內容,de nota al pie + (Asian) MS Mincho,11 pt,fr"/>
    <w:link w:val="CharCharCharCharCarChar"/>
    <w:unhideWhenUsed/>
    <w:qFormat/>
    <w:rsid w:val="002C0D3E"/>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TableNormal"/>
    <w:semiHidden/>
    <w:rsid w:val="002C0D3E"/>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2C0D3E"/>
    <w:pPr>
      <w:keepNext/>
      <w:keepLines/>
      <w:suppressAutoHyphens/>
    </w:pPr>
    <w:rPr>
      <w:b/>
    </w:rPr>
  </w:style>
  <w:style w:type="paragraph" w:customStyle="1" w:styleId="AATitle2">
    <w:name w:val="AA_Title2"/>
    <w:basedOn w:val="AATitle"/>
    <w:rsid w:val="002C0D3E"/>
    <w:pPr>
      <w:keepNext w:val="0"/>
      <w:keepLines w:val="0"/>
      <w:tabs>
        <w:tab w:val="clear" w:pos="4990"/>
      </w:tabs>
      <w:spacing w:before="120" w:after="120"/>
    </w:pPr>
  </w:style>
  <w:style w:type="paragraph" w:customStyle="1" w:styleId="BBTitle">
    <w:name w:val="BB_Title"/>
    <w:basedOn w:val="Normal-pool"/>
    <w:link w:val="BBTitleChar"/>
    <w:qFormat/>
    <w:rsid w:val="002C0D3E"/>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2C0D3E"/>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2C0D3E"/>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2C0D3E"/>
    <w:rPr>
      <w:color w:val="0000FF"/>
      <w:u w:val="none"/>
      <w:lang w:val="en-GB"/>
    </w:rPr>
  </w:style>
  <w:style w:type="numbering" w:customStyle="1" w:styleId="Normallist">
    <w:name w:val="Normal_list"/>
    <w:basedOn w:val="NoList"/>
    <w:rsid w:val="002C0D3E"/>
    <w:pPr>
      <w:numPr>
        <w:numId w:val="1"/>
      </w:numPr>
    </w:pPr>
  </w:style>
  <w:style w:type="paragraph" w:customStyle="1" w:styleId="NormalNonumber">
    <w:name w:val="Normal_No_number"/>
    <w:basedOn w:val="Normal-pool"/>
    <w:link w:val="NormalNonumberChar"/>
    <w:qFormat/>
    <w:rsid w:val="002C0D3E"/>
    <w:pPr>
      <w:spacing w:after="120"/>
      <w:ind w:left="1247"/>
    </w:pPr>
  </w:style>
  <w:style w:type="paragraph" w:customStyle="1" w:styleId="Normalnumber">
    <w:name w:val="Normal_number"/>
    <w:basedOn w:val="Normal"/>
    <w:link w:val="NormalnumberChar"/>
    <w:qFormat/>
    <w:rsid w:val="002C0D3E"/>
  </w:style>
  <w:style w:type="paragraph" w:customStyle="1" w:styleId="Titletable">
    <w:name w:val="Title_table"/>
    <w:basedOn w:val="Normal-pool"/>
    <w:next w:val="NormalNonumber"/>
    <w:rsid w:val="002C0D3E"/>
    <w:pPr>
      <w:keepNext/>
      <w:keepLines/>
      <w:suppressAutoHyphens/>
      <w:spacing w:after="60"/>
      <w:ind w:left="1247"/>
    </w:pPr>
    <w:rPr>
      <w:b/>
      <w:bCs/>
    </w:rPr>
  </w:style>
  <w:style w:type="paragraph" w:styleId="TOC1">
    <w:name w:val="toc 1"/>
    <w:basedOn w:val="Normal"/>
    <w:next w:val="Normal"/>
    <w:autoRedefine/>
    <w:uiPriority w:val="39"/>
    <w:unhideWhenUsed/>
    <w:rsid w:val="002C0D3E"/>
    <w:pPr>
      <w:tabs>
        <w:tab w:val="right" w:leader="dot" w:pos="9486"/>
      </w:tabs>
      <w:spacing w:before="240"/>
      <w:ind w:left="1984" w:hanging="737"/>
    </w:pPr>
    <w:rPr>
      <w:bCs/>
    </w:rPr>
  </w:style>
  <w:style w:type="paragraph" w:styleId="TOC2">
    <w:name w:val="toc 2"/>
    <w:basedOn w:val="Normal"/>
    <w:next w:val="Normal"/>
    <w:uiPriority w:val="39"/>
    <w:unhideWhenUsed/>
    <w:rsid w:val="002C0D3E"/>
    <w:pPr>
      <w:tabs>
        <w:tab w:val="right" w:leader="dot" w:pos="9486"/>
      </w:tabs>
      <w:spacing w:before="60"/>
      <w:ind w:left="2608" w:hanging="737"/>
    </w:pPr>
  </w:style>
  <w:style w:type="paragraph" w:styleId="TOC3">
    <w:name w:val="toc 3"/>
    <w:basedOn w:val="Normal"/>
    <w:next w:val="Normal"/>
    <w:uiPriority w:val="39"/>
    <w:unhideWhenUsed/>
    <w:rsid w:val="002C0D3E"/>
    <w:pPr>
      <w:tabs>
        <w:tab w:val="right" w:leader="dot" w:pos="9486"/>
      </w:tabs>
      <w:ind w:left="3232" w:hanging="737"/>
    </w:pPr>
    <w:rPr>
      <w:iCs/>
    </w:rPr>
  </w:style>
  <w:style w:type="paragraph" w:styleId="TOC4">
    <w:name w:val="toc 4"/>
    <w:basedOn w:val="Normal"/>
    <w:next w:val="Normal"/>
    <w:uiPriority w:val="39"/>
    <w:unhideWhenUsed/>
    <w:rsid w:val="002C0D3E"/>
    <w:pPr>
      <w:tabs>
        <w:tab w:val="left" w:pos="1000"/>
        <w:tab w:val="right" w:leader="dot" w:pos="9486"/>
      </w:tabs>
      <w:ind w:left="3856" w:hanging="737"/>
    </w:pPr>
    <w:rPr>
      <w:szCs w:val="18"/>
    </w:rPr>
  </w:style>
  <w:style w:type="paragraph" w:styleId="TOC5">
    <w:name w:val="toc 5"/>
    <w:basedOn w:val="Normal"/>
    <w:next w:val="Normal"/>
    <w:uiPriority w:val="39"/>
    <w:rsid w:val="002C0D3E"/>
    <w:pPr>
      <w:tabs>
        <w:tab w:val="right" w:leader="dot" w:pos="9486"/>
      </w:tabs>
      <w:ind w:left="4479" w:hanging="737"/>
    </w:pPr>
    <w:rPr>
      <w:sz w:val="18"/>
      <w:szCs w:val="18"/>
    </w:rPr>
  </w:style>
  <w:style w:type="paragraph" w:customStyle="1" w:styleId="ZZAnxheader">
    <w:name w:val="ZZ_Anx_header"/>
    <w:basedOn w:val="Normal-pool"/>
    <w:rsid w:val="002C0D3E"/>
    <w:rPr>
      <w:b/>
      <w:bCs/>
      <w:sz w:val="28"/>
      <w:szCs w:val="22"/>
    </w:rPr>
  </w:style>
  <w:style w:type="paragraph" w:customStyle="1" w:styleId="ZZAnxtitle">
    <w:name w:val="ZZ_Anx_title"/>
    <w:basedOn w:val="Normal-pool"/>
    <w:link w:val="ZZAnxtitleChar"/>
    <w:rsid w:val="002C0D3E"/>
    <w:pPr>
      <w:spacing w:before="360" w:after="120"/>
      <w:ind w:left="1247"/>
    </w:pPr>
    <w:rPr>
      <w:b/>
      <w:bCs/>
      <w:sz w:val="28"/>
      <w:szCs w:val="26"/>
    </w:rPr>
  </w:style>
  <w:style w:type="paragraph" w:styleId="NormalWeb">
    <w:name w:val="Normal (Web)"/>
    <w:basedOn w:val="Normal"/>
    <w:uiPriority w:val="99"/>
    <w:semiHidden/>
    <w:unhideWhenUsed/>
    <w:rsid w:val="002C0D3E"/>
    <w:pPr>
      <w:spacing w:before="100" w:beforeAutospacing="1" w:after="100" w:afterAutospacing="1"/>
    </w:pPr>
    <w:rPr>
      <w:rFonts w:eastAsiaTheme="minorEastAsia"/>
      <w:sz w:val="24"/>
      <w:szCs w:val="24"/>
    </w:rPr>
  </w:style>
  <w:style w:type="paragraph" w:customStyle="1" w:styleId="Normal-pool-Table">
    <w:name w:val="Normal-pool-Table"/>
    <w:basedOn w:val="Normal-pool"/>
    <w:rsid w:val="002C0D3E"/>
    <w:pPr>
      <w:spacing w:before="40" w:after="40"/>
    </w:pPr>
    <w:rPr>
      <w:sz w:val="18"/>
    </w:rPr>
  </w:style>
  <w:style w:type="paragraph" w:customStyle="1" w:styleId="Footnote-Text">
    <w:name w:val="Footnote-Text"/>
    <w:basedOn w:val="Normal-pool"/>
    <w:rsid w:val="002C0D3E"/>
    <w:pPr>
      <w:spacing w:before="20" w:after="40"/>
      <w:ind w:left="1247"/>
    </w:pPr>
    <w:rPr>
      <w:sz w:val="18"/>
    </w:rPr>
  </w:style>
  <w:style w:type="paragraph" w:customStyle="1" w:styleId="AConvName">
    <w:name w:val="A_ConvName"/>
    <w:basedOn w:val="Normal-pool"/>
    <w:next w:val="Normal-pool"/>
    <w:rsid w:val="002C0D3E"/>
    <w:pPr>
      <w:spacing w:before="120" w:after="240"/>
    </w:pPr>
    <w:rPr>
      <w:rFonts w:ascii="Arial" w:hAnsi="Arial"/>
      <w:b/>
      <w:sz w:val="28"/>
    </w:rPr>
  </w:style>
  <w:style w:type="paragraph" w:customStyle="1" w:styleId="ASymbol">
    <w:name w:val="A_Symbol"/>
    <w:basedOn w:val="Normal-pool"/>
    <w:rsid w:val="002C0D3E"/>
    <w:pPr>
      <w:tabs>
        <w:tab w:val="clear" w:pos="624"/>
        <w:tab w:val="clear" w:pos="1247"/>
        <w:tab w:val="right" w:pos="2920"/>
      </w:tabs>
    </w:pPr>
    <w:rPr>
      <w:rFonts w:eastAsia="SimSun"/>
    </w:rPr>
  </w:style>
  <w:style w:type="paragraph" w:customStyle="1" w:styleId="AText">
    <w:name w:val="A_Text"/>
    <w:basedOn w:val="Normal-pool"/>
    <w:rsid w:val="002C0D3E"/>
    <w:pPr>
      <w:spacing w:before="120"/>
    </w:pPr>
  </w:style>
  <w:style w:type="paragraph" w:customStyle="1" w:styleId="ATwoLetters">
    <w:name w:val="A_TwoLetters"/>
    <w:basedOn w:val="Normal-pool"/>
    <w:next w:val="Normal-pool"/>
    <w:rsid w:val="002C0D3E"/>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2C0D3E"/>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2C0D3E"/>
    <w:rPr>
      <w:rFonts w:ascii="Tahoma" w:hAnsi="Tahoma" w:cs="Tahoma"/>
      <w:sz w:val="16"/>
      <w:szCs w:val="16"/>
    </w:rPr>
  </w:style>
  <w:style w:type="character" w:customStyle="1" w:styleId="BalloonTextChar">
    <w:name w:val="Balloon Text Char"/>
    <w:basedOn w:val="DefaultParagraphFont"/>
    <w:link w:val="BalloonText"/>
    <w:rsid w:val="002C0D3E"/>
    <w:rPr>
      <w:rFonts w:ascii="Tahoma" w:eastAsia="Times New Roman" w:hAnsi="Tahoma" w:cs="Tahoma"/>
      <w:sz w:val="16"/>
      <w:szCs w:val="16"/>
      <w:lang w:val="en-GB" w:eastAsia="en-US"/>
    </w:rPr>
  </w:style>
  <w:style w:type="character" w:styleId="CommentReference">
    <w:name w:val="annotation reference"/>
    <w:basedOn w:val="DefaultParagraphFont"/>
    <w:uiPriority w:val="99"/>
    <w:semiHidden/>
    <w:unhideWhenUsed/>
    <w:rsid w:val="002C0D3E"/>
    <w:rPr>
      <w:rFonts w:ascii="Times New Roman" w:eastAsia="SimSun" w:hAnsi="Times New Roman"/>
      <w:sz w:val="6"/>
      <w:szCs w:val="16"/>
      <w:lang w:val="en-GB"/>
    </w:rPr>
  </w:style>
  <w:style w:type="paragraph" w:styleId="CommentText">
    <w:name w:val="annotation text"/>
    <w:basedOn w:val="Normal"/>
    <w:link w:val="CommentTextChar"/>
    <w:uiPriority w:val="99"/>
    <w:unhideWhenUsed/>
    <w:rsid w:val="002C0D3E"/>
  </w:style>
  <w:style w:type="character" w:customStyle="1" w:styleId="CommentTextChar">
    <w:name w:val="Comment Text Char"/>
    <w:basedOn w:val="DefaultParagraphFont"/>
    <w:link w:val="CommentText"/>
    <w:uiPriority w:val="99"/>
    <w:rsid w:val="002C0D3E"/>
    <w:rPr>
      <w:rFonts w:eastAsia="Times New Roman"/>
      <w:lang w:val="en-GB" w:eastAsia="en-US"/>
    </w:rPr>
  </w:style>
  <w:style w:type="paragraph" w:styleId="CommentSubject">
    <w:name w:val="annotation subject"/>
    <w:basedOn w:val="CommentText"/>
    <w:next w:val="CommentText"/>
    <w:link w:val="CommentSubjectChar"/>
    <w:semiHidden/>
    <w:unhideWhenUsed/>
    <w:rsid w:val="002C0D3E"/>
    <w:rPr>
      <w:b/>
      <w:bCs/>
    </w:rPr>
  </w:style>
  <w:style w:type="character" w:customStyle="1" w:styleId="CommentSubjectChar">
    <w:name w:val="Comment Subject Char"/>
    <w:basedOn w:val="CommentTextChar"/>
    <w:link w:val="CommentSubject"/>
    <w:semiHidden/>
    <w:rsid w:val="002C0D3E"/>
    <w:rPr>
      <w:rFonts w:eastAsia="Times New Roman"/>
      <w:b/>
      <w:bCs/>
      <w:lang w:val="en-GB" w:eastAsia="en-US"/>
    </w:rPr>
  </w:style>
  <w:style w:type="character" w:styleId="FollowedHyperlink">
    <w:name w:val="FollowedHyperlink"/>
    <w:uiPriority w:val="99"/>
    <w:semiHidden/>
    <w:rsid w:val="002C0D3E"/>
    <w:rPr>
      <w:color w:val="0000FF"/>
      <w:u w:val="none"/>
      <w:lang w:val="en-GB"/>
    </w:rPr>
  </w:style>
  <w:style w:type="character" w:customStyle="1" w:styleId="FooterChar">
    <w:name w:val="Footer Char"/>
    <w:basedOn w:val="DefaultParagraphFont"/>
    <w:link w:val="CH4"/>
    <w:rsid w:val="002C0D3E"/>
    <w:rPr>
      <w:rFonts w:eastAsia="Times New Roman"/>
      <w:b/>
      <w:lang w:val="en-GB" w:eastAsia="en-US"/>
    </w:rPr>
  </w:style>
  <w:style w:type="character" w:customStyle="1" w:styleId="HeaderChar">
    <w:name w:val="Header Char"/>
    <w:basedOn w:val="DefaultParagraphFont"/>
    <w:link w:val="Header"/>
    <w:semiHidden/>
    <w:rsid w:val="002C0D3E"/>
    <w:rPr>
      <w:rFonts w:eastAsia="Times New Roman"/>
      <w:b/>
      <w:sz w:val="18"/>
      <w:lang w:val="en-GB" w:eastAsia="en-US"/>
    </w:rPr>
  </w:style>
  <w:style w:type="character" w:customStyle="1" w:styleId="Heading1Char">
    <w:name w:val="Heading 1 Char"/>
    <w:basedOn w:val="DefaultParagraphFont"/>
    <w:link w:val="Heading1"/>
    <w:rsid w:val="002C0D3E"/>
    <w:rPr>
      <w:rFonts w:eastAsia="Times New Roman"/>
      <w:b/>
      <w:sz w:val="28"/>
      <w:szCs w:val="28"/>
      <w:lang w:eastAsia="en-US"/>
    </w:rPr>
  </w:style>
  <w:style w:type="character" w:customStyle="1" w:styleId="Heading2Char">
    <w:name w:val="Heading 2 Char"/>
    <w:basedOn w:val="DefaultParagraphFont"/>
    <w:link w:val="Heading2"/>
    <w:rsid w:val="002C0D3E"/>
    <w:rPr>
      <w:rFonts w:eastAsia="Times New Roman"/>
      <w:b/>
      <w:sz w:val="24"/>
      <w:szCs w:val="24"/>
      <w:lang w:eastAsia="en-US"/>
    </w:rPr>
  </w:style>
  <w:style w:type="character" w:customStyle="1" w:styleId="Heading3Char">
    <w:name w:val="Heading 3 Char"/>
    <w:basedOn w:val="DefaultParagraphFont"/>
    <w:link w:val="Heading3"/>
    <w:rsid w:val="002C0D3E"/>
    <w:rPr>
      <w:rFonts w:eastAsia="Times New Roman"/>
      <w:b/>
      <w:lang w:eastAsia="en-US"/>
    </w:rPr>
  </w:style>
  <w:style w:type="character" w:customStyle="1" w:styleId="Heading4Char">
    <w:name w:val="Heading 4 Char"/>
    <w:basedOn w:val="DefaultParagraphFont"/>
    <w:link w:val="Heading4"/>
    <w:rsid w:val="002C0D3E"/>
    <w:rPr>
      <w:rFonts w:eastAsia="Times New Roman"/>
      <w:b/>
      <w:sz w:val="21"/>
      <w:szCs w:val="10"/>
      <w:lang w:val="en-US" w:eastAsia="zh-CN"/>
    </w:rPr>
  </w:style>
  <w:style w:type="character" w:customStyle="1" w:styleId="Heading5Char">
    <w:name w:val="Heading 5 Char"/>
    <w:basedOn w:val="DefaultParagraphFont"/>
    <w:link w:val="Heading5"/>
    <w:rsid w:val="002C0D3E"/>
    <w:rPr>
      <w:rFonts w:eastAsia="Times New Roman"/>
      <w:b/>
      <w:lang w:eastAsia="en-US"/>
    </w:rPr>
  </w:style>
  <w:style w:type="character" w:customStyle="1" w:styleId="Heading6Char">
    <w:name w:val="Heading 6 Char"/>
    <w:basedOn w:val="DefaultParagraphFont"/>
    <w:link w:val="Heading6"/>
    <w:semiHidden/>
    <w:rsid w:val="002C0D3E"/>
    <w:rPr>
      <w:rFonts w:eastAsia="Times New Roman"/>
      <w:bCs/>
      <w:sz w:val="24"/>
      <w:lang w:eastAsia="en-US"/>
    </w:rPr>
  </w:style>
  <w:style w:type="character" w:customStyle="1" w:styleId="Heading7Char">
    <w:name w:val="Heading 7 Char"/>
    <w:basedOn w:val="DefaultParagraphFont"/>
    <w:link w:val="Heading7"/>
    <w:semiHidden/>
    <w:rsid w:val="002C0D3E"/>
    <w:rPr>
      <w:rFonts w:eastAsia="Times New Roman"/>
      <w:b/>
      <w:snapToGrid w:val="0"/>
      <w:u w:val="single"/>
      <w:lang w:eastAsia="en-US"/>
    </w:rPr>
  </w:style>
  <w:style w:type="character" w:customStyle="1" w:styleId="Heading8Char">
    <w:name w:val="Heading 8 Char"/>
    <w:basedOn w:val="DefaultParagraphFont"/>
    <w:link w:val="Heading8"/>
    <w:semiHidden/>
    <w:rsid w:val="002C0D3E"/>
    <w:rPr>
      <w:rFonts w:eastAsia="Times New Roman"/>
      <w:b/>
      <w:snapToGrid w:val="0"/>
      <w:u w:val="single"/>
      <w:lang w:eastAsia="en-US"/>
    </w:rPr>
  </w:style>
  <w:style w:type="character" w:customStyle="1" w:styleId="Heading9Char">
    <w:name w:val="Heading 9 Char"/>
    <w:basedOn w:val="DefaultParagraphFont"/>
    <w:link w:val="Heading9"/>
    <w:semiHidden/>
    <w:rsid w:val="002C0D3E"/>
    <w:rPr>
      <w:rFonts w:eastAsia="Times New Roman"/>
      <w:snapToGrid w:val="0"/>
      <w:sz w:val="21"/>
      <w:szCs w:val="10"/>
      <w:u w:val="single"/>
      <w:lang w:val="en-US" w:eastAsia="zh-CN"/>
    </w:rPr>
  </w:style>
  <w:style w:type="paragraph" w:styleId="ListParagraph">
    <w:name w:val="List Paragraph"/>
    <w:basedOn w:val="Normal"/>
    <w:uiPriority w:val="34"/>
    <w:qFormat/>
    <w:rsid w:val="002C0D3E"/>
    <w:pPr>
      <w:ind w:left="720"/>
      <w:contextualSpacing/>
    </w:pPr>
  </w:style>
  <w:style w:type="paragraph" w:styleId="NoSpacing">
    <w:name w:val="No Spacing"/>
    <w:uiPriority w:val="1"/>
    <w:semiHidden/>
    <w:qFormat/>
    <w:rsid w:val="002C0D3E"/>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2C0D3E"/>
    <w:rPr>
      <w:rFonts w:eastAsia="Times New Roman"/>
      <w:lang w:val="en-GB" w:eastAsia="en-US"/>
    </w:rPr>
  </w:style>
  <w:style w:type="character" w:styleId="PlaceholderText">
    <w:name w:val="Placeholder Text"/>
    <w:basedOn w:val="DefaultParagraphFont"/>
    <w:uiPriority w:val="99"/>
    <w:semiHidden/>
    <w:rsid w:val="002C0D3E"/>
    <w:rPr>
      <w:color w:val="808080"/>
      <w:lang w:val="en-GB"/>
    </w:rPr>
  </w:style>
  <w:style w:type="table" w:styleId="TableGrid">
    <w:name w:val="Table Grid"/>
    <w:basedOn w:val="TableNormal"/>
    <w:rsid w:val="002C0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2C0D3E"/>
    <w:pPr>
      <w:spacing w:before="120" w:after="240"/>
    </w:pPr>
  </w:style>
  <w:style w:type="character" w:customStyle="1" w:styleId="ALogoChar">
    <w:name w:val="A_Logo Char"/>
    <w:basedOn w:val="DefaultParagraphFont"/>
    <w:link w:val="ALogo"/>
    <w:rsid w:val="002C0D3E"/>
    <w:rPr>
      <w:rFonts w:eastAsia="Times New Roman"/>
      <w:lang w:val="en-GB" w:eastAsia="en-US"/>
    </w:rPr>
  </w:style>
  <w:style w:type="paragraph" w:customStyle="1" w:styleId="ASpacer">
    <w:name w:val="A_Spacer"/>
    <w:basedOn w:val="Normal-pool"/>
    <w:link w:val="ASpacerChar"/>
    <w:rsid w:val="002C0D3E"/>
    <w:rPr>
      <w:sz w:val="2"/>
    </w:rPr>
  </w:style>
  <w:style w:type="character" w:customStyle="1" w:styleId="ASpacerChar">
    <w:name w:val="A_Spacer Char"/>
    <w:basedOn w:val="DefaultParagraphFont"/>
    <w:link w:val="ASpacer"/>
    <w:rsid w:val="002C0D3E"/>
    <w:rPr>
      <w:rFonts w:eastAsia="Times New Roman"/>
      <w:sz w:val="2"/>
      <w:lang w:val="en-GB" w:eastAsia="en-US"/>
    </w:rPr>
  </w:style>
  <w:style w:type="paragraph" w:customStyle="1" w:styleId="AATitle1">
    <w:name w:val="AA_Title1"/>
    <w:basedOn w:val="Normal-pool"/>
    <w:rsid w:val="002C0D3E"/>
  </w:style>
  <w:style w:type="character" w:styleId="UnresolvedMention">
    <w:name w:val="Unresolved Mention"/>
    <w:basedOn w:val="DefaultParagraphFont"/>
    <w:uiPriority w:val="99"/>
    <w:semiHidden/>
    <w:rsid w:val="002C0D3E"/>
    <w:rPr>
      <w:color w:val="605E5C"/>
      <w:shd w:val="clear" w:color="auto" w:fill="E1DFDD"/>
      <w:lang w:val="en-GB"/>
    </w:rPr>
  </w:style>
  <w:style w:type="paragraph" w:customStyle="1" w:styleId="ANormal">
    <w:name w:val="A_Normal"/>
    <w:basedOn w:val="Normal-pool"/>
    <w:rsid w:val="002C0D3E"/>
  </w:style>
  <w:style w:type="paragraph" w:customStyle="1" w:styleId="AText0">
    <w:name w:val="A_Text0"/>
    <w:basedOn w:val="AText"/>
    <w:next w:val="AText"/>
    <w:rsid w:val="002C0D3E"/>
    <w:pPr>
      <w:tabs>
        <w:tab w:val="clear" w:pos="4990"/>
      </w:tabs>
      <w:spacing w:before="0" w:after="120"/>
    </w:pPr>
  </w:style>
  <w:style w:type="paragraph" w:styleId="Footer">
    <w:name w:val="footer"/>
    <w:basedOn w:val="Normal"/>
    <w:link w:val="FooterChar1"/>
    <w:unhideWhenUsed/>
    <w:rsid w:val="002C0D3E"/>
    <w:pPr>
      <w:tabs>
        <w:tab w:val="clear" w:pos="1247"/>
        <w:tab w:val="right" w:pos="8641"/>
      </w:tabs>
    </w:pPr>
    <w:rPr>
      <w:rFonts w:eastAsia="PMingLiU"/>
      <w:b/>
      <w:noProof/>
      <w:sz w:val="17"/>
    </w:rPr>
  </w:style>
  <w:style w:type="character" w:customStyle="1" w:styleId="FooterChar1">
    <w:name w:val="Footer Char1"/>
    <w:basedOn w:val="DefaultParagraphFont"/>
    <w:link w:val="Footer"/>
    <w:rsid w:val="002C0D3E"/>
    <w:rPr>
      <w:rFonts w:eastAsia="Times New Roman"/>
      <w:b/>
      <w:sz w:val="18"/>
      <w:lang w:val="en-GB" w:eastAsia="en-US"/>
    </w:rPr>
  </w:style>
  <w:style w:type="paragraph" w:customStyle="1" w:styleId="Normal-pool">
    <w:name w:val="Normal-pool"/>
    <w:link w:val="Normal-poolChar"/>
    <w:qFormat/>
    <w:rsid w:val="002C0D3E"/>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2C0D3E"/>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2C0D3E"/>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2C0D3E"/>
  </w:style>
  <w:style w:type="character" w:customStyle="1" w:styleId="BodyTextChar">
    <w:name w:val="Body Text Char"/>
    <w:basedOn w:val="DefaultParagraphFont"/>
    <w:link w:val="BodyText"/>
    <w:semiHidden/>
    <w:rsid w:val="002C0D3E"/>
    <w:rPr>
      <w:rFonts w:eastAsia="Times New Roman"/>
      <w:lang w:val="en-GB" w:eastAsia="en-US"/>
    </w:rPr>
  </w:style>
  <w:style w:type="paragraph" w:styleId="BodyText2">
    <w:name w:val="Body Text 2"/>
    <w:basedOn w:val="Normal"/>
    <w:link w:val="BodyText2Char"/>
    <w:semiHidden/>
    <w:unhideWhenUsed/>
    <w:rsid w:val="002C0D3E"/>
    <w:pPr>
      <w:spacing w:line="480" w:lineRule="auto"/>
    </w:pPr>
  </w:style>
  <w:style w:type="character" w:customStyle="1" w:styleId="BodyText2Char">
    <w:name w:val="Body Text 2 Char"/>
    <w:basedOn w:val="DefaultParagraphFont"/>
    <w:link w:val="BodyText2"/>
    <w:semiHidden/>
    <w:rsid w:val="002C0D3E"/>
    <w:rPr>
      <w:rFonts w:eastAsia="Times New Roman"/>
      <w:lang w:val="en-GB" w:eastAsia="en-US"/>
    </w:rPr>
  </w:style>
  <w:style w:type="paragraph" w:styleId="BodyText3">
    <w:name w:val="Body Text 3"/>
    <w:basedOn w:val="Normal"/>
    <w:link w:val="BodyText3Char"/>
    <w:semiHidden/>
    <w:unhideWhenUsed/>
    <w:rsid w:val="002C0D3E"/>
    <w:rPr>
      <w:sz w:val="16"/>
      <w:szCs w:val="16"/>
    </w:rPr>
  </w:style>
  <w:style w:type="character" w:customStyle="1" w:styleId="BodyText3Char">
    <w:name w:val="Body Text 3 Char"/>
    <w:basedOn w:val="DefaultParagraphFont"/>
    <w:link w:val="BodyText3"/>
    <w:semiHidden/>
    <w:rsid w:val="002C0D3E"/>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lang w:val="en-GB" w:eastAsia="en-US"/>
    </w:rPr>
  </w:style>
  <w:style w:type="paragraph" w:styleId="BodyTextIndent">
    <w:name w:val="Body Text Indent"/>
    <w:basedOn w:val="Normal"/>
    <w:link w:val="BodyTextIndentChar"/>
    <w:semiHidden/>
    <w:unhideWhenUsed/>
    <w:rsid w:val="002C0D3E"/>
    <w:pPr>
      <w:ind w:left="283"/>
    </w:pPr>
  </w:style>
  <w:style w:type="character" w:customStyle="1" w:styleId="BodyTextIndentChar">
    <w:name w:val="Body Text Indent Char"/>
    <w:basedOn w:val="DefaultParagraphFont"/>
    <w:link w:val="BodyTextIndent"/>
    <w:semiHidden/>
    <w:rsid w:val="002C0D3E"/>
    <w:rPr>
      <w:rFonts w:eastAsia="Times New Roman"/>
      <w:lang w:val="en-GB" w:eastAsia="en-US"/>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lang w:val="en-GB" w:eastAsia="en-US"/>
    </w:rPr>
  </w:style>
  <w:style w:type="paragraph" w:styleId="BodyTextIndent2">
    <w:name w:val="Body Text Indent 2"/>
    <w:basedOn w:val="Normal"/>
    <w:link w:val="BodyTextIndent2Char"/>
    <w:semiHidden/>
    <w:unhideWhenUsed/>
    <w:rsid w:val="002C0D3E"/>
    <w:pPr>
      <w:spacing w:line="480" w:lineRule="auto"/>
      <w:ind w:left="283"/>
    </w:pPr>
  </w:style>
  <w:style w:type="character" w:customStyle="1" w:styleId="BodyTextIndent2Char">
    <w:name w:val="Body Text Indent 2 Char"/>
    <w:basedOn w:val="DefaultParagraphFont"/>
    <w:link w:val="BodyTextIndent2"/>
    <w:semiHidden/>
    <w:rsid w:val="002C0D3E"/>
    <w:rPr>
      <w:rFonts w:eastAsia="Times New Roman"/>
      <w:lang w:val="en-GB" w:eastAsia="en-US"/>
    </w:rPr>
  </w:style>
  <w:style w:type="paragraph" w:styleId="BodyTextIndent3">
    <w:name w:val="Body Text Indent 3"/>
    <w:basedOn w:val="Normal"/>
    <w:link w:val="BodyTextIndent3Char"/>
    <w:semiHidden/>
    <w:unhideWhenUsed/>
    <w:rsid w:val="002C0D3E"/>
    <w:pPr>
      <w:ind w:left="283"/>
    </w:pPr>
    <w:rPr>
      <w:sz w:val="16"/>
      <w:szCs w:val="16"/>
    </w:rPr>
  </w:style>
  <w:style w:type="character" w:customStyle="1" w:styleId="BodyTextIndent3Char">
    <w:name w:val="Body Text Indent 3 Char"/>
    <w:basedOn w:val="DefaultParagraphFont"/>
    <w:link w:val="BodyTextIndent3"/>
    <w:semiHidden/>
    <w:rsid w:val="002C0D3E"/>
    <w:rPr>
      <w:rFonts w:eastAsia="Times New Roman"/>
      <w:sz w:val="16"/>
      <w:szCs w:val="16"/>
      <w:lang w:val="en-GB" w:eastAsia="en-US"/>
    </w:rPr>
  </w:style>
  <w:style w:type="character" w:styleId="BookTitle">
    <w:name w:val="Book Title"/>
    <w:basedOn w:val="DefaultParagraphFont"/>
    <w:uiPriority w:val="33"/>
    <w:semiHidden/>
    <w:qFormat/>
    <w:rsid w:val="002C0D3E"/>
    <w:rPr>
      <w:b/>
      <w:bCs/>
      <w:i/>
      <w:iCs/>
      <w:spacing w:val="5"/>
      <w:lang w:val="en-GB"/>
    </w:rPr>
  </w:style>
  <w:style w:type="paragraph" w:styleId="Caption">
    <w:name w:val="caption"/>
    <w:basedOn w:val="Normal"/>
    <w:next w:val="Normal"/>
    <w:semiHidden/>
    <w:unhideWhenUsed/>
    <w:qFormat/>
    <w:rsid w:val="002C0D3E"/>
    <w:pPr>
      <w:spacing w:after="200"/>
    </w:pPr>
    <w:rPr>
      <w:i/>
      <w:iCs/>
      <w:color w:val="1F497D" w:themeColor="text2"/>
      <w:sz w:val="18"/>
      <w:szCs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lang w:val="en-GB" w:eastAsia="en-US"/>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lang w:val="en-GB" w:eastAsia="en-US"/>
    </w:rPr>
  </w:style>
  <w:style w:type="paragraph" w:styleId="DocumentMap">
    <w:name w:val="Document Map"/>
    <w:basedOn w:val="Normal"/>
    <w:link w:val="DocumentMapChar"/>
    <w:semiHidden/>
    <w:unhideWhenUsed/>
    <w:rsid w:val="002C0D3E"/>
    <w:rPr>
      <w:rFonts w:ascii="Segoe UI" w:hAnsi="Segoe UI" w:cs="Segoe UI"/>
      <w:sz w:val="16"/>
      <w:szCs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lang w:val="en-GB" w:eastAsia="en-US"/>
    </w:rPr>
  </w:style>
  <w:style w:type="character" w:styleId="Emphasis">
    <w:name w:val="Emphasis"/>
    <w:basedOn w:val="DefaultParagraphFont"/>
    <w:semiHidden/>
    <w:qFormat/>
    <w:rsid w:val="002C0D3E"/>
    <w:rPr>
      <w:i/>
      <w:iCs/>
      <w:lang w:val="en-GB"/>
    </w:rPr>
  </w:style>
  <w:style w:type="character" w:styleId="EndnoteReference">
    <w:name w:val="endnote reference"/>
    <w:basedOn w:val="FootnoteReference"/>
    <w:semiHidden/>
    <w:unhideWhenUsed/>
    <w:rsid w:val="002C0D3E"/>
    <w:rPr>
      <w:rFonts w:ascii="Times New Roman" w:eastAsia="SimSun" w:hAnsi="Times New Roman"/>
      <w:color w:val="000000"/>
      <w:spacing w:val="-7"/>
      <w:w w:val="130"/>
      <w:position w:val="-4"/>
      <w:sz w:val="20"/>
      <w:szCs w:val="18"/>
      <w:vertAlign w:val="superscript"/>
      <w:lang w:val="en-GB"/>
    </w:rPr>
  </w:style>
  <w:style w:type="paragraph" w:styleId="EndnoteText">
    <w:name w:val="endnote text"/>
    <w:basedOn w:val="FootnoteText"/>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lang w:val="en-GB" w:eastAsia="en-US"/>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pPr>
      <w:spacing w:after="0" w:line="210" w:lineRule="exact"/>
      <w:ind w:left="475" w:hanging="475"/>
      <w:jc w:val="left"/>
    </w:pPr>
    <w:rPr>
      <w:noProof/>
      <w:spacing w:val="5"/>
      <w:w w:val="104"/>
      <w:kern w:val="14"/>
      <w:sz w:val="18"/>
      <w:szCs w:val="20"/>
    </w:rPr>
  </w:style>
  <w:style w:type="character" w:customStyle="1" w:styleId="FootnoteTextChar">
    <w:name w:val="Footnote Text Char"/>
    <w:basedOn w:val="DefaultParagraphFont"/>
    <w:link w:val="FootnoteText"/>
    <w:uiPriority w:val="99"/>
    <w:semiHidden/>
    <w:rsid w:val="002C0D3E"/>
    <w:rPr>
      <w:rFonts w:eastAsia="Times New Roman"/>
      <w:lang w:val="en-GB" w:eastAsia="en-US"/>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lang w:val="en-GB"/>
    </w:rPr>
  </w:style>
  <w:style w:type="character" w:styleId="HTMLAcronym">
    <w:name w:val="HTML Acronym"/>
    <w:basedOn w:val="DefaultParagraphFont"/>
    <w:semiHidden/>
    <w:unhideWhenUsed/>
    <w:rsid w:val="002C0D3E"/>
    <w:rPr>
      <w:lang w:val="en-GB"/>
    </w:rPr>
  </w:style>
  <w:style w:type="paragraph" w:styleId="HTMLAddress">
    <w:name w:val="HTML Address"/>
    <w:basedOn w:val="Normal"/>
    <w:link w:val="HTMLAddressChar"/>
    <w:semiHidden/>
    <w:unhideWhenUsed/>
    <w:rsid w:val="002C0D3E"/>
    <w:rPr>
      <w:i/>
      <w:iCs/>
    </w:rPr>
  </w:style>
  <w:style w:type="character" w:customStyle="1" w:styleId="HTMLAddressChar">
    <w:name w:val="HTML Address Char"/>
    <w:basedOn w:val="DefaultParagraphFont"/>
    <w:link w:val="HTMLAddress"/>
    <w:semiHidden/>
    <w:rsid w:val="002C0D3E"/>
    <w:rPr>
      <w:rFonts w:eastAsia="Times New Roman"/>
      <w:i/>
      <w:iCs/>
      <w:lang w:val="en-GB" w:eastAsia="en-US"/>
    </w:rPr>
  </w:style>
  <w:style w:type="character" w:styleId="HTMLCite">
    <w:name w:val="HTML Cite"/>
    <w:basedOn w:val="DefaultParagraphFont"/>
    <w:semiHidden/>
    <w:unhideWhenUsed/>
    <w:rsid w:val="002C0D3E"/>
    <w:rPr>
      <w:i/>
      <w:iCs/>
      <w:lang w:val="en-GB"/>
    </w:rPr>
  </w:style>
  <w:style w:type="character" w:styleId="HTMLCode">
    <w:name w:val="HTML Code"/>
    <w:basedOn w:val="DefaultParagraphFont"/>
    <w:semiHidden/>
    <w:unhideWhenUsed/>
    <w:rsid w:val="002C0D3E"/>
    <w:rPr>
      <w:rFonts w:ascii="Consolas" w:hAnsi="Consolas"/>
      <w:sz w:val="20"/>
      <w:szCs w:val="20"/>
      <w:lang w:val="en-GB"/>
    </w:rPr>
  </w:style>
  <w:style w:type="character" w:styleId="HTMLDefinition">
    <w:name w:val="HTML Definition"/>
    <w:basedOn w:val="DefaultParagraphFont"/>
    <w:semiHidden/>
    <w:unhideWhenUsed/>
    <w:rsid w:val="002C0D3E"/>
    <w:rPr>
      <w:i/>
      <w:iCs/>
      <w:lang w:val="en-GB"/>
    </w:rPr>
  </w:style>
  <w:style w:type="character" w:styleId="HTMLKeyboard">
    <w:name w:val="HTML Keyboard"/>
    <w:basedOn w:val="DefaultParagraphFont"/>
    <w:semiHidden/>
    <w:unhideWhenUsed/>
    <w:rsid w:val="002C0D3E"/>
    <w:rPr>
      <w:rFonts w:ascii="Consolas" w:hAnsi="Consolas"/>
      <w:sz w:val="20"/>
      <w:szCs w:val="20"/>
      <w:lang w:val="en-GB"/>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lang w:val="en-GB" w:eastAsia="en-US"/>
    </w:rPr>
  </w:style>
  <w:style w:type="character" w:styleId="HTMLSample">
    <w:name w:val="HTML Sample"/>
    <w:basedOn w:val="DefaultParagraphFont"/>
    <w:semiHidden/>
    <w:unhideWhenUsed/>
    <w:rsid w:val="002C0D3E"/>
    <w:rPr>
      <w:rFonts w:ascii="Consolas" w:hAnsi="Consolas"/>
      <w:sz w:val="24"/>
      <w:szCs w:val="24"/>
      <w:lang w:val="en-GB"/>
    </w:rPr>
  </w:style>
  <w:style w:type="character" w:styleId="HTMLTypewriter">
    <w:name w:val="HTML Typewriter"/>
    <w:basedOn w:val="DefaultParagraphFont"/>
    <w:semiHidden/>
    <w:unhideWhenUsed/>
    <w:rsid w:val="002C0D3E"/>
    <w:rPr>
      <w:rFonts w:ascii="Consolas" w:hAnsi="Consolas"/>
      <w:sz w:val="20"/>
      <w:szCs w:val="20"/>
      <w:lang w:val="en-GB"/>
    </w:rPr>
  </w:style>
  <w:style w:type="character" w:styleId="HTMLVariable">
    <w:name w:val="HTML Variable"/>
    <w:basedOn w:val="DefaultParagraphFont"/>
    <w:semiHidden/>
    <w:unhideWhenUsed/>
    <w:rsid w:val="002C0D3E"/>
    <w:rPr>
      <w:i/>
      <w:iCs/>
      <w:lang w:val="en-GB"/>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C0D3E"/>
    <w:rPr>
      <w:i/>
      <w:iCs/>
      <w:color w:val="4F81BD" w:themeColor="accent1"/>
      <w:lang w:val="en-GB"/>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2C0D3E"/>
    <w:rPr>
      <w:b/>
      <w:bCs/>
      <w:smallCaps/>
      <w:color w:val="4F81BD" w:themeColor="accent1"/>
      <w:spacing w:val="5"/>
      <w:lang w:val="en-GB"/>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rPr>
      <w:sz w:val="14"/>
      <w:lang w:val="en-GB"/>
    </w:rPr>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ind w:left="283"/>
      <w:contextualSpacing/>
    </w:pPr>
  </w:style>
  <w:style w:type="paragraph" w:styleId="ListContinue2">
    <w:name w:val="List Continue 2"/>
    <w:basedOn w:val="Normal"/>
    <w:semiHidden/>
    <w:unhideWhenUsed/>
    <w:rsid w:val="002C0D3E"/>
    <w:pPr>
      <w:ind w:left="566"/>
      <w:contextualSpacing/>
    </w:pPr>
  </w:style>
  <w:style w:type="paragraph" w:styleId="ListContinue3">
    <w:name w:val="List Continue 3"/>
    <w:basedOn w:val="Normal"/>
    <w:semiHidden/>
    <w:rsid w:val="002C0D3E"/>
    <w:pPr>
      <w:ind w:left="849"/>
      <w:contextualSpacing/>
    </w:pPr>
  </w:style>
  <w:style w:type="paragraph" w:styleId="ListContinue4">
    <w:name w:val="List Continue 4"/>
    <w:basedOn w:val="Normal"/>
    <w:semiHidden/>
    <w:rsid w:val="002C0D3E"/>
    <w:pPr>
      <w:ind w:left="1132"/>
      <w:contextualSpacing/>
    </w:pPr>
  </w:style>
  <w:style w:type="paragraph" w:styleId="ListContinue5">
    <w:name w:val="List Continue 5"/>
    <w:basedOn w:val="Normal"/>
    <w:semiHidden/>
    <w:rsid w:val="002C0D3E"/>
    <w:pPr>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MacroTextChar">
    <w:name w:val="Macro Text Char"/>
    <w:basedOn w:val="DefaultParagraphFont"/>
    <w:link w:val="MacroText"/>
    <w:semiHidden/>
    <w:rsid w:val="002C0D3E"/>
    <w:rPr>
      <w:rFonts w:ascii="Consolas" w:eastAsia="Times New Roman" w:hAnsi="Consolas"/>
      <w:lang w:val="en-GB" w:eastAsia="en-U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lang w:val="en-GB"/>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lang w:val="en-GB" w:eastAsia="en-US"/>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Cs w:val="21"/>
    </w:rPr>
  </w:style>
  <w:style w:type="character" w:customStyle="1" w:styleId="PlainTextChar">
    <w:name w:val="Plain Text Char"/>
    <w:basedOn w:val="DefaultParagraphFont"/>
    <w:link w:val="PlainText"/>
    <w:semiHidden/>
    <w:rsid w:val="002C0D3E"/>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2C0D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C0D3E"/>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lang w:val="en-GB" w:eastAsia="en-US"/>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lang w:val="en-GB" w:eastAsia="en-US"/>
    </w:rPr>
  </w:style>
  <w:style w:type="character" w:styleId="SmartHyperlink">
    <w:name w:val="Smart Hyperlink"/>
    <w:basedOn w:val="DefaultParagraphFont"/>
    <w:uiPriority w:val="99"/>
    <w:semiHidden/>
    <w:rsid w:val="002C0D3E"/>
    <w:rPr>
      <w:u w:val="dotted"/>
      <w:lang w:val="en-GB"/>
    </w:rPr>
  </w:style>
  <w:style w:type="character" w:styleId="SmartLink">
    <w:name w:val="Smart Link"/>
    <w:basedOn w:val="DefaultParagraphFont"/>
    <w:uiPriority w:val="99"/>
    <w:semiHidden/>
    <w:unhideWhenUsed/>
    <w:rsid w:val="002C0D3E"/>
    <w:rPr>
      <w:color w:val="0000FF"/>
      <w:u w:val="single"/>
      <w:shd w:val="clear" w:color="auto" w:fill="F3F2F1"/>
      <w:lang w:val="en-GB"/>
    </w:rPr>
  </w:style>
  <w:style w:type="character" w:styleId="Strong">
    <w:name w:val="Strong"/>
    <w:basedOn w:val="DefaultParagraphFont"/>
    <w:uiPriority w:val="22"/>
    <w:qFormat/>
    <w:rsid w:val="002C0D3E"/>
    <w:rPr>
      <w:b/>
      <w:bCs/>
      <w:lang w:val="en-G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2C0D3E"/>
    <w:rPr>
      <w:i/>
      <w:iCs/>
      <w:color w:val="404040" w:themeColor="text1" w:themeTint="BF"/>
      <w:lang w:val="en-GB"/>
    </w:rPr>
  </w:style>
  <w:style w:type="character" w:styleId="SubtleReference">
    <w:name w:val="Subtle Reference"/>
    <w:basedOn w:val="DefaultParagraphFont"/>
    <w:uiPriority w:val="31"/>
    <w:semiHidden/>
    <w:qFormat/>
    <w:rsid w:val="002C0D3E"/>
    <w:rPr>
      <w:smallCaps/>
      <w:color w:val="5A5A5A" w:themeColor="text1" w:themeTint="A5"/>
      <w:lang w:val="en-GB"/>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1F1F39"/>
    <w:rPr>
      <w:rFonts w:eastAsia="Times New Roman"/>
      <w:b/>
      <w:sz w:val="28"/>
      <w:szCs w:val="28"/>
      <w:lang w:val="en-GB" w:eastAsia="en-US"/>
    </w:rPr>
  </w:style>
  <w:style w:type="character" w:customStyle="1" w:styleId="CH2Char">
    <w:name w:val="CH2 Char"/>
    <w:link w:val="CH2"/>
    <w:locked/>
    <w:rsid w:val="006215D4"/>
    <w:rPr>
      <w:rFonts w:eastAsia="Times New Roman"/>
      <w:b/>
      <w:sz w:val="24"/>
      <w:szCs w:val="24"/>
      <w:lang w:val="en-GB" w:eastAsia="en-US"/>
    </w:rPr>
  </w:style>
  <w:style w:type="paragraph" w:styleId="Revision">
    <w:name w:val="Revision"/>
    <w:hidden/>
    <w:uiPriority w:val="99"/>
    <w:semiHidden/>
    <w:rsid w:val="00C44D1F"/>
    <w:rPr>
      <w:rFonts w:eastAsia="Times New Roman"/>
      <w:lang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4E0DEB"/>
    <w:pPr>
      <w:tabs>
        <w:tab w:val="clear" w:pos="1247"/>
        <w:tab w:val="clear" w:pos="1814"/>
        <w:tab w:val="clear" w:pos="2381"/>
        <w:tab w:val="clear" w:pos="2948"/>
        <w:tab w:val="clear" w:pos="3515"/>
      </w:tabs>
      <w:spacing w:after="160" w:line="240" w:lineRule="exact"/>
    </w:pPr>
    <w:rPr>
      <w:rFonts w:eastAsia="SimSun"/>
      <w:szCs w:val="18"/>
      <w:vertAlign w:val="superscript"/>
    </w:rPr>
  </w:style>
  <w:style w:type="numbering" w:customStyle="1" w:styleId="CurrentList1">
    <w:name w:val="Current List1"/>
    <w:uiPriority w:val="99"/>
    <w:rsid w:val="009173A9"/>
    <w:pPr>
      <w:numPr>
        <w:numId w:val="19"/>
      </w:numPr>
    </w:pPr>
  </w:style>
  <w:style w:type="character" w:customStyle="1" w:styleId="ZZAnxtitleChar">
    <w:name w:val="ZZ_Anx_title Char"/>
    <w:link w:val="ZZAnxtitle"/>
    <w:rsid w:val="003511F7"/>
    <w:rPr>
      <w:rFonts w:eastAsia="Times New Roman"/>
      <w:b/>
      <w:bCs/>
      <w:sz w:val="28"/>
      <w:szCs w:val="26"/>
      <w:lang w:val="en-GB" w:eastAsia="en-US"/>
    </w:rPr>
  </w:style>
  <w:style w:type="character" w:customStyle="1" w:styleId="Normal-poolChar">
    <w:name w:val="Normal-pool Char"/>
    <w:link w:val="Normal-pool"/>
    <w:locked/>
    <w:rsid w:val="003511F7"/>
    <w:rPr>
      <w:rFonts w:eastAsia="Times New Roman"/>
      <w:lang w:val="en-GB" w:eastAsia="en-US"/>
    </w:rPr>
  </w:style>
  <w:style w:type="character" w:customStyle="1" w:styleId="NormalNonumberChar">
    <w:name w:val="Normal_No_number Char"/>
    <w:link w:val="NormalNonumber"/>
    <w:locked/>
    <w:rsid w:val="003511F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mea-ozoneinfo@un.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meg.seki@un.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mea-ozoneinfo@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sandeep.bhambra@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mea-ozoneinfo@un.org" TargetMode="External"/><Relationship Id="rId1" Type="http://schemas.openxmlformats.org/officeDocument/2006/relationships/hyperlink" Target="mailto:mea-ozoneinfo@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6" ma:contentTypeDescription="Create a new document." ma:contentTypeScope="" ma:versionID="83c6f0ead310e14eeb9289c1aa9cc714">
  <xsd:schema xmlns:xsd="http://www.w3.org/2001/XMLSchema" xmlns:xs="http://www.w3.org/2001/XMLSchema" xmlns:p="http://schemas.microsoft.com/office/2006/metadata/properties" xmlns:ns2="f7826c25-a33d-46f5-8024-83c354f6f142" xmlns:ns3="43113008-2bbe-49de-a2b9-cf1459b7aef2" xmlns:ns4="985ec44e-1bab-4c0b-9df0-6ba128686fc9" targetNamespace="http://schemas.microsoft.com/office/2006/metadata/properties" ma:root="true" ma:fieldsID="77084455e3d936cbe21a002e553c3982" ns2:_="" ns3:_="" ns4:_="">
    <xsd:import namespace="f7826c25-a33d-46f5-8024-83c354f6f142"/>
    <xsd:import namespace="43113008-2bbe-49de-a2b9-cf1459b7aef2"/>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7992-1be3-4a92-8f7e-f89ec21b3cc5}" ma:internalName="TaxCatchAll" ma:showField="CatchAllData" ma:web="43113008-2bbe-49de-a2b9-cf1459b7a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7826c25-a33d-46f5-8024-83c354f6f14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38591AD2-806A-4DF6-ABBE-2D56AB6B5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f7826c25-a33d-46f5-8024-83c354f6f142"/>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182</TotalTime>
  <Pages>59</Pages>
  <Words>23179</Words>
  <Characters>45201</Characters>
  <Application>Microsoft Office Word</Application>
  <DocSecurity>0</DocSecurity>
  <PresentationFormat/>
  <Lines>9040</Lines>
  <Paragraphs>5259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63121</CharactersWithSpaces>
  <SharedDoc>false</SharedDoc>
  <HyperlinkBase/>
  <HLinks>
    <vt:vector size="300" baseType="variant">
      <vt:variant>
        <vt:i4>5636132</vt:i4>
      </vt:variant>
      <vt:variant>
        <vt:i4>6</vt:i4>
      </vt:variant>
      <vt:variant>
        <vt:i4>0</vt:i4>
      </vt:variant>
      <vt:variant>
        <vt:i4>5</vt:i4>
      </vt:variant>
      <vt:variant>
        <vt:lpwstr>mailto:meg.seki@un.org</vt:lpwstr>
      </vt:variant>
      <vt:variant>
        <vt:lpwstr/>
      </vt:variant>
      <vt:variant>
        <vt:i4>2293848</vt:i4>
      </vt:variant>
      <vt:variant>
        <vt:i4>3</vt:i4>
      </vt:variant>
      <vt:variant>
        <vt:i4>0</vt:i4>
      </vt:variant>
      <vt:variant>
        <vt:i4>5</vt:i4>
      </vt:variant>
      <vt:variant>
        <vt:lpwstr>mailto:mea-ozoneinfo@un.org</vt:lpwstr>
      </vt:variant>
      <vt:variant>
        <vt:lpwstr/>
      </vt:variant>
      <vt:variant>
        <vt:i4>6946877</vt:i4>
      </vt:variant>
      <vt:variant>
        <vt:i4>0</vt:i4>
      </vt:variant>
      <vt:variant>
        <vt:i4>0</vt:i4>
      </vt:variant>
      <vt:variant>
        <vt:i4>5</vt:i4>
      </vt:variant>
      <vt:variant>
        <vt:lpwstr>https://ozone.unep.org/mop38-activities</vt:lpwstr>
      </vt:variant>
      <vt:variant>
        <vt:lpwstr/>
      </vt:variant>
      <vt:variant>
        <vt:i4>2293848</vt:i4>
      </vt:variant>
      <vt:variant>
        <vt:i4>0</vt:i4>
      </vt:variant>
      <vt:variant>
        <vt:i4>0</vt:i4>
      </vt:variant>
      <vt:variant>
        <vt:i4>5</vt:i4>
      </vt:variant>
      <vt:variant>
        <vt:lpwstr>mailto:mea-ozoneinfo@un.org</vt:lpwstr>
      </vt:variant>
      <vt:variant>
        <vt:lpwstr/>
      </vt:variant>
      <vt:variant>
        <vt:i4>7864322</vt:i4>
      </vt:variant>
      <vt:variant>
        <vt:i4>135</vt:i4>
      </vt:variant>
      <vt:variant>
        <vt:i4>0</vt:i4>
      </vt:variant>
      <vt:variant>
        <vt:i4>5</vt:i4>
      </vt:variant>
      <vt:variant>
        <vt:lpwstr>mailto:sophia.mylona@un.org</vt:lpwstr>
      </vt:variant>
      <vt:variant>
        <vt:lpwstr/>
      </vt:variant>
      <vt:variant>
        <vt:i4>7864322</vt:i4>
      </vt:variant>
      <vt:variant>
        <vt:i4>132</vt:i4>
      </vt:variant>
      <vt:variant>
        <vt:i4>0</vt:i4>
      </vt:variant>
      <vt:variant>
        <vt:i4>5</vt:i4>
      </vt:variant>
      <vt:variant>
        <vt:lpwstr>mailto:sophia.mylona@un.org</vt:lpwstr>
      </vt:variant>
      <vt:variant>
        <vt:lpwstr/>
      </vt:variant>
      <vt:variant>
        <vt:i4>3670110</vt:i4>
      </vt:variant>
      <vt:variant>
        <vt:i4>129</vt:i4>
      </vt:variant>
      <vt:variant>
        <vt:i4>0</vt:i4>
      </vt:variant>
      <vt:variant>
        <vt:i4>5</vt:i4>
      </vt:variant>
      <vt:variant>
        <vt:lpwstr>mailto:pablo.moscosodelacuba@un.org</vt:lpwstr>
      </vt:variant>
      <vt:variant>
        <vt:lpwstr/>
      </vt:variant>
      <vt:variant>
        <vt:i4>3407962</vt:i4>
      </vt:variant>
      <vt:variant>
        <vt:i4>126</vt:i4>
      </vt:variant>
      <vt:variant>
        <vt:i4>0</vt:i4>
      </vt:variant>
      <vt:variant>
        <vt:i4>5</vt:i4>
      </vt:variant>
      <vt:variant>
        <vt:lpwstr>mailto:frida.muriithi@un.org</vt:lpwstr>
      </vt:variant>
      <vt:variant>
        <vt:lpwstr/>
      </vt:variant>
      <vt:variant>
        <vt:i4>3670110</vt:i4>
      </vt:variant>
      <vt:variant>
        <vt:i4>123</vt:i4>
      </vt:variant>
      <vt:variant>
        <vt:i4>0</vt:i4>
      </vt:variant>
      <vt:variant>
        <vt:i4>5</vt:i4>
      </vt:variant>
      <vt:variant>
        <vt:lpwstr>mailto:pablo.moscosodelacuba@un.org</vt:lpwstr>
      </vt:variant>
      <vt:variant>
        <vt:lpwstr/>
      </vt:variant>
      <vt:variant>
        <vt:i4>3670110</vt:i4>
      </vt:variant>
      <vt:variant>
        <vt:i4>120</vt:i4>
      </vt:variant>
      <vt:variant>
        <vt:i4>0</vt:i4>
      </vt:variant>
      <vt:variant>
        <vt:i4>5</vt:i4>
      </vt:variant>
      <vt:variant>
        <vt:lpwstr>mailto:pablo.moscosodelacuba@un.org</vt:lpwstr>
      </vt:variant>
      <vt:variant>
        <vt:lpwstr/>
      </vt:variant>
      <vt:variant>
        <vt:i4>4390962</vt:i4>
      </vt:variant>
      <vt:variant>
        <vt:i4>117</vt:i4>
      </vt:variant>
      <vt:variant>
        <vt:i4>0</vt:i4>
      </vt:variant>
      <vt:variant>
        <vt:i4>5</vt:i4>
      </vt:variant>
      <vt:variant>
        <vt:lpwstr>mailto:sandeep.bhambra@un.org</vt:lpwstr>
      </vt:variant>
      <vt:variant>
        <vt:lpwstr/>
      </vt:variant>
      <vt:variant>
        <vt:i4>5636132</vt:i4>
      </vt:variant>
      <vt:variant>
        <vt:i4>114</vt:i4>
      </vt:variant>
      <vt:variant>
        <vt:i4>0</vt:i4>
      </vt:variant>
      <vt:variant>
        <vt:i4>5</vt:i4>
      </vt:variant>
      <vt:variant>
        <vt:lpwstr>mailto:meg.seki@un.org</vt:lpwstr>
      </vt:variant>
      <vt:variant>
        <vt:lpwstr/>
      </vt:variant>
      <vt:variant>
        <vt:i4>3735634</vt:i4>
      </vt:variant>
      <vt:variant>
        <vt:i4>111</vt:i4>
      </vt:variant>
      <vt:variant>
        <vt:i4>0</vt:i4>
      </vt:variant>
      <vt:variant>
        <vt:i4>5</vt:i4>
      </vt:variant>
      <vt:variant>
        <vt:lpwstr>mailto:stephanie.haysmith@un.org</vt:lpwstr>
      </vt:variant>
      <vt:variant>
        <vt:lpwstr/>
      </vt:variant>
      <vt:variant>
        <vt:i4>7864322</vt:i4>
      </vt:variant>
      <vt:variant>
        <vt:i4>108</vt:i4>
      </vt:variant>
      <vt:variant>
        <vt:i4>0</vt:i4>
      </vt:variant>
      <vt:variant>
        <vt:i4>5</vt:i4>
      </vt:variant>
      <vt:variant>
        <vt:lpwstr>mailto:sophia.mylona@un.org</vt:lpwstr>
      </vt:variant>
      <vt:variant>
        <vt:lpwstr/>
      </vt:variant>
      <vt:variant>
        <vt:i4>5636132</vt:i4>
      </vt:variant>
      <vt:variant>
        <vt:i4>105</vt:i4>
      </vt:variant>
      <vt:variant>
        <vt:i4>0</vt:i4>
      </vt:variant>
      <vt:variant>
        <vt:i4>5</vt:i4>
      </vt:variant>
      <vt:variant>
        <vt:lpwstr>mailto:meg.seki@un.org</vt:lpwstr>
      </vt:variant>
      <vt:variant>
        <vt:lpwstr/>
      </vt:variant>
      <vt:variant>
        <vt:i4>3670110</vt:i4>
      </vt:variant>
      <vt:variant>
        <vt:i4>102</vt:i4>
      </vt:variant>
      <vt:variant>
        <vt:i4>0</vt:i4>
      </vt:variant>
      <vt:variant>
        <vt:i4>5</vt:i4>
      </vt:variant>
      <vt:variant>
        <vt:lpwstr>mailto:pablo.moscosodelacuba@un.org</vt:lpwstr>
      </vt:variant>
      <vt:variant>
        <vt:lpwstr/>
      </vt:variant>
      <vt:variant>
        <vt:i4>3670110</vt:i4>
      </vt:variant>
      <vt:variant>
        <vt:i4>99</vt:i4>
      </vt:variant>
      <vt:variant>
        <vt:i4>0</vt:i4>
      </vt:variant>
      <vt:variant>
        <vt:i4>5</vt:i4>
      </vt:variant>
      <vt:variant>
        <vt:lpwstr>mailto:pablo.moscosodelacuba@un.org</vt:lpwstr>
      </vt:variant>
      <vt:variant>
        <vt:lpwstr/>
      </vt:variant>
      <vt:variant>
        <vt:i4>5636132</vt:i4>
      </vt:variant>
      <vt:variant>
        <vt:i4>96</vt:i4>
      </vt:variant>
      <vt:variant>
        <vt:i4>0</vt:i4>
      </vt:variant>
      <vt:variant>
        <vt:i4>5</vt:i4>
      </vt:variant>
      <vt:variant>
        <vt:lpwstr>mailto:meg.seki@un.org</vt:lpwstr>
      </vt:variant>
      <vt:variant>
        <vt:lpwstr/>
      </vt:variant>
      <vt:variant>
        <vt:i4>3670110</vt:i4>
      </vt:variant>
      <vt:variant>
        <vt:i4>93</vt:i4>
      </vt:variant>
      <vt:variant>
        <vt:i4>0</vt:i4>
      </vt:variant>
      <vt:variant>
        <vt:i4>5</vt:i4>
      </vt:variant>
      <vt:variant>
        <vt:lpwstr>mailto:pablo.moscosodelacuba@un.org</vt:lpwstr>
      </vt:variant>
      <vt:variant>
        <vt:lpwstr/>
      </vt:variant>
      <vt:variant>
        <vt:i4>5636132</vt:i4>
      </vt:variant>
      <vt:variant>
        <vt:i4>90</vt:i4>
      </vt:variant>
      <vt:variant>
        <vt:i4>0</vt:i4>
      </vt:variant>
      <vt:variant>
        <vt:i4>5</vt:i4>
      </vt:variant>
      <vt:variant>
        <vt:lpwstr>mailto:meg.seki@un.org</vt:lpwstr>
      </vt:variant>
      <vt:variant>
        <vt:lpwstr/>
      </vt:variant>
      <vt:variant>
        <vt:i4>3407962</vt:i4>
      </vt:variant>
      <vt:variant>
        <vt:i4>87</vt:i4>
      </vt:variant>
      <vt:variant>
        <vt:i4>0</vt:i4>
      </vt:variant>
      <vt:variant>
        <vt:i4>5</vt:i4>
      </vt:variant>
      <vt:variant>
        <vt:lpwstr>mailto:frida.muriithi@un.org</vt:lpwstr>
      </vt:variant>
      <vt:variant>
        <vt:lpwstr/>
      </vt:variant>
      <vt:variant>
        <vt:i4>3670110</vt:i4>
      </vt:variant>
      <vt:variant>
        <vt:i4>84</vt:i4>
      </vt:variant>
      <vt:variant>
        <vt:i4>0</vt:i4>
      </vt:variant>
      <vt:variant>
        <vt:i4>5</vt:i4>
      </vt:variant>
      <vt:variant>
        <vt:lpwstr>mailto:pablo.moscosodelacuba@un.org</vt:lpwstr>
      </vt:variant>
      <vt:variant>
        <vt:lpwstr/>
      </vt:variant>
      <vt:variant>
        <vt:i4>3407962</vt:i4>
      </vt:variant>
      <vt:variant>
        <vt:i4>81</vt:i4>
      </vt:variant>
      <vt:variant>
        <vt:i4>0</vt:i4>
      </vt:variant>
      <vt:variant>
        <vt:i4>5</vt:i4>
      </vt:variant>
      <vt:variant>
        <vt:lpwstr>mailto:frida.muriithi@un.org</vt:lpwstr>
      </vt:variant>
      <vt:variant>
        <vt:lpwstr/>
      </vt:variant>
      <vt:variant>
        <vt:i4>3670110</vt:i4>
      </vt:variant>
      <vt:variant>
        <vt:i4>78</vt:i4>
      </vt:variant>
      <vt:variant>
        <vt:i4>0</vt:i4>
      </vt:variant>
      <vt:variant>
        <vt:i4>5</vt:i4>
      </vt:variant>
      <vt:variant>
        <vt:lpwstr>mailto:pablo.moscosodelacuba@un.org</vt:lpwstr>
      </vt:variant>
      <vt:variant>
        <vt:lpwstr/>
      </vt:variant>
      <vt:variant>
        <vt:i4>5636132</vt:i4>
      </vt:variant>
      <vt:variant>
        <vt:i4>75</vt:i4>
      </vt:variant>
      <vt:variant>
        <vt:i4>0</vt:i4>
      </vt:variant>
      <vt:variant>
        <vt:i4>5</vt:i4>
      </vt:variant>
      <vt:variant>
        <vt:lpwstr>mailto:meg.seki@un.org</vt:lpwstr>
      </vt:variant>
      <vt:variant>
        <vt:lpwstr/>
      </vt:variant>
      <vt:variant>
        <vt:i4>7536648</vt:i4>
      </vt:variant>
      <vt:variant>
        <vt:i4>72</vt:i4>
      </vt:variant>
      <vt:variant>
        <vt:i4>0</vt:i4>
      </vt:variant>
      <vt:variant>
        <vt:i4>5</vt:i4>
      </vt:variant>
      <vt:variant>
        <vt:lpwstr>mailto:julius.njenga@un.org</vt:lpwstr>
      </vt:variant>
      <vt:variant>
        <vt:lpwstr/>
      </vt:variant>
      <vt:variant>
        <vt:i4>4390962</vt:i4>
      </vt:variant>
      <vt:variant>
        <vt:i4>69</vt:i4>
      </vt:variant>
      <vt:variant>
        <vt:i4>0</vt:i4>
      </vt:variant>
      <vt:variant>
        <vt:i4>5</vt:i4>
      </vt:variant>
      <vt:variant>
        <vt:lpwstr>mailto:sandeep.bhambra@un.org</vt:lpwstr>
      </vt:variant>
      <vt:variant>
        <vt:lpwstr/>
      </vt:variant>
      <vt:variant>
        <vt:i4>5636132</vt:i4>
      </vt:variant>
      <vt:variant>
        <vt:i4>66</vt:i4>
      </vt:variant>
      <vt:variant>
        <vt:i4>0</vt:i4>
      </vt:variant>
      <vt:variant>
        <vt:i4>5</vt:i4>
      </vt:variant>
      <vt:variant>
        <vt:lpwstr>mailto:meg.seki@un.org</vt:lpwstr>
      </vt:variant>
      <vt:variant>
        <vt:lpwstr/>
      </vt:variant>
      <vt:variant>
        <vt:i4>4390962</vt:i4>
      </vt:variant>
      <vt:variant>
        <vt:i4>63</vt:i4>
      </vt:variant>
      <vt:variant>
        <vt:i4>0</vt:i4>
      </vt:variant>
      <vt:variant>
        <vt:i4>5</vt:i4>
      </vt:variant>
      <vt:variant>
        <vt:lpwstr>mailto:sandeep.bhambra@un.org</vt:lpwstr>
      </vt:variant>
      <vt:variant>
        <vt:lpwstr/>
      </vt:variant>
      <vt:variant>
        <vt:i4>5636132</vt:i4>
      </vt:variant>
      <vt:variant>
        <vt:i4>60</vt:i4>
      </vt:variant>
      <vt:variant>
        <vt:i4>0</vt:i4>
      </vt:variant>
      <vt:variant>
        <vt:i4>5</vt:i4>
      </vt:variant>
      <vt:variant>
        <vt:lpwstr>mailto:meg.seki@un.org</vt:lpwstr>
      </vt:variant>
      <vt:variant>
        <vt:lpwstr/>
      </vt:variant>
      <vt:variant>
        <vt:i4>2293848</vt:i4>
      </vt:variant>
      <vt:variant>
        <vt:i4>57</vt:i4>
      </vt:variant>
      <vt:variant>
        <vt:i4>0</vt:i4>
      </vt:variant>
      <vt:variant>
        <vt:i4>5</vt:i4>
      </vt:variant>
      <vt:variant>
        <vt:lpwstr>mailto:mea-ozoneinfo@un.org</vt:lpwstr>
      </vt:variant>
      <vt:variant>
        <vt:lpwstr/>
      </vt:variant>
      <vt:variant>
        <vt:i4>4390962</vt:i4>
      </vt:variant>
      <vt:variant>
        <vt:i4>54</vt:i4>
      </vt:variant>
      <vt:variant>
        <vt:i4>0</vt:i4>
      </vt:variant>
      <vt:variant>
        <vt:i4>5</vt:i4>
      </vt:variant>
      <vt:variant>
        <vt:lpwstr>mailto:sandeep.bhambra@un.org</vt:lpwstr>
      </vt:variant>
      <vt:variant>
        <vt:lpwstr/>
      </vt:variant>
      <vt:variant>
        <vt:i4>5636132</vt:i4>
      </vt:variant>
      <vt:variant>
        <vt:i4>51</vt:i4>
      </vt:variant>
      <vt:variant>
        <vt:i4>0</vt:i4>
      </vt:variant>
      <vt:variant>
        <vt:i4>5</vt:i4>
      </vt:variant>
      <vt:variant>
        <vt:lpwstr>mailto:meg.seki@un.org</vt:lpwstr>
      </vt:variant>
      <vt:variant>
        <vt:lpwstr/>
      </vt:variant>
      <vt:variant>
        <vt:i4>7864322</vt:i4>
      </vt:variant>
      <vt:variant>
        <vt:i4>48</vt:i4>
      </vt:variant>
      <vt:variant>
        <vt:i4>0</vt:i4>
      </vt:variant>
      <vt:variant>
        <vt:i4>5</vt:i4>
      </vt:variant>
      <vt:variant>
        <vt:lpwstr>mailto:sophia.mylona@un.org</vt:lpwstr>
      </vt:variant>
      <vt:variant>
        <vt:lpwstr/>
      </vt:variant>
      <vt:variant>
        <vt:i4>7864322</vt:i4>
      </vt:variant>
      <vt:variant>
        <vt:i4>45</vt:i4>
      </vt:variant>
      <vt:variant>
        <vt:i4>0</vt:i4>
      </vt:variant>
      <vt:variant>
        <vt:i4>5</vt:i4>
      </vt:variant>
      <vt:variant>
        <vt:lpwstr>mailto:sophia.mylona@un.org</vt:lpwstr>
      </vt:variant>
      <vt:variant>
        <vt:lpwstr/>
      </vt:variant>
      <vt:variant>
        <vt:i4>7864322</vt:i4>
      </vt:variant>
      <vt:variant>
        <vt:i4>42</vt:i4>
      </vt:variant>
      <vt:variant>
        <vt:i4>0</vt:i4>
      </vt:variant>
      <vt:variant>
        <vt:i4>5</vt:i4>
      </vt:variant>
      <vt:variant>
        <vt:lpwstr>mailto:sophia.mylona@un.org</vt:lpwstr>
      </vt:variant>
      <vt:variant>
        <vt:lpwstr/>
      </vt:variant>
      <vt:variant>
        <vt:i4>7864322</vt:i4>
      </vt:variant>
      <vt:variant>
        <vt:i4>39</vt:i4>
      </vt:variant>
      <vt:variant>
        <vt:i4>0</vt:i4>
      </vt:variant>
      <vt:variant>
        <vt:i4>5</vt:i4>
      </vt:variant>
      <vt:variant>
        <vt:lpwstr>mailto:sophia.mylona@un.org</vt:lpwstr>
      </vt:variant>
      <vt:variant>
        <vt:lpwstr/>
      </vt:variant>
      <vt:variant>
        <vt:i4>7864322</vt:i4>
      </vt:variant>
      <vt:variant>
        <vt:i4>36</vt:i4>
      </vt:variant>
      <vt:variant>
        <vt:i4>0</vt:i4>
      </vt:variant>
      <vt:variant>
        <vt:i4>5</vt:i4>
      </vt:variant>
      <vt:variant>
        <vt:lpwstr>mailto:sophia.mylona@un.org</vt:lpwstr>
      </vt:variant>
      <vt:variant>
        <vt:lpwstr/>
      </vt:variant>
      <vt:variant>
        <vt:i4>7864322</vt:i4>
      </vt:variant>
      <vt:variant>
        <vt:i4>33</vt:i4>
      </vt:variant>
      <vt:variant>
        <vt:i4>0</vt:i4>
      </vt:variant>
      <vt:variant>
        <vt:i4>5</vt:i4>
      </vt:variant>
      <vt:variant>
        <vt:lpwstr>mailto:sophia.mylona@un.org</vt:lpwstr>
      </vt:variant>
      <vt:variant>
        <vt:lpwstr/>
      </vt:variant>
      <vt:variant>
        <vt:i4>7733256</vt:i4>
      </vt:variant>
      <vt:variant>
        <vt:i4>30</vt:i4>
      </vt:variant>
      <vt:variant>
        <vt:i4>0</vt:i4>
      </vt:variant>
      <vt:variant>
        <vt:i4>5</vt:i4>
      </vt:variant>
      <vt:variant>
        <vt:lpwstr>mailto:gerald.mutisya@un.org</vt:lpwstr>
      </vt:variant>
      <vt:variant>
        <vt:lpwstr/>
      </vt:variant>
      <vt:variant>
        <vt:i4>7733256</vt:i4>
      </vt:variant>
      <vt:variant>
        <vt:i4>27</vt:i4>
      </vt:variant>
      <vt:variant>
        <vt:i4>0</vt:i4>
      </vt:variant>
      <vt:variant>
        <vt:i4>5</vt:i4>
      </vt:variant>
      <vt:variant>
        <vt:lpwstr>mailto:gerald.mutisya@un.org</vt:lpwstr>
      </vt:variant>
      <vt:variant>
        <vt:lpwstr/>
      </vt:variant>
      <vt:variant>
        <vt:i4>7733256</vt:i4>
      </vt:variant>
      <vt:variant>
        <vt:i4>24</vt:i4>
      </vt:variant>
      <vt:variant>
        <vt:i4>0</vt:i4>
      </vt:variant>
      <vt:variant>
        <vt:i4>5</vt:i4>
      </vt:variant>
      <vt:variant>
        <vt:lpwstr>mailto:gerald.mutisya@un.org</vt:lpwstr>
      </vt:variant>
      <vt:variant>
        <vt:lpwstr/>
      </vt:variant>
      <vt:variant>
        <vt:i4>7864322</vt:i4>
      </vt:variant>
      <vt:variant>
        <vt:i4>21</vt:i4>
      </vt:variant>
      <vt:variant>
        <vt:i4>0</vt:i4>
      </vt:variant>
      <vt:variant>
        <vt:i4>5</vt:i4>
      </vt:variant>
      <vt:variant>
        <vt:lpwstr>mailto:sophia.mylona@un.org</vt:lpwstr>
      </vt:variant>
      <vt:variant>
        <vt:lpwstr/>
      </vt:variant>
      <vt:variant>
        <vt:i4>5636132</vt:i4>
      </vt:variant>
      <vt:variant>
        <vt:i4>18</vt:i4>
      </vt:variant>
      <vt:variant>
        <vt:i4>0</vt:i4>
      </vt:variant>
      <vt:variant>
        <vt:i4>5</vt:i4>
      </vt:variant>
      <vt:variant>
        <vt:lpwstr>mailto:meg.seki@un.org</vt:lpwstr>
      </vt:variant>
      <vt:variant>
        <vt:lpwstr/>
      </vt:variant>
      <vt:variant>
        <vt:i4>3735634</vt:i4>
      </vt:variant>
      <vt:variant>
        <vt:i4>15</vt:i4>
      </vt:variant>
      <vt:variant>
        <vt:i4>0</vt:i4>
      </vt:variant>
      <vt:variant>
        <vt:i4>5</vt:i4>
      </vt:variant>
      <vt:variant>
        <vt:lpwstr>mailto:stephanie.haysmith@un.org</vt:lpwstr>
      </vt:variant>
      <vt:variant>
        <vt:lpwstr/>
      </vt:variant>
      <vt:variant>
        <vt:i4>7864322</vt:i4>
      </vt:variant>
      <vt:variant>
        <vt:i4>12</vt:i4>
      </vt:variant>
      <vt:variant>
        <vt:i4>0</vt:i4>
      </vt:variant>
      <vt:variant>
        <vt:i4>5</vt:i4>
      </vt:variant>
      <vt:variant>
        <vt:lpwstr>mailto:sophia.mylona@un.org</vt:lpwstr>
      </vt:variant>
      <vt:variant>
        <vt:lpwstr/>
      </vt:variant>
      <vt:variant>
        <vt:i4>3670110</vt:i4>
      </vt:variant>
      <vt:variant>
        <vt:i4>9</vt:i4>
      </vt:variant>
      <vt:variant>
        <vt:i4>0</vt:i4>
      </vt:variant>
      <vt:variant>
        <vt:i4>5</vt:i4>
      </vt:variant>
      <vt:variant>
        <vt:lpwstr>mailto:pablo.moscosodelacuba@un.org</vt:lpwstr>
      </vt:variant>
      <vt:variant>
        <vt:lpwstr/>
      </vt:variant>
      <vt:variant>
        <vt:i4>1835132</vt:i4>
      </vt:variant>
      <vt:variant>
        <vt:i4>6</vt:i4>
      </vt:variant>
      <vt:variant>
        <vt:i4>0</vt:i4>
      </vt:variant>
      <vt:variant>
        <vt:i4>5</vt:i4>
      </vt:variant>
      <vt:variant>
        <vt:lpwstr>mailto:jacqueline.gitau@un.org</vt:lpwstr>
      </vt:variant>
      <vt:variant>
        <vt:lpwstr/>
      </vt:variant>
      <vt:variant>
        <vt:i4>2949203</vt:i4>
      </vt:variant>
      <vt:variant>
        <vt:i4>3</vt:i4>
      </vt:variant>
      <vt:variant>
        <vt:i4>0</vt:i4>
      </vt:variant>
      <vt:variant>
        <vt:i4>5</vt:i4>
      </vt:variant>
      <vt:variant>
        <vt:lpwstr>mailto:betty.kamanga@un.org</vt:lpwstr>
      </vt:variant>
      <vt:variant>
        <vt:lpwstr/>
      </vt:variant>
      <vt:variant>
        <vt:i4>3670110</vt:i4>
      </vt:variant>
      <vt:variant>
        <vt:i4>0</vt:i4>
      </vt:variant>
      <vt:variant>
        <vt:i4>0</vt:i4>
      </vt:variant>
      <vt:variant>
        <vt:i4>5</vt:i4>
      </vt:variant>
      <vt:variant>
        <vt:lpwstr>mailto:pablo.moscosodelacuba@un.org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jie.duan@un.org</dc:creator>
  <cp:keywords/>
  <dc:description/>
  <cp:lastModifiedBy>Wei Li</cp:lastModifiedBy>
  <cp:revision>23</cp:revision>
  <cp:lastPrinted>2026-08-07T09:47:00Z</cp:lastPrinted>
  <dcterms:created xsi:type="dcterms:W3CDTF">2026-09-08T07:33:00Z</dcterms:created>
  <dcterms:modified xsi:type="dcterms:W3CDTF">2026-09-11T08:58:00Z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TranslatedWith">
    <vt:lpwstr>Mercury</vt:lpwstr>
  </property>
  <property fmtid="{D5CDD505-2E9C-101B-9397-08002B2CF9AE}" pid="15" name="GeneratedBy">
    <vt:lpwstr>yuyao.wang@un.org</vt:lpwstr>
  </property>
  <property fmtid="{D5CDD505-2E9C-101B-9397-08002B2CF9AE}" pid="16" name="GeneratedDate">
    <vt:lpwstr>08/18/2026 08:48:33</vt:lpwstr>
  </property>
  <property fmtid="{D5CDD505-2E9C-101B-9397-08002B2CF9AE}" pid="17" name="OriginalDocID">
    <vt:lpwstr>871c5c4e-b60d-463e-b4f0-14f5e6065482</vt:lpwstr>
  </property>
  <property fmtid="{D5CDD505-2E9C-101B-9397-08002B2CF9AE}" pid="18" name="ContentTypeId">
    <vt:lpwstr>0x01010076CF5481EDEAFA409DFC5D03919EC3CB</vt:lpwstr>
  </property>
</Properties>
</file>