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2693"/>
        <w:gridCol w:w="6520"/>
        <w:gridCol w:w="283"/>
      </w:tblGrid>
      <w:tr w:rsidR="00F66737" w:rsidRPr="00E1048B" w14:paraId="3D56374D" w14:textId="77777777" w:rsidTr="00746FB6">
        <w:trPr>
          <w:trHeight w:val="850"/>
        </w:trPr>
        <w:tc>
          <w:tcPr>
            <w:tcW w:w="2693" w:type="dxa"/>
          </w:tcPr>
          <w:p w14:paraId="19ED879B" w14:textId="77777777" w:rsidR="00F66737" w:rsidRPr="00E1048B" w:rsidRDefault="00F66737" w:rsidP="00F66737">
            <w:pPr>
              <w:pStyle w:val="AUnitedNations"/>
              <w:tabs>
                <w:tab w:val="clear" w:pos="624"/>
                <w:tab w:val="clear" w:pos="1871"/>
                <w:tab w:val="clear" w:pos="2495"/>
                <w:tab w:val="clear" w:pos="3119"/>
                <w:tab w:val="clear" w:pos="3742"/>
                <w:tab w:val="clear" w:pos="4366"/>
                <w:tab w:val="clear" w:pos="4990"/>
              </w:tabs>
              <w:rPr>
                <w:lang w:val="ru-RU"/>
              </w:rPr>
            </w:pPr>
            <w:r w:rsidRPr="00E1048B">
              <w:rPr>
                <w:lang w:val="ru-RU"/>
              </w:rPr>
              <w:t xml:space="preserve">ОРГАНИЗАЦИЯ </w:t>
            </w:r>
            <w:r w:rsidRPr="00E1048B">
              <w:rPr>
                <w:lang w:val="ru-RU"/>
              </w:rPr>
              <w:br/>
              <w:t xml:space="preserve">ОБЪЕДИНЕННЫХ </w:t>
            </w:r>
            <w:r w:rsidRPr="00E1048B">
              <w:rPr>
                <w:lang w:val="ru-RU"/>
              </w:rPr>
              <w:br/>
              <w:t>НАЦИЙ</w:t>
            </w:r>
          </w:p>
        </w:tc>
        <w:tc>
          <w:tcPr>
            <w:tcW w:w="6520" w:type="dxa"/>
          </w:tcPr>
          <w:p w14:paraId="48781734" w14:textId="77777777" w:rsidR="00F66737" w:rsidRPr="00E1048B" w:rsidRDefault="00F66737" w:rsidP="00F66737">
            <w:pPr>
              <w:pStyle w:val="Normal-pool"/>
              <w:tabs>
                <w:tab w:val="clear" w:pos="624"/>
                <w:tab w:val="clear" w:pos="1247"/>
                <w:tab w:val="clear" w:pos="1871"/>
                <w:tab w:val="clear" w:pos="2495"/>
                <w:tab w:val="clear" w:pos="3119"/>
                <w:tab w:val="clear" w:pos="3742"/>
                <w:tab w:val="clear" w:pos="4366"/>
                <w:tab w:val="clear" w:pos="4990"/>
              </w:tabs>
              <w:rPr>
                <w:lang w:val="ru-RU"/>
              </w:rPr>
            </w:pPr>
            <w:r w:rsidRPr="00E1048B">
              <w:rPr>
                <w:noProof/>
                <w:lang w:val="ru-RU"/>
              </w:rPr>
              <w:drawing>
                <wp:anchor distT="0" distB="0" distL="114300" distR="114300" simplePos="0" relativeHeight="251661312" behindDoc="0" locked="0" layoutInCell="1" allowOverlap="1" wp14:anchorId="5A07DCD8" wp14:editId="7AB034DD">
                  <wp:simplePos x="0" y="0"/>
                  <wp:positionH relativeFrom="column">
                    <wp:posOffset>-635</wp:posOffset>
                  </wp:positionH>
                  <wp:positionV relativeFrom="paragraph">
                    <wp:posOffset>-1270</wp:posOffset>
                  </wp:positionV>
                  <wp:extent cx="1269153" cy="573559"/>
                  <wp:effectExtent l="0" t="0" r="0" b="0"/>
                  <wp:wrapNone/>
                  <wp:docPr id="168409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97457" name=""/>
                          <pic:cNvPicPr/>
                        </pic:nvPicPr>
                        <pic:blipFill>
                          <a:blip r:embed="rId8">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283" w:type="dxa"/>
          </w:tcPr>
          <w:p w14:paraId="421F142F" w14:textId="77777777" w:rsidR="00F66737" w:rsidRPr="00E1048B" w:rsidRDefault="00F66737" w:rsidP="00F66737">
            <w:pPr>
              <w:pStyle w:val="Normal-pool"/>
              <w:tabs>
                <w:tab w:val="clear" w:pos="624"/>
                <w:tab w:val="clear" w:pos="1247"/>
                <w:tab w:val="clear" w:pos="1871"/>
                <w:tab w:val="clear" w:pos="2495"/>
                <w:tab w:val="clear" w:pos="3119"/>
                <w:tab w:val="clear" w:pos="3742"/>
                <w:tab w:val="clear" w:pos="4366"/>
                <w:tab w:val="clear" w:pos="4990"/>
              </w:tabs>
              <w:rPr>
                <w:lang w:val="ru-RU"/>
              </w:rPr>
            </w:pPr>
          </w:p>
        </w:tc>
      </w:tr>
    </w:tbl>
    <w:p w14:paraId="2F9451DA" w14:textId="77777777" w:rsidR="00F66737" w:rsidRPr="00E1048B" w:rsidRDefault="00F66737" w:rsidP="00F66737">
      <w:pPr>
        <w:pStyle w:val="ASpacer"/>
        <w:tabs>
          <w:tab w:val="clear" w:pos="624"/>
          <w:tab w:val="clear" w:pos="1247"/>
          <w:tab w:val="clear" w:pos="1871"/>
          <w:tab w:val="clear" w:pos="2495"/>
          <w:tab w:val="clear" w:pos="3119"/>
          <w:tab w:val="clear" w:pos="3742"/>
          <w:tab w:val="clear" w:pos="4366"/>
          <w:tab w:val="clear" w:pos="4990"/>
        </w:tabs>
        <w:rPr>
          <w:lang w:val="ru-RU"/>
        </w:rPr>
      </w:pPr>
    </w:p>
    <w:tbl>
      <w:tblPr>
        <w:tblW w:w="9496" w:type="dxa"/>
        <w:tblLook w:val="0000" w:firstRow="0" w:lastRow="0" w:firstColumn="0" w:lastColumn="0" w:noHBand="0" w:noVBand="0"/>
      </w:tblPr>
      <w:tblGrid>
        <w:gridCol w:w="6378"/>
        <w:gridCol w:w="3118"/>
      </w:tblGrid>
      <w:tr w:rsidR="00F66737" w:rsidRPr="00E1048B" w14:paraId="59036295" w14:textId="77777777" w:rsidTr="00746FB6">
        <w:trPr>
          <w:trHeight w:val="340"/>
        </w:trPr>
        <w:tc>
          <w:tcPr>
            <w:tcW w:w="3358" w:type="pct"/>
            <w:vAlign w:val="bottom"/>
          </w:tcPr>
          <w:p w14:paraId="6814D99B" w14:textId="77777777" w:rsidR="00F66737" w:rsidRPr="00E1048B" w:rsidRDefault="00F66737" w:rsidP="00F66737">
            <w:pPr>
              <w:pStyle w:val="Normal-pool"/>
              <w:tabs>
                <w:tab w:val="clear" w:pos="624"/>
                <w:tab w:val="clear" w:pos="1247"/>
                <w:tab w:val="clear" w:pos="1871"/>
                <w:tab w:val="clear" w:pos="2495"/>
                <w:tab w:val="clear" w:pos="3119"/>
                <w:tab w:val="clear" w:pos="3742"/>
                <w:tab w:val="clear" w:pos="4366"/>
                <w:tab w:val="clear" w:pos="4990"/>
              </w:tabs>
              <w:rPr>
                <w:lang w:val="ru-RU"/>
              </w:rPr>
            </w:pPr>
          </w:p>
        </w:tc>
        <w:tc>
          <w:tcPr>
            <w:tcW w:w="1642" w:type="pct"/>
            <w:noWrap/>
            <w:vAlign w:val="bottom"/>
          </w:tcPr>
          <w:p w14:paraId="02ECFF1B" w14:textId="3300DF12" w:rsidR="00F66737" w:rsidRPr="00E1048B" w:rsidRDefault="00F66737" w:rsidP="00F66737">
            <w:pPr>
              <w:pStyle w:val="ASymbol"/>
              <w:tabs>
                <w:tab w:val="clear" w:pos="1871"/>
                <w:tab w:val="clear" w:pos="2495"/>
                <w:tab w:val="clear" w:pos="2920"/>
                <w:tab w:val="clear" w:pos="3119"/>
                <w:tab w:val="clear" w:pos="3742"/>
                <w:tab w:val="clear" w:pos="4366"/>
                <w:tab w:val="clear" w:pos="4990"/>
              </w:tabs>
              <w:rPr>
                <w:lang w:val="ru-RU"/>
              </w:rPr>
            </w:pPr>
            <w:r w:rsidRPr="00E1048B">
              <w:rPr>
                <w:b/>
                <w:sz w:val="28"/>
                <w:lang w:val="ru-RU"/>
              </w:rPr>
              <w:t>UNEP</w:t>
            </w:r>
            <w:r w:rsidRPr="00E1048B">
              <w:rPr>
                <w:lang w:val="ru-RU"/>
              </w:rPr>
              <w:t>/OzL.Pro.WG.1/48/5</w:t>
            </w:r>
          </w:p>
        </w:tc>
      </w:tr>
    </w:tbl>
    <w:p w14:paraId="71E9DBAC" w14:textId="77777777" w:rsidR="00F66737" w:rsidRPr="00E1048B" w:rsidRDefault="00F66737" w:rsidP="00F66737">
      <w:pPr>
        <w:pStyle w:val="ASpacer"/>
        <w:tabs>
          <w:tab w:val="clear" w:pos="624"/>
          <w:tab w:val="clear" w:pos="1247"/>
          <w:tab w:val="clear" w:pos="1871"/>
          <w:tab w:val="clear" w:pos="2495"/>
          <w:tab w:val="clear" w:pos="3119"/>
          <w:tab w:val="clear" w:pos="3742"/>
          <w:tab w:val="clear" w:pos="4366"/>
          <w:tab w:val="clear" w:pos="4990"/>
        </w:tabs>
        <w:rPr>
          <w:lang w:val="ru-RU"/>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F66737" w:rsidRPr="00FB65CA" w14:paraId="06ECB45E" w14:textId="77777777" w:rsidTr="00746FB6">
        <w:trPr>
          <w:trHeight w:val="2098"/>
        </w:trPr>
        <w:tc>
          <w:tcPr>
            <w:tcW w:w="5386" w:type="dxa"/>
          </w:tcPr>
          <w:p w14:paraId="339D5BC2" w14:textId="77777777" w:rsidR="00F66737" w:rsidRPr="00E1048B" w:rsidRDefault="00F66737" w:rsidP="00F66737">
            <w:pPr>
              <w:pStyle w:val="AConvName"/>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 xml:space="preserve">Монреальский протокол </w:t>
            </w:r>
            <w:r w:rsidRPr="00E1048B">
              <w:rPr>
                <w:lang w:val="ru-RU"/>
              </w:rPr>
              <w:br/>
              <w:t xml:space="preserve">по веществам, разрушающим </w:t>
            </w:r>
            <w:r w:rsidRPr="00E1048B">
              <w:rPr>
                <w:lang w:val="ru-RU"/>
              </w:rPr>
              <w:br/>
              <w:t>озоновый слой</w:t>
            </w:r>
          </w:p>
        </w:tc>
        <w:tc>
          <w:tcPr>
            <w:tcW w:w="992" w:type="dxa"/>
          </w:tcPr>
          <w:p w14:paraId="36D5E823" w14:textId="77777777" w:rsidR="00F66737" w:rsidRPr="00E1048B" w:rsidRDefault="00F66737" w:rsidP="00F66737">
            <w:pPr>
              <w:pStyle w:val="Normal-pool"/>
              <w:tabs>
                <w:tab w:val="clear" w:pos="624"/>
                <w:tab w:val="clear" w:pos="1247"/>
                <w:tab w:val="clear" w:pos="1871"/>
                <w:tab w:val="clear" w:pos="2495"/>
                <w:tab w:val="clear" w:pos="3119"/>
                <w:tab w:val="clear" w:pos="3742"/>
                <w:tab w:val="clear" w:pos="4366"/>
                <w:tab w:val="clear" w:pos="4990"/>
              </w:tabs>
              <w:rPr>
                <w:lang w:val="ru-RU"/>
              </w:rPr>
            </w:pPr>
          </w:p>
        </w:tc>
        <w:tc>
          <w:tcPr>
            <w:tcW w:w="3118" w:type="dxa"/>
          </w:tcPr>
          <w:p w14:paraId="47374534" w14:textId="77777777" w:rsidR="00F66737" w:rsidRPr="00B33465" w:rsidRDefault="00F66737" w:rsidP="00F66737">
            <w:pPr>
              <w:pStyle w:val="AText"/>
              <w:tabs>
                <w:tab w:val="clear" w:pos="624"/>
                <w:tab w:val="clear" w:pos="1247"/>
                <w:tab w:val="clear" w:pos="1871"/>
                <w:tab w:val="clear" w:pos="2495"/>
                <w:tab w:val="clear" w:pos="3119"/>
                <w:tab w:val="clear" w:pos="3742"/>
                <w:tab w:val="clear" w:pos="4366"/>
                <w:tab w:val="clear" w:pos="4990"/>
              </w:tabs>
            </w:pPr>
            <w:r w:rsidRPr="00B33465">
              <w:t xml:space="preserve">Distr.: General </w:t>
            </w:r>
          </w:p>
          <w:p w14:paraId="2E66C877" w14:textId="3A7B7E95" w:rsidR="00F66737" w:rsidRPr="00B33465" w:rsidRDefault="00F66737" w:rsidP="00F66737">
            <w:pPr>
              <w:pStyle w:val="AText0"/>
              <w:tabs>
                <w:tab w:val="clear" w:pos="624"/>
                <w:tab w:val="clear" w:pos="1247"/>
                <w:tab w:val="clear" w:pos="1871"/>
                <w:tab w:val="clear" w:pos="2495"/>
                <w:tab w:val="clear" w:pos="3119"/>
                <w:tab w:val="clear" w:pos="3742"/>
                <w:tab w:val="clear" w:pos="4366"/>
              </w:tabs>
            </w:pPr>
            <w:r w:rsidRPr="00B33465">
              <w:t>21 July 2026</w:t>
            </w:r>
          </w:p>
          <w:p w14:paraId="38253846" w14:textId="77777777" w:rsidR="00F66737" w:rsidRPr="00B33465" w:rsidRDefault="00F66737" w:rsidP="00F66737">
            <w:pPr>
              <w:pStyle w:val="AText"/>
              <w:tabs>
                <w:tab w:val="clear" w:pos="624"/>
                <w:tab w:val="clear" w:pos="1247"/>
                <w:tab w:val="clear" w:pos="1871"/>
                <w:tab w:val="clear" w:pos="2495"/>
                <w:tab w:val="clear" w:pos="3119"/>
                <w:tab w:val="clear" w:pos="3742"/>
                <w:tab w:val="clear" w:pos="4366"/>
                <w:tab w:val="clear" w:pos="4990"/>
              </w:tabs>
            </w:pPr>
            <w:r w:rsidRPr="00B33465">
              <w:t xml:space="preserve">Russian </w:t>
            </w:r>
            <w:r w:rsidRPr="00B33465">
              <w:br/>
              <w:t>Original: English</w:t>
            </w:r>
          </w:p>
        </w:tc>
      </w:tr>
    </w:tbl>
    <w:p w14:paraId="41D032F2" w14:textId="77777777" w:rsidR="00F66737" w:rsidRPr="00B33465" w:rsidRDefault="00F66737" w:rsidP="00F66737">
      <w:pPr>
        <w:pStyle w:val="ASpacer"/>
        <w:tabs>
          <w:tab w:val="clear" w:pos="624"/>
          <w:tab w:val="clear" w:pos="1247"/>
          <w:tab w:val="clear" w:pos="1871"/>
          <w:tab w:val="clear" w:pos="2495"/>
          <w:tab w:val="clear" w:pos="3119"/>
          <w:tab w:val="clear" w:pos="3742"/>
          <w:tab w:val="clear" w:pos="4366"/>
          <w:tab w:val="clear" w:pos="4990"/>
        </w:tabs>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F66737" w:rsidRPr="00E1048B" w14:paraId="42C35104" w14:textId="77777777" w:rsidTr="00746FB6">
        <w:trPr>
          <w:trHeight w:val="57"/>
        </w:trPr>
        <w:tc>
          <w:tcPr>
            <w:tcW w:w="5301" w:type="dxa"/>
          </w:tcPr>
          <w:p w14:paraId="6B3F3B9D" w14:textId="77777777" w:rsidR="00F66737" w:rsidRPr="00E1048B" w:rsidRDefault="00F66737" w:rsidP="00F66737">
            <w:pPr>
              <w:pStyle w:val="AATitle"/>
              <w:keepNext w:val="0"/>
              <w:keepLines w:val="0"/>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 xml:space="preserve">Рабочая группа открытого состава Сторон </w:t>
            </w:r>
            <w:r w:rsidRPr="00E1048B">
              <w:rPr>
                <w:lang w:val="ru-RU"/>
              </w:rPr>
              <w:br/>
              <w:t xml:space="preserve">Монреальского протокола по веществам, </w:t>
            </w:r>
            <w:r w:rsidRPr="00E1048B">
              <w:rPr>
                <w:lang w:val="ru-RU"/>
              </w:rPr>
              <w:br/>
              <w:t xml:space="preserve">разрушающим озоновый слой </w:t>
            </w:r>
          </w:p>
          <w:p w14:paraId="73DEDDBC" w14:textId="77777777" w:rsidR="00F66737" w:rsidRPr="00E1048B" w:rsidRDefault="00F66737" w:rsidP="00F66737">
            <w:pPr>
              <w:pStyle w:val="AATitle"/>
              <w:keepNext w:val="0"/>
              <w:keepLines w:val="0"/>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 xml:space="preserve">Сорок восьмое совещание </w:t>
            </w:r>
          </w:p>
          <w:p w14:paraId="63B7205B" w14:textId="4F7A2370" w:rsidR="00F66737" w:rsidRPr="00E1048B" w:rsidRDefault="00F66737" w:rsidP="00F66737">
            <w:pPr>
              <w:pStyle w:val="AATitle1"/>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Бангкок, 13–17 июля 2026 года</w:t>
            </w:r>
          </w:p>
        </w:tc>
        <w:tc>
          <w:tcPr>
            <w:tcW w:w="4195" w:type="dxa"/>
          </w:tcPr>
          <w:p w14:paraId="036131E2" w14:textId="77777777" w:rsidR="00F66737" w:rsidRPr="00E1048B" w:rsidRDefault="00F66737" w:rsidP="00F66737">
            <w:pPr>
              <w:pStyle w:val="Normal-pool"/>
              <w:tabs>
                <w:tab w:val="clear" w:pos="624"/>
                <w:tab w:val="clear" w:pos="1247"/>
                <w:tab w:val="clear" w:pos="1871"/>
                <w:tab w:val="clear" w:pos="2495"/>
                <w:tab w:val="clear" w:pos="3119"/>
                <w:tab w:val="clear" w:pos="3742"/>
                <w:tab w:val="clear" w:pos="4366"/>
                <w:tab w:val="clear" w:pos="4990"/>
              </w:tabs>
              <w:rPr>
                <w:lang w:val="ru-RU"/>
              </w:rPr>
            </w:pPr>
          </w:p>
        </w:tc>
      </w:tr>
    </w:tbl>
    <w:p w14:paraId="5BA17456" w14:textId="77777777" w:rsidR="009542CC" w:rsidRPr="00E1048B" w:rsidRDefault="009542CC" w:rsidP="00F66737">
      <w:pPr>
        <w:pStyle w:val="BBTitle"/>
        <w:keepNext w:val="0"/>
        <w:keepLines w:val="0"/>
        <w:tabs>
          <w:tab w:val="clear" w:pos="624"/>
          <w:tab w:val="clear" w:pos="1247"/>
          <w:tab w:val="clear" w:pos="1871"/>
          <w:tab w:val="clear" w:pos="2495"/>
          <w:tab w:val="clear" w:pos="3119"/>
          <w:tab w:val="clear" w:pos="3742"/>
          <w:tab w:val="clear" w:pos="4366"/>
          <w:tab w:val="clear" w:pos="4990"/>
        </w:tabs>
        <w:rPr>
          <w:lang w:val="ru-RU"/>
        </w:rPr>
      </w:pPr>
      <w:r w:rsidRPr="00E1048B">
        <w:rPr>
          <w:bCs/>
          <w:lang w:val="ru-RU"/>
        </w:rPr>
        <w:t>Доклад о работе сорок восьмого совещания Рабочей группы открытого состава Сторон Монреальского протокола по веществам, разрушающим озоновый слой</w:t>
      </w:r>
    </w:p>
    <w:p w14:paraId="5BF8F84F" w14:textId="209CD853" w:rsidR="009542CC" w:rsidRPr="00E1048B" w:rsidRDefault="00F66737" w:rsidP="00F66737">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9542CC" w:rsidRPr="00E1048B">
        <w:rPr>
          <w:bCs/>
          <w:lang w:val="ru-RU"/>
        </w:rPr>
        <w:t>I.</w:t>
      </w:r>
      <w:r w:rsidR="009542CC" w:rsidRPr="00E1048B">
        <w:rPr>
          <w:lang w:val="ru-RU"/>
        </w:rPr>
        <w:tab/>
      </w:r>
      <w:r w:rsidR="009542CC" w:rsidRPr="00E1048B">
        <w:rPr>
          <w:bCs/>
          <w:lang w:val="ru-RU"/>
        </w:rPr>
        <w:t>Открытие совещания</w:t>
      </w:r>
    </w:p>
    <w:p w14:paraId="795ACC35"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Сорок восьмое совещание Рабочей группы открытого состава Сторон Монреальского протокола по веществам, разрушающим озоновый слой, прошло в Центре конференций Организации Объединенных Наций в Бангкоке 13–17 июля 2026 года. Обязанности сопредседателей выполняли Энни Габриэль (Австралия) и </w:t>
      </w:r>
      <w:proofErr w:type="spellStart"/>
      <w:r w:rsidRPr="00E1048B">
        <w:t>Игобе</w:t>
      </w:r>
      <w:proofErr w:type="spellEnd"/>
      <w:r w:rsidRPr="00E1048B">
        <w:t xml:space="preserve"> </w:t>
      </w:r>
      <w:proofErr w:type="spellStart"/>
      <w:r w:rsidRPr="00E1048B">
        <w:t>Мбулава</w:t>
      </w:r>
      <w:proofErr w:type="spellEnd"/>
      <w:r w:rsidRPr="00E1048B">
        <w:t xml:space="preserve"> (Ботсвана).</w:t>
      </w:r>
    </w:p>
    <w:p w14:paraId="2B590178"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Г-жа </w:t>
      </w:r>
      <w:proofErr w:type="spellStart"/>
      <w:r w:rsidRPr="00E1048B">
        <w:t>Мбулава</w:t>
      </w:r>
      <w:proofErr w:type="spellEnd"/>
      <w:r w:rsidRPr="00E1048B">
        <w:t xml:space="preserve"> открыла совещание в 10:00 в понедельник, 13 июля 2026 года. Со вступительными заявлениями выступили </w:t>
      </w:r>
      <w:proofErr w:type="spellStart"/>
      <w:r w:rsidRPr="00E1048B">
        <w:t>Дечен</w:t>
      </w:r>
      <w:proofErr w:type="spellEnd"/>
      <w:r w:rsidRPr="00E1048B">
        <w:t xml:space="preserve"> Церинг, Директор Регионального бюро для Азии и Тихого океана Программы Организации Объединенных Наций по окружающей среде (ЮНЕП), и </w:t>
      </w:r>
      <w:proofErr w:type="spellStart"/>
      <w:r w:rsidRPr="00E1048B">
        <w:t>Мегуми</w:t>
      </w:r>
      <w:proofErr w:type="spellEnd"/>
      <w:r w:rsidRPr="00E1048B">
        <w:t xml:space="preserve"> Секи, Исполнительный секретарь секретариата по озону.</w:t>
      </w:r>
    </w:p>
    <w:p w14:paraId="109A27F2"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Приветствуя участников, г-жа Церинг сказала, что Монреальский протокол остается одним из самых успешных многосторонних природоохранных соглашений в истории. За счет разработки научно обоснованных мер политики, а также благодаря международной солидарности и постоянной финансовой и технической поддержке, Стороны добились выдающихся результатов в области защиты озонового слоя, одновременно обеспечив значительное положительное воздействие на климат. Протокол в очередной раз продемонстрировал, что многостороннее сотрудничество способно приносить ощутимые и долгосрочные результаты на благо людей и планеты.</w:t>
      </w:r>
    </w:p>
    <w:p w14:paraId="04FB301B" w14:textId="7B8C2C8B"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Она отметила, что некоторые из вопросов, подлежащих рассмотрению, помогут определить будущее направление развития Протокола, и это перекликается с более широкими реформами, проводимыми в настоящее время в рамках системы Организации Объединенных Наций с целью повышения эффективности, результативности и влияния </w:t>
      </w:r>
      <w:r w:rsidR="008822F6">
        <w:t>О</w:t>
      </w:r>
      <w:r w:rsidRPr="00E1048B">
        <w:t>рганизации. Оба процесса преследуют общую цель – сохранить и укрепить успешные институты, одновременно адаптируя их к новым реалиям. Хотя в ходе работы по осуществлению Протокола приходится сталкиваться со многими трудностями, она уверена, что дух сотрудничества, характерный для этого документа на протяжении всей его истории, будет направлять ход обсуждений Сторон в рамках текущего совещания.</w:t>
      </w:r>
    </w:p>
    <w:p w14:paraId="33713056" w14:textId="75797802"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своем заявлении </w:t>
      </w:r>
      <w:proofErr w:type="gramStart"/>
      <w:r w:rsidRPr="00E1048B">
        <w:t>г-жа</w:t>
      </w:r>
      <w:proofErr w:type="gramEnd"/>
      <w:r w:rsidRPr="00E1048B">
        <w:t xml:space="preserve"> Секи напомнила, что, как сообщалось ранее, Лейла </w:t>
      </w:r>
      <w:proofErr w:type="spellStart"/>
      <w:r w:rsidRPr="00E1048B">
        <w:t>Акелло</w:t>
      </w:r>
      <w:proofErr w:type="spellEnd"/>
      <w:r w:rsidRPr="00E1048B">
        <w:t xml:space="preserve"> </w:t>
      </w:r>
      <w:proofErr w:type="spellStart"/>
      <w:r w:rsidRPr="00E1048B">
        <w:t>Гонаса</w:t>
      </w:r>
      <w:proofErr w:type="spellEnd"/>
      <w:r w:rsidRPr="00E1048B">
        <w:t xml:space="preserve"> (Уганда), избранная сопредседателем Рабочей группы открытого состава, не смогла присутствовать на текущем совещании из-за ограничений на поездки. По итогам консультаций с Группой африканских государств и другими Сторонами, действующими в соответствии с пунктом 1 статьи 5</w:t>
      </w:r>
      <w:r w:rsidR="008822F6">
        <w:t xml:space="preserve"> Протокола</w:t>
      </w:r>
      <w:r w:rsidRPr="00E1048B">
        <w:t xml:space="preserve"> (Стороны, действующие в рамках статьи 5), Уганда выдвинула на замену кандидатуру г-жи </w:t>
      </w:r>
      <w:proofErr w:type="spellStart"/>
      <w:r w:rsidR="002963F7">
        <w:t>Мб</w:t>
      </w:r>
      <w:r w:rsidR="0064468C" w:rsidRPr="00E1048B">
        <w:t>улавы</w:t>
      </w:r>
      <w:proofErr w:type="spellEnd"/>
      <w:r w:rsidRPr="00E1048B">
        <w:t xml:space="preserve"> (Ботсвана). </w:t>
      </w:r>
      <w:bookmarkStart w:id="0" w:name="_Hlk234814426"/>
      <w:bookmarkEnd w:id="0"/>
    </w:p>
    <w:p w14:paraId="18581362"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lastRenderedPageBreak/>
        <w:t xml:space="preserve">Резюмируя вопросы, вынесенные на обсуждение на текущем совещании, она сообщила, что во вторник, 14 июля, совещание будет приостановлено, с тем чтобы дать возможность провести шестое внеочередное Совещание Сторон для принятия решения о членском составе Комитета по выполнению в рамках процедуры, касающейся несоблюдения Монреальского протокола. Поскольку от государств Восточной Европы было получено две кандидатуры, для решения вопроса о том, кто из них будет избран, может потребоваться голосование. Это голосование может стать первым случаем за сорокалетнюю историю Монреальского протокола, когда Сторонам не удастся достичь консенсуса. Она выразила надежду на то, что Стороны продолжат неофициальные консультации в поисках компромисса. </w:t>
      </w:r>
    </w:p>
    <w:p w14:paraId="05EC5CAA" w14:textId="6358BA3A"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Она обратила внимание на доклад Группы по техническому обзору и экономической оценке о пополнении Многостороннего фонда для осуществления Монреальского протокола </w:t>
      </w:r>
      <w:r w:rsidR="004561C9" w:rsidRPr="004561C9">
        <w:t>в период с 2027 по 2029 год</w:t>
      </w:r>
      <w:r w:rsidRPr="00E1048B">
        <w:t xml:space="preserve">, оценочный объем которого составляет от 1,2 до 1,7 млрд долл. США. Она выразила надежду на то, что инструмент для расчетов, разработанный целевой группой Группы при поддержке секретариата для облегчения расчета объема пополнения на основе различных сценариев и допущений, </w:t>
      </w:r>
      <w:bookmarkStart w:id="1" w:name="_Hlk234813200"/>
      <w:bookmarkEnd w:id="1"/>
      <w:r w:rsidRPr="00E1048B">
        <w:t>поможет сделать этот процесс более транспарентным и доступным для Сторон.</w:t>
      </w:r>
    </w:p>
    <w:p w14:paraId="57AB92DD"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Применительно к атмосферному мониторингу Консультативный комитет Общего целевого фонда для финансирования связанной с Венской конвенцией деятельности по проведению исследований и систематических наблюдений Венской конвенции об охране озонового слоя и секретариат продвинулись в поиске подходящих участков для размещения станций мониторинга и начали неофициальные консультации с соответствующими Сторонами. Исполнительный комитет Многостороннего фонда и секретариат Фонда добились прогресса в подготовке к осуществлению экспериментальных проектов по мониторингу. В целях дальнейшей поддержки этих усилий Сторон секретариат по озону разрабатывает практический инструмент оценки затрат, учитывающий национальные условия, конъюнктуру местного рынка, существующую инфраструктуру и эксплуатационные требования, с тем чтобы получать более точные оценки, учитывающие специфику конкретных стран.</w:t>
      </w:r>
    </w:p>
    <w:p w14:paraId="6C2E0F76"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Что касается устойчивости деятельности в рамках Монреальского протокола, в соответствии с поручением Сторон, секретариат подготовил документ о возможных вариантах внесения эффективных и результативных изменений с соответствующими оценками расходов. Она обратила особое внимание на вывод о том, что в случае сохранения текущего положения дел – при освоении 85 процентов средств и поступлении 75 процентов взносов в Целевой фонд Монреальского протокола – к 2031 году остатки кассовых средств окажутся ниже требуемого уровня кассового резерва, и секретариат не будет в состоянии осуществлять деятельность в поддержку Сторон и Монреальского протокола. Остается надеяться, что Стороны найдут способы обеспечить сохранение работоспособности и эффективности договоров по озону.</w:t>
      </w:r>
    </w:p>
    <w:p w14:paraId="3E140047" w14:textId="53E370CA"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Другие вопросы повестки дня включали доклады о ходе работы Группы по техническому обзору и экономической оценке и ее комитетов по техническим вариантам замены, а также информацию от Руанды о </w:t>
      </w:r>
      <w:r w:rsidR="008822F6">
        <w:t>планировании</w:t>
      </w:r>
      <w:r w:rsidR="008822F6" w:rsidRPr="002E5D76">
        <w:t xml:space="preserve">, </w:t>
      </w:r>
      <w:r w:rsidRPr="00E1048B">
        <w:t>подготовк</w:t>
      </w:r>
      <w:r w:rsidR="008822F6">
        <w:t>е</w:t>
      </w:r>
      <w:r w:rsidRPr="00E1048B">
        <w:t xml:space="preserve"> и концепции проведения тридцать восьмого Совещания Сторон, в рамках которого будет отмечаться десятая годовщина принятия Кигалийской поправки к Протоколу. Она призвала 25 Сторон, которые еще не ратифицировали Кигалийскую поправку, сделать это, чтобы годовщину можно было отметить в атмосфере полного глобального единства.</w:t>
      </w:r>
    </w:p>
    <w:p w14:paraId="205B788A"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Впоследствии один представитель, отметив, что он обращался с просьбой предоставить ему слово по вопросу о назначении г-жи </w:t>
      </w:r>
      <w:proofErr w:type="spellStart"/>
      <w:r w:rsidRPr="00E1048B">
        <w:t>Мбулавы</w:t>
      </w:r>
      <w:proofErr w:type="spellEnd"/>
      <w:r w:rsidRPr="00E1048B">
        <w:t xml:space="preserve"> на место г-жи </w:t>
      </w:r>
      <w:proofErr w:type="spellStart"/>
      <w:r w:rsidRPr="00E1048B">
        <w:t>Гонасы</w:t>
      </w:r>
      <w:proofErr w:type="spellEnd"/>
      <w:r w:rsidRPr="00E1048B">
        <w:t xml:space="preserve">, запросил разъяснения относительно порядка назначения. Он указал, что в соответствии с правилом 26 правил процедуры совещаний Сторон Монреальского протокола по веществам, разрушающим озоновый слой, Рабочая группа открытого состава назначает своих сопредседателей; ни секретариат, ни изначально избранное лицо не могут принять решение о замене. При этом он подчеркнул, что, хотя у него нет никаких возражений против назначения г-жи </w:t>
      </w:r>
      <w:proofErr w:type="spellStart"/>
      <w:r w:rsidRPr="00E1048B">
        <w:t>Мбулавы</w:t>
      </w:r>
      <w:proofErr w:type="spellEnd"/>
      <w:r w:rsidRPr="00E1048B">
        <w:t xml:space="preserve">, процедуру важно прояснить на будущее. </w:t>
      </w:r>
    </w:p>
    <w:p w14:paraId="702C0A51" w14:textId="77777777" w:rsidR="009542CC" w:rsidRPr="00E1048B" w:rsidRDefault="009542CC" w:rsidP="00AF0481">
      <w:pPr>
        <w:pStyle w:val="Normalnumber"/>
        <w:numPr>
          <w:ilvl w:val="0"/>
          <w:numId w:val="4"/>
        </w:numPr>
        <w:tabs>
          <w:tab w:val="clear" w:pos="1247"/>
          <w:tab w:val="clear" w:pos="1814"/>
          <w:tab w:val="clear" w:pos="2381"/>
          <w:tab w:val="clear" w:pos="2948"/>
          <w:tab w:val="clear" w:pos="3515"/>
        </w:tabs>
        <w:spacing w:after="240"/>
        <w:ind w:left="1247" w:firstLine="0"/>
      </w:pPr>
      <w:r w:rsidRPr="00E1048B">
        <w:t xml:space="preserve">Соответственно, Рабочая группа открытого состава избрала г-жу </w:t>
      </w:r>
      <w:proofErr w:type="spellStart"/>
      <w:r w:rsidRPr="00E1048B">
        <w:t>Мбулаву</w:t>
      </w:r>
      <w:proofErr w:type="spellEnd"/>
      <w:r w:rsidRPr="00E1048B">
        <w:t xml:space="preserve"> на должность сопредседателя Рабочей группы.</w:t>
      </w:r>
    </w:p>
    <w:p w14:paraId="6494AA81" w14:textId="6C8DC18A" w:rsidR="009542CC" w:rsidRPr="00E1048B" w:rsidRDefault="00AF0481" w:rsidP="00AF0481">
      <w:pPr>
        <w:pStyle w:val="CH1"/>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9542CC" w:rsidRPr="00E1048B">
        <w:rPr>
          <w:bCs/>
          <w:lang w:val="ru-RU"/>
        </w:rPr>
        <w:t>II.</w:t>
      </w:r>
      <w:r w:rsidR="009542CC" w:rsidRPr="00E1048B">
        <w:rPr>
          <w:lang w:val="ru-RU"/>
        </w:rPr>
        <w:tab/>
      </w:r>
      <w:r w:rsidR="009542CC" w:rsidRPr="00E1048B">
        <w:rPr>
          <w:bCs/>
          <w:lang w:val="ru-RU"/>
        </w:rPr>
        <w:t>Организационные вопросы</w:t>
      </w:r>
    </w:p>
    <w:p w14:paraId="365DF20D" w14:textId="3E862AB7" w:rsidR="009542CC" w:rsidRPr="00E1048B" w:rsidRDefault="00AF0481" w:rsidP="00AF0481">
      <w:pPr>
        <w:pStyle w:val="CH2"/>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9542CC" w:rsidRPr="00E1048B">
        <w:rPr>
          <w:bCs/>
          <w:lang w:val="ru-RU"/>
        </w:rPr>
        <w:t>A.</w:t>
      </w:r>
      <w:r w:rsidR="009542CC" w:rsidRPr="00E1048B">
        <w:rPr>
          <w:lang w:val="ru-RU"/>
        </w:rPr>
        <w:tab/>
      </w:r>
      <w:r w:rsidR="009542CC" w:rsidRPr="00E1048B">
        <w:rPr>
          <w:bCs/>
          <w:lang w:val="ru-RU"/>
        </w:rPr>
        <w:t>Участники</w:t>
      </w:r>
    </w:p>
    <w:p w14:paraId="4D1BB8BC" w14:textId="595E9210"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Были представлены следующие Стороны Монреальского протокола: Австралия, Австрия, Азербайджан, Албания, Ангола, Аргентина, Армения, Бангладеш, Барбадос, Бахрейн, </w:t>
      </w:r>
      <w:r w:rsidRPr="00E1048B">
        <w:lastRenderedPageBreak/>
        <w:t>Белиз, Бельгия, Бенин, Босния и Герцеговина, Ботсвана, Бразилия, Бруней-Даруссалам, Буркина-Фасо, Бурунди, Бутан, Вануату, Вьетнам, Гаити, Гамбия, Гана, Гватемала, Гвинея</w:t>
      </w:r>
      <w:r w:rsidR="00AF0481" w:rsidRPr="00E1048B">
        <w:noBreakHyphen/>
      </w:r>
      <w:r w:rsidRPr="00E1048B">
        <w:t>Бисау, Германия, Гондурас, Гренада, Греция, Грузия, Дания, Джибути, Доминика, Доминиканская Республика, Европейский союз, Египет, Замбия, Зимбабве, Израиль, Индия, Индонезия, Иордания, Иран (Исламская Республика), Ирландия, Испания, Италия, Йемен, Казахстан, Камерун, Канада, Катар, Кения, Кипр, Китай, Колумбия, Корейская Народно</w:t>
      </w:r>
      <w:r w:rsidR="00AF0481" w:rsidRPr="00E1048B">
        <w:noBreakHyphen/>
      </w:r>
      <w:r w:rsidRPr="00E1048B">
        <w:t>Демократическая Республика, Коста-Рика, Кот-д’Ивуар, Куба, Кувейт, Кыргызстан, Латвия, Лесото, Либерия, Ливан, Ливия, Литва, Люксембург, Маврикий, Мавритания, Мадагаскар, Малави, Малайзия, Мальдивские Острова, Марокко, Мексика, Микронезия (Федеративные Штаты), Мозамбик, Монголия, Мьянма, Намибия, Нидерланды (Королевство), Нигерия, Никарагуа, Ниуэ, Новая Зеландия, Норвегия, Объединенная Республика Танзания, Оман, Острова Кука, Папуа – Новая Гвинея, Палау, Панама, Парагвай, Перу, Польша, Португалия, Республика Корея, Республика Молдова, Российская Федерация, Руанда, Сальвадор, Самоа, Сан-Томе и Принсипи, Саудовская Аравия, Северная Македония, Сейшельские Острова, Сенегал, Сент-Китс и Невис, Сент-Люсия, Сербия, Сирийская Арабская Республика, Словакия, Соединенное Королевство Великобритании и Северной Ирландии, Соединенные Штаты Америки, Соломоновы Острова, Сомали, Судан, Сьерра-Леоне, Таджикистан, Таиланд, Тимор-</w:t>
      </w:r>
      <w:proofErr w:type="spellStart"/>
      <w:r w:rsidRPr="00E1048B">
        <w:t>Лешти</w:t>
      </w:r>
      <w:proofErr w:type="spellEnd"/>
      <w:r w:rsidRPr="00E1048B">
        <w:t xml:space="preserve">, Того, Тринидад и Тобаго, Тувалу, Тунис, Туркменистан, Турция, Узбекистан, Украина, Уругвай, Фиджи, Филиппины, Финляндия, Франция, Центральноафриканская Республика, Чад, Черногория, Чехия, Чили, Швейцария, Швеция, Шри-Ланка, Эквадор, Эсватини, Эстония, Южная Африка, Южный Судан, Ямайка и Япония. </w:t>
      </w:r>
    </w:p>
    <w:p w14:paraId="3B8AE03C"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Были представлены следующие структуры, организации и специализированные учреждения Организации Объединенных Наций: Международная организация гражданской авиации; секретариат Базельской, Роттердамской и Стокгольмской конвенций; секретариат Многостороннего фонда для осуществления Монреальского протокола; Программа развития Организации Объединенных Наций; Программа Организации Объединенных Наций по окружающей среде; Организация Объединенных Наций по промышленному развитию; Всемирный банк и Всемирная метеорологическая организация. Были также представлены группы по оценке в рамках Монреальского протокола.</w:t>
      </w:r>
    </w:p>
    <w:p w14:paraId="59C932C4" w14:textId="1CFABD80"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В качестве наблюдателей были представлены следующие межправительственные, неправительственные, отраслевые, научные и другие органы</w:t>
      </w:r>
      <w:r w:rsidRPr="008573FF">
        <w:t>: «Эй-</w:t>
      </w:r>
      <w:proofErr w:type="spellStart"/>
      <w:r w:rsidRPr="008573FF">
        <w:t>гэс</w:t>
      </w:r>
      <w:proofErr w:type="spellEnd"/>
      <w:r w:rsidRPr="008573FF">
        <w:t xml:space="preserve"> интернешнл»; Альянс за ответственную атмосферную политику; Энергетический центр АСЕАН; Бразильская ассоциация по холодильной технике, кондиционированию воздуха, вентиляции и отоплению; Ассоциация компаний, занимающихся поставкой, упаковкой, рекуперацией и рециркуляцией охлаждающих веществ; «</w:t>
      </w:r>
      <w:proofErr w:type="spellStart"/>
      <w:r w:rsidRPr="008573FF">
        <w:t>Атмосфир</w:t>
      </w:r>
      <w:proofErr w:type="spellEnd"/>
      <w:r w:rsidRPr="008573FF">
        <w:t>»;</w:t>
      </w:r>
      <w:r w:rsidR="00BA4976">
        <w:t xml:space="preserve"> </w:t>
      </w:r>
      <w:r w:rsidR="00BA4976" w:rsidRPr="008573FF">
        <w:t>Лаборатория по сокращению выбросов углерода</w:t>
      </w:r>
      <w:r w:rsidRPr="008573FF">
        <w:t xml:space="preserve"> «</w:t>
      </w:r>
      <w:proofErr w:type="spellStart"/>
      <w:r w:rsidRPr="008573FF">
        <w:t>Кэрриер</w:t>
      </w:r>
      <w:proofErr w:type="spellEnd"/>
      <w:r w:rsidRPr="008573FF">
        <w:t xml:space="preserve"> </w:t>
      </w:r>
      <w:proofErr w:type="spellStart"/>
      <w:r w:rsidRPr="008573FF">
        <w:t>корпорэйшн</w:t>
      </w:r>
      <w:proofErr w:type="spellEnd"/>
      <w:r w:rsidRPr="008573FF">
        <w:t>»; «</w:t>
      </w:r>
      <w:proofErr w:type="spellStart"/>
      <w:r w:rsidRPr="008573FF">
        <w:t>Каскейд</w:t>
      </w:r>
      <w:proofErr w:type="spellEnd"/>
      <w:r w:rsidRPr="008573FF">
        <w:t xml:space="preserve"> </w:t>
      </w:r>
      <w:proofErr w:type="spellStart"/>
      <w:r w:rsidRPr="008573FF">
        <w:t>клаймэт</w:t>
      </w:r>
      <w:proofErr w:type="spellEnd"/>
      <w:r w:rsidRPr="008573FF">
        <w:t xml:space="preserve">»; Центр общей ответственности и технологических устремлений; </w:t>
      </w:r>
      <w:r w:rsidR="00BA4976" w:rsidRPr="008573FF">
        <w:t xml:space="preserve">Центр экологической справедливости и развития; </w:t>
      </w:r>
      <w:r w:rsidRPr="008573FF">
        <w:t>Центр автомобильных технологий и исследований Китая; Программа сотрудничества в области маркировки и стандартизации бытовых приборов; «Дайкин»; «</w:t>
      </w:r>
      <w:proofErr w:type="spellStart"/>
      <w:r w:rsidRPr="008573FF">
        <w:t>Данфосс</w:t>
      </w:r>
      <w:proofErr w:type="spellEnd"/>
      <w:r w:rsidRPr="008573FF">
        <w:t>» (Дания); Германское агентство по международному сотрудничеству (ГАМС); Агентство по расследованиям в области охраны окружающей среды; Европейская ассоциация монтажников холодильного оборудования и кондиционеров; Европейское партнерство по энергетике и окружающей среде; «</w:t>
      </w:r>
      <w:proofErr w:type="spellStart"/>
      <w:r w:rsidRPr="008573FF">
        <w:t>Фросткем</w:t>
      </w:r>
      <w:proofErr w:type="spellEnd"/>
      <w:r w:rsidRPr="008573FF">
        <w:t xml:space="preserve"> </w:t>
      </w:r>
      <w:proofErr w:type="spellStart"/>
      <w:r w:rsidRPr="008573FF">
        <w:t>глобал</w:t>
      </w:r>
      <w:proofErr w:type="spellEnd"/>
      <w:r w:rsidRPr="008573FF">
        <w:t>»; «</w:t>
      </w:r>
      <w:proofErr w:type="spellStart"/>
      <w:r w:rsidRPr="008573FF">
        <w:t>Гленкоу</w:t>
      </w:r>
      <w:proofErr w:type="spellEnd"/>
      <w:r w:rsidRPr="008573FF">
        <w:t xml:space="preserve"> </w:t>
      </w:r>
      <w:proofErr w:type="spellStart"/>
      <w:r w:rsidRPr="008573FF">
        <w:t>стрэтэджиз</w:t>
      </w:r>
      <w:proofErr w:type="spellEnd"/>
      <w:r w:rsidRPr="008573FF">
        <w:t xml:space="preserve">»; «Глобал </w:t>
      </w:r>
      <w:proofErr w:type="spellStart"/>
      <w:r w:rsidRPr="008573FF">
        <w:t>полиси</w:t>
      </w:r>
      <w:proofErr w:type="spellEnd"/>
      <w:r w:rsidRPr="008573FF">
        <w:t xml:space="preserve"> </w:t>
      </w:r>
      <w:proofErr w:type="spellStart"/>
      <w:r w:rsidRPr="008573FF">
        <w:t>ассошиэйтс</w:t>
      </w:r>
      <w:proofErr w:type="spellEnd"/>
      <w:r w:rsidRPr="008573FF">
        <w:t>»; фонд «Грин терр»; «</w:t>
      </w:r>
      <w:proofErr w:type="spellStart"/>
      <w:r w:rsidRPr="008573FF">
        <w:t>Гайдхаус</w:t>
      </w:r>
      <w:proofErr w:type="spellEnd"/>
      <w:r w:rsidRPr="008573FF">
        <w:t xml:space="preserve">» (Германия); «Гуджарат </w:t>
      </w:r>
      <w:proofErr w:type="spellStart"/>
      <w:r w:rsidRPr="008573FF">
        <w:t>флуорокемикалз</w:t>
      </w:r>
      <w:proofErr w:type="spellEnd"/>
      <w:r w:rsidRPr="008573FF">
        <w:t>»; Совет сотрудничества арабских государств Залива; «Ай-си-эф интернешнл»; «</w:t>
      </w:r>
      <w:proofErr w:type="spellStart"/>
      <w:r w:rsidRPr="008573FF">
        <w:t>Айфорест</w:t>
      </w:r>
      <w:proofErr w:type="spellEnd"/>
      <w:r w:rsidRPr="008573FF">
        <w:t xml:space="preserve">»; Институт энергетических и климатических стратегий; Институт прогресса в сфере глобальной декарбонизации; Институт управления и устойчивого развития; Международный координационный совет ассоциаций аэрокосмической промышленности; Международная энергетическая инициатива; Международный институт холода; Японская организация по экологически безопасному обращению с хладагентами; </w:t>
      </w:r>
      <w:r w:rsidR="006F2A2E" w:rsidRPr="008573FF">
        <w:t xml:space="preserve">Японская ассоциация производителей холодильного оборудования и систем кондиционирования воздуха; </w:t>
      </w:r>
      <w:r w:rsidRPr="008573FF">
        <w:t>«</w:t>
      </w:r>
      <w:proofErr w:type="spellStart"/>
      <w:r w:rsidRPr="008573FF">
        <w:t>Култорн</w:t>
      </w:r>
      <w:proofErr w:type="spellEnd"/>
      <w:r w:rsidRPr="008573FF">
        <w:t xml:space="preserve"> </w:t>
      </w:r>
      <w:proofErr w:type="spellStart"/>
      <w:r w:rsidRPr="008573FF">
        <w:t>груп</w:t>
      </w:r>
      <w:proofErr w:type="spellEnd"/>
      <w:r w:rsidRPr="008573FF">
        <w:t>»; «</w:t>
      </w:r>
      <w:proofErr w:type="spellStart"/>
      <w:r w:rsidRPr="008573FF">
        <w:t>Лабтек</w:t>
      </w:r>
      <w:proofErr w:type="spellEnd"/>
      <w:r w:rsidRPr="008573FF">
        <w:t xml:space="preserve"> интернешнл»; </w:t>
      </w:r>
      <w:proofErr w:type="spellStart"/>
      <w:r w:rsidRPr="008573FF">
        <w:t>Лехайский</w:t>
      </w:r>
      <w:proofErr w:type="spellEnd"/>
      <w:r w:rsidRPr="008573FF">
        <w:t xml:space="preserve"> университет; Лейденский университет; «</w:t>
      </w:r>
      <w:proofErr w:type="spellStart"/>
      <w:r w:rsidRPr="008573FF">
        <w:t>Мебром</w:t>
      </w:r>
      <w:proofErr w:type="spellEnd"/>
      <w:r w:rsidRPr="008573FF">
        <w:t xml:space="preserve"> </w:t>
      </w:r>
      <w:proofErr w:type="spellStart"/>
      <w:r w:rsidRPr="008573FF">
        <w:t>корпорэйшн</w:t>
      </w:r>
      <w:proofErr w:type="spellEnd"/>
      <w:r w:rsidRPr="008573FF">
        <w:t>»; Совет по охране природных ресурсов; «</w:t>
      </w:r>
      <w:proofErr w:type="spellStart"/>
      <w:r w:rsidRPr="008573FF">
        <w:t>Орбиа</w:t>
      </w:r>
      <w:proofErr w:type="spellEnd"/>
      <w:r w:rsidRPr="008573FF">
        <w:t xml:space="preserve"> флор энд </w:t>
      </w:r>
      <w:proofErr w:type="spellStart"/>
      <w:r w:rsidRPr="008573FF">
        <w:t>энерджи</w:t>
      </w:r>
      <w:proofErr w:type="spellEnd"/>
      <w:r w:rsidRPr="008573FF">
        <w:t xml:space="preserve"> </w:t>
      </w:r>
      <w:proofErr w:type="spellStart"/>
      <w:r w:rsidRPr="008573FF">
        <w:t>материэлз</w:t>
      </w:r>
      <w:proofErr w:type="spellEnd"/>
      <w:r w:rsidRPr="008573FF">
        <w:t>»; «</w:t>
      </w:r>
      <w:proofErr w:type="spellStart"/>
      <w:r w:rsidRPr="008573FF">
        <w:t>Экорешерш</w:t>
      </w:r>
      <w:proofErr w:type="spellEnd"/>
      <w:r w:rsidRPr="008573FF">
        <w:t>»; Центр зарубежного экологического сотрудничества; «</w:t>
      </w:r>
      <w:proofErr w:type="spellStart"/>
      <w:r w:rsidRPr="008573FF">
        <w:t>Рекулит</w:t>
      </w:r>
      <w:proofErr w:type="spellEnd"/>
      <w:r w:rsidRPr="008573FF">
        <w:t>»; «</w:t>
      </w:r>
      <w:proofErr w:type="spellStart"/>
      <w:r w:rsidRPr="008573FF">
        <w:t>Рефриджерант</w:t>
      </w:r>
      <w:proofErr w:type="spellEnd"/>
      <w:r w:rsidRPr="008573FF">
        <w:t xml:space="preserve"> </w:t>
      </w:r>
      <w:proofErr w:type="spellStart"/>
      <w:r w:rsidRPr="008573FF">
        <w:t>риклейм</w:t>
      </w:r>
      <w:proofErr w:type="spellEnd"/>
      <w:r w:rsidRPr="008573FF">
        <w:t xml:space="preserve"> Австралия»; «</w:t>
      </w:r>
      <w:proofErr w:type="spellStart"/>
      <w:r w:rsidRPr="008573FF">
        <w:t>Рефриджерантс</w:t>
      </w:r>
      <w:proofErr w:type="spellEnd"/>
      <w:r w:rsidRPr="008573FF">
        <w:t xml:space="preserve"> Австралия»; «</w:t>
      </w:r>
      <w:proofErr w:type="spellStart"/>
      <w:r w:rsidRPr="008573FF">
        <w:t>Силверлайнинг</w:t>
      </w:r>
      <w:proofErr w:type="spellEnd"/>
      <w:r w:rsidRPr="008573FF">
        <w:t>»; «</w:t>
      </w:r>
      <w:proofErr w:type="spellStart"/>
      <w:r w:rsidRPr="008573FF">
        <w:t>Солюшнс</w:t>
      </w:r>
      <w:proofErr w:type="spellEnd"/>
      <w:r w:rsidRPr="008573FF">
        <w:t xml:space="preserve"> фор аур </w:t>
      </w:r>
      <w:proofErr w:type="spellStart"/>
      <w:r w:rsidRPr="008573FF">
        <w:t>клаймэт</w:t>
      </w:r>
      <w:proofErr w:type="spellEnd"/>
      <w:r w:rsidRPr="008573FF">
        <w:t>»; организация «Эс-ар-эй-дев»; «Эс</w:t>
      </w:r>
      <w:r w:rsidR="008573FF">
        <w:noBreakHyphen/>
      </w:r>
      <w:r w:rsidRPr="008573FF">
        <w:t>ар-эф»; Комиссия по вопросам энергетики; и «</w:t>
      </w:r>
      <w:proofErr w:type="spellStart"/>
      <w:r w:rsidRPr="008573FF">
        <w:t>Трейдуотер</w:t>
      </w:r>
      <w:proofErr w:type="spellEnd"/>
      <w:r w:rsidRPr="008573FF">
        <w:t>». На совещании также</w:t>
      </w:r>
      <w:r w:rsidRPr="00E1048B">
        <w:t xml:space="preserve"> присутствовал независимый эксперт. </w:t>
      </w:r>
    </w:p>
    <w:p w14:paraId="16AD624C" w14:textId="1BDB37FD" w:rsidR="009542CC" w:rsidRPr="00E1048B" w:rsidRDefault="00AF0481" w:rsidP="00F66737">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9542CC" w:rsidRPr="00E1048B">
        <w:rPr>
          <w:bCs/>
          <w:lang w:val="ru-RU"/>
        </w:rPr>
        <w:t>B.</w:t>
      </w:r>
      <w:r w:rsidR="009542CC" w:rsidRPr="00E1048B">
        <w:rPr>
          <w:lang w:val="ru-RU"/>
        </w:rPr>
        <w:tab/>
      </w:r>
      <w:r w:rsidR="009542CC" w:rsidRPr="00E1048B">
        <w:rPr>
          <w:bCs/>
          <w:lang w:val="ru-RU"/>
        </w:rPr>
        <w:t>Утверждение повестки дня</w:t>
      </w:r>
    </w:p>
    <w:p w14:paraId="14A0AFF7" w14:textId="4DA73FF8"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Внося на рассмотрение предварительную повестку дня, содержащуюся в документе UNEP/OzL.Pro.WG.1/48/1, сопредседатель предложила представител</w:t>
      </w:r>
      <w:r w:rsidR="008822F6">
        <w:t>я</w:t>
      </w:r>
      <w:r w:rsidRPr="00E1048B">
        <w:t xml:space="preserve">м выдвигать на </w:t>
      </w:r>
      <w:r w:rsidRPr="00E1048B">
        <w:lastRenderedPageBreak/>
        <w:t>обсуждение любые дополнительные вопросы, которые они хотели бы рассмотреть на текущем совещании – в рамках подпункта 4 e) «Иные вопросы», если они непосредственно касаются Группы по техническому обзору и экономической оценке, или в рамках пункта 9 «Прочие вопросы».</w:t>
      </w:r>
    </w:p>
    <w:p w14:paraId="738B4C9A" w14:textId="6933ED4F"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предложил включить в </w:t>
      </w:r>
      <w:r w:rsidR="00236AE9">
        <w:t>под</w:t>
      </w:r>
      <w:r w:rsidRPr="00E1048B">
        <w:t>пункт 4 e) обсуждение оценки технологии уничтожения, которую его Сторона представила Группе по техническому обзору и экономической оценке.</w:t>
      </w:r>
    </w:p>
    <w:p w14:paraId="4206A0CA"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bookmarkStart w:id="2" w:name="_Hlk234814968"/>
      <w:r w:rsidRPr="00E1048B">
        <w:t>Ряд представителей просили включить в повестку дня пункт для обсуждения состава Группы восточноевропейских государств в рамках пункта 9, отметив, что будет представлен документ зала заседаний с проектом предложения. Еще один представитель, выступая от имени группы Сторон, выразил мнение, что текущее совещание не является подходящей площадкой для обсуждения этого вопроса, и заявил, что изложит эту позицию, когда тема будет обсуждаться позднее в ходе совещания.</w:t>
      </w:r>
    </w:p>
    <w:bookmarkEnd w:id="2"/>
    <w:p w14:paraId="13532DFE"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Еще один представитель просил добавить в повестку дня пункт для обсуждения воздействия закиси азота на озоновый слой, учитывая, что выбросы этого вещества в настоящее время сопоставимы с совокупными выбросами всех регулируемых озоноразрушающих веществ. Хотя закись азота была включена в приложение I к Венской конвенции об охране озонового слоя, она пока не регулируется в рамках Монреальского протокола. Он заявил, что представит документ зала заседаний, содержащий проект предложения о запросе дополнительной информации у Группы по научной оценке и Группы по техническому обзору и экономической оценке в целях содействия пониманию вопросов, связанных с выбросами и возможностями для их сокращения.</w:t>
      </w:r>
    </w:p>
    <w:p w14:paraId="79181D1F"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Другой представитель просила включить в повестку дня пункт, касающийся осуществления пунктов 2 и 4 статьи 2J Монреальского протокола в отношении Азербайджана. Неофициальная записка, подготовленная Азербайджаном для разъяснения этого предложения, приведена в приложении к документу UNEP/OzL.Pro.WG.1/48/2/Add.2.</w:t>
      </w:r>
      <w:bookmarkStart w:id="3" w:name="_Hlk234815895"/>
      <w:bookmarkStart w:id="4" w:name="_Hlk234816115"/>
      <w:bookmarkEnd w:id="3"/>
      <w:bookmarkEnd w:id="4"/>
    </w:p>
    <w:p w14:paraId="2D2222C7"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Рабочей группой была утверждена приведенная ниже повестка дня на основе предварительной повестки дня, изложенной в документе UNEP/OzL.Pro.WG.1/48/1:</w:t>
      </w:r>
    </w:p>
    <w:p w14:paraId="119CF128" w14:textId="0F5E9210" w:rsidR="009542CC" w:rsidRPr="00E1048B" w:rsidRDefault="009542CC" w:rsidP="00F66737">
      <w:pPr>
        <w:pStyle w:val="NormalNonumbe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1.</w:t>
      </w:r>
      <w:r w:rsidRPr="00E1048B">
        <w:rPr>
          <w:lang w:val="ru-RU"/>
        </w:rPr>
        <w:tab/>
        <w:t>Открытие совещания</w:t>
      </w:r>
    </w:p>
    <w:p w14:paraId="4CDC3C3C" w14:textId="77777777" w:rsidR="009542CC" w:rsidRPr="00E1048B" w:rsidRDefault="009542CC" w:rsidP="00F66737">
      <w:pPr>
        <w:pStyle w:val="NormalNonumbe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2.</w:t>
      </w:r>
      <w:r w:rsidRPr="00E1048B">
        <w:rPr>
          <w:lang w:val="ru-RU"/>
        </w:rPr>
        <w:tab/>
        <w:t>Организационные вопросы:</w:t>
      </w:r>
    </w:p>
    <w:p w14:paraId="37FFA62F" w14:textId="77777777" w:rsidR="009542CC" w:rsidRPr="00E1048B" w:rsidRDefault="009542CC" w:rsidP="00F66737">
      <w:pPr>
        <w:pStyle w:val="NormalNonumber"/>
        <w:numPr>
          <w:ilvl w:val="0"/>
          <w:numId w:val="1"/>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утверждение повестки дня;</w:t>
      </w:r>
    </w:p>
    <w:p w14:paraId="6597317D" w14:textId="4264697C" w:rsidR="009542CC" w:rsidRPr="00E1048B" w:rsidRDefault="009542CC" w:rsidP="00F66737">
      <w:pPr>
        <w:pStyle w:val="NormalNonumber"/>
        <w:numPr>
          <w:ilvl w:val="0"/>
          <w:numId w:val="1"/>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организация работы</w:t>
      </w:r>
    </w:p>
    <w:p w14:paraId="74526F22" w14:textId="43123005" w:rsidR="009542CC" w:rsidRPr="00E1048B" w:rsidRDefault="009542CC" w:rsidP="00F66737">
      <w:pPr>
        <w:pStyle w:val="NormalNonumbe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3.</w:t>
      </w:r>
      <w:r w:rsidRPr="00E1048B">
        <w:rPr>
          <w:lang w:val="ru-RU"/>
        </w:rPr>
        <w:tab/>
        <w:t xml:space="preserve">Доклад Группы по техническому обзору и экономической оценке о пополнении Многостороннего фонда для осуществления Монреальского протокола </w:t>
      </w:r>
      <w:r w:rsidR="004561C9" w:rsidRPr="004561C9">
        <w:rPr>
          <w:lang w:val="ru-RU"/>
        </w:rPr>
        <w:t>в период с 2027 по 2029 год</w:t>
      </w:r>
      <w:r w:rsidRPr="00E1048B">
        <w:rPr>
          <w:lang w:val="ru-RU"/>
        </w:rPr>
        <w:t xml:space="preserve"> (решение XXXVII/6)</w:t>
      </w:r>
    </w:p>
    <w:p w14:paraId="197E6CAE" w14:textId="77777777" w:rsidR="009542CC" w:rsidRPr="00E1048B" w:rsidRDefault="009542CC" w:rsidP="00F66737">
      <w:pPr>
        <w:pStyle w:val="NormalNonumbe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4.</w:t>
      </w:r>
      <w:r w:rsidRPr="00E1048B">
        <w:rPr>
          <w:lang w:val="ru-RU"/>
        </w:rPr>
        <w:tab/>
        <w:t>Сообщения Группы по техническому обзору и экономической оценке, посвященные ее докладу о ходе работы (2026 год), и обсуждения, касающиеся:</w:t>
      </w:r>
    </w:p>
    <w:p w14:paraId="221C1652" w14:textId="77777777" w:rsidR="009542CC" w:rsidRPr="00E1048B" w:rsidRDefault="009542CC" w:rsidP="00F66737">
      <w:pPr>
        <w:pStyle w:val="NormalNonumber"/>
        <w:numPr>
          <w:ilvl w:val="0"/>
          <w:numId w:val="2"/>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галона 1301 и его дальнейшего использования в авиационном секторе; обращения с другими регулируемыми веществами, используемыми для пожаротушения (решение XXXVII/4);</w:t>
      </w:r>
    </w:p>
    <w:p w14:paraId="2A9109BA" w14:textId="77777777" w:rsidR="009542CC" w:rsidRPr="00E1048B" w:rsidRDefault="009542CC" w:rsidP="00F66737">
      <w:pPr>
        <w:pStyle w:val="NormalNonumber"/>
        <w:numPr>
          <w:ilvl w:val="0"/>
          <w:numId w:val="2"/>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дозированных ингаляторов с пропеллентами с низким потенциалом глобального потепления (решение XXXVI/6);</w:t>
      </w:r>
    </w:p>
    <w:p w14:paraId="192EF86B" w14:textId="77777777" w:rsidR="009542CC" w:rsidRPr="00E1048B" w:rsidRDefault="009542CC" w:rsidP="00F66737">
      <w:pPr>
        <w:pStyle w:val="NormalNonumber"/>
        <w:numPr>
          <w:ilvl w:val="0"/>
          <w:numId w:val="2"/>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вариантов организации Группы и ее комитетов по техническим вариантам замены (решение XXXV/20);</w:t>
      </w:r>
    </w:p>
    <w:p w14:paraId="39FCDE2A" w14:textId="77777777" w:rsidR="009542CC" w:rsidRPr="00E1048B" w:rsidRDefault="009542CC" w:rsidP="00F66737">
      <w:pPr>
        <w:pStyle w:val="NormalNonumber"/>
        <w:numPr>
          <w:ilvl w:val="0"/>
          <w:numId w:val="2"/>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изменений в членском составе Группы;</w:t>
      </w:r>
    </w:p>
    <w:p w14:paraId="34E3BB10" w14:textId="75B9B50C" w:rsidR="009542CC" w:rsidRPr="00E1048B" w:rsidRDefault="009542CC" w:rsidP="00F66737">
      <w:pPr>
        <w:pStyle w:val="NormalNonumber"/>
        <w:numPr>
          <w:ilvl w:val="0"/>
          <w:numId w:val="2"/>
        </w:numPr>
        <w:tabs>
          <w:tab w:val="clear" w:pos="624"/>
          <w:tab w:val="clear" w:pos="1247"/>
          <w:tab w:val="clear" w:pos="1871"/>
          <w:tab w:val="clear" w:pos="2495"/>
          <w:tab w:val="clear" w:pos="3119"/>
          <w:tab w:val="clear" w:pos="3742"/>
          <w:tab w:val="clear" w:pos="4366"/>
          <w:tab w:val="clear" w:pos="4990"/>
        </w:tabs>
        <w:ind w:left="3119" w:hanging="624"/>
        <w:rPr>
          <w:lang w:val="ru-RU"/>
        </w:rPr>
      </w:pPr>
      <w:r w:rsidRPr="00E1048B">
        <w:rPr>
          <w:lang w:val="ru-RU"/>
        </w:rPr>
        <w:t>иных вопросов</w:t>
      </w:r>
    </w:p>
    <w:p w14:paraId="1F8C2B6F" w14:textId="37027F82"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spacing w:after="116"/>
        <w:ind w:left="2495" w:hanging="624"/>
        <w:rPr>
          <w:lang w:val="ru-RU"/>
        </w:rPr>
      </w:pPr>
      <w:r w:rsidRPr="00E1048B">
        <w:rPr>
          <w:lang w:val="ru-RU"/>
        </w:rPr>
        <w:t>Усиление регионального атмосферного мониторинга веществ, регулируемых в рамках Монреальского протокола (решение XXXVII/1)</w:t>
      </w:r>
    </w:p>
    <w:p w14:paraId="5F6AF3E6" w14:textId="00269945"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Обеспечение устойчивости деятельности в рамках Монреальского протокола (решение XXXVII/7)</w:t>
      </w:r>
    </w:p>
    <w:p w14:paraId="251BAFB3" w14:textId="3B292EF6"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Дальнейшее укрепление учреждений Монреальского протокола (документ UNEP/OzL.Pro.37/9, пункт 166)</w:t>
      </w:r>
    </w:p>
    <w:p w14:paraId="32302425" w14:textId="4B20E7B5"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lastRenderedPageBreak/>
        <w:tab/>
        <w:t>Ход подготовки к тридцать восьмому Совещанию Сторон, которое состоится в Кигали</w:t>
      </w:r>
    </w:p>
    <w:p w14:paraId="7BE7692B" w14:textId="57ACD08F"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Прочие вопросы</w:t>
      </w:r>
    </w:p>
    <w:p w14:paraId="77BA8CA1" w14:textId="0DE8F970"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Принятие доклада о работе совещания</w:t>
      </w:r>
    </w:p>
    <w:p w14:paraId="4AB1FFFD" w14:textId="77777777" w:rsidR="009542CC" w:rsidRPr="00E1048B" w:rsidRDefault="009542CC" w:rsidP="00F66737">
      <w:pPr>
        <w:pStyle w:val="NormalNonumber"/>
        <w:numPr>
          <w:ilvl w:val="0"/>
          <w:numId w:val="3"/>
        </w:numPr>
        <w:tabs>
          <w:tab w:val="clear" w:pos="624"/>
          <w:tab w:val="clear" w:pos="1247"/>
          <w:tab w:val="clear" w:pos="1871"/>
          <w:tab w:val="clear" w:pos="2495"/>
          <w:tab w:val="clear" w:pos="3119"/>
          <w:tab w:val="clear" w:pos="3742"/>
          <w:tab w:val="clear" w:pos="4366"/>
          <w:tab w:val="clear" w:pos="4990"/>
        </w:tabs>
        <w:ind w:left="2495" w:hanging="624"/>
        <w:rPr>
          <w:lang w:val="ru-RU"/>
        </w:rPr>
      </w:pPr>
      <w:r w:rsidRPr="00E1048B">
        <w:rPr>
          <w:lang w:val="ru-RU"/>
        </w:rPr>
        <w:t xml:space="preserve">Закрытие совещания. </w:t>
      </w:r>
    </w:p>
    <w:p w14:paraId="29B65E5C"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В рамках подпункта 4 e) повестки дня «Иные вопросы» Рабочая группа постановила рассмотреть вопрос об оценке технологии уничтожения.</w:t>
      </w:r>
    </w:p>
    <w:p w14:paraId="544EB3E8"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рамках пункта 9 повестки дня «Прочие вопросы» Рабочая группа постановила рассмотреть три подпункта: участие государств Центральной Азии в Группе восточноевропейских государств; закись азота; а также осуществление пунктов 2 и 4 статьи 2J Монреальского протокола в отношении Азербайджана. </w:t>
      </w:r>
    </w:p>
    <w:p w14:paraId="6A58A5DE" w14:textId="7BCD59D9" w:rsidR="009542CC" w:rsidRPr="00E1048B" w:rsidRDefault="00DC219F" w:rsidP="00F66737">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9542CC" w:rsidRPr="00E1048B">
        <w:rPr>
          <w:bCs/>
          <w:lang w:val="ru-RU"/>
        </w:rPr>
        <w:t>C.</w:t>
      </w:r>
      <w:r w:rsidR="009542CC" w:rsidRPr="00E1048B">
        <w:rPr>
          <w:lang w:val="ru-RU"/>
        </w:rPr>
        <w:tab/>
      </w:r>
      <w:r w:rsidR="009542CC" w:rsidRPr="00E1048B">
        <w:rPr>
          <w:bCs/>
          <w:lang w:val="ru-RU"/>
        </w:rPr>
        <w:t>Организация работы</w:t>
      </w:r>
    </w:p>
    <w:p w14:paraId="65E026A3" w14:textId="175B3FCB" w:rsidR="009542CC" w:rsidRPr="00E1048B" w:rsidRDefault="009542CC" w:rsidP="00DC219F">
      <w:pPr>
        <w:pStyle w:val="Normalnumber"/>
        <w:numPr>
          <w:ilvl w:val="0"/>
          <w:numId w:val="4"/>
        </w:numPr>
        <w:tabs>
          <w:tab w:val="clear" w:pos="1247"/>
          <w:tab w:val="clear" w:pos="1814"/>
          <w:tab w:val="clear" w:pos="2381"/>
          <w:tab w:val="clear" w:pos="2948"/>
          <w:tab w:val="clear" w:pos="3515"/>
        </w:tabs>
        <w:spacing w:after="240"/>
        <w:ind w:left="1247" w:firstLine="0"/>
      </w:pPr>
      <w:r w:rsidRPr="00E1048B">
        <w:t xml:space="preserve">Рабочая группа согласилась с порядком организации работы, предложенным сопредседателем, а именно: при необходимости формировать контактные и неофициальные группы и избегать, насколько это возможно, проведения совещаний контактных и неофициальных групп параллельно друг с другом или с пленарными заседаниями. Утренние пленарные сессии будут проводиться с 10:00 до 13:00, а дневные сессии </w:t>
      </w:r>
      <w:r w:rsidR="00DC219F" w:rsidRPr="00E1048B">
        <w:t>–</w:t>
      </w:r>
      <w:r w:rsidRPr="00E1048B">
        <w:t xml:space="preserve"> с 15:00 до 18:00.</w:t>
      </w:r>
    </w:p>
    <w:p w14:paraId="6337381E" w14:textId="52A26A77" w:rsidR="009542CC" w:rsidRPr="00E1048B" w:rsidRDefault="00DC219F" w:rsidP="00F66737">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9542CC" w:rsidRPr="00E1048B">
        <w:rPr>
          <w:bCs/>
          <w:lang w:val="ru-RU"/>
        </w:rPr>
        <w:t>III.</w:t>
      </w:r>
      <w:r w:rsidR="009542CC" w:rsidRPr="00E1048B">
        <w:rPr>
          <w:lang w:val="ru-RU"/>
        </w:rPr>
        <w:tab/>
      </w:r>
      <w:r w:rsidR="009542CC" w:rsidRPr="00E1048B">
        <w:rPr>
          <w:bCs/>
          <w:lang w:val="ru-RU"/>
        </w:rPr>
        <w:t xml:space="preserve">Доклад Группы по техническому обзору и экономической оценке о пополнении Многостороннего фонда для осуществления Монреальского протокола </w:t>
      </w:r>
      <w:r w:rsidR="004561C9" w:rsidRPr="00B3193F">
        <w:rPr>
          <w:color w:val="333333"/>
          <w:sz w:val="26"/>
          <w:szCs w:val="26"/>
          <w:shd w:val="clear" w:color="auto" w:fill="FFFFFF"/>
          <w:lang w:val="ru-RU"/>
        </w:rPr>
        <w:t>в период с 2027 по 2029 год</w:t>
      </w:r>
      <w:r w:rsidR="009542CC" w:rsidRPr="00E1048B">
        <w:rPr>
          <w:bCs/>
          <w:lang w:val="ru-RU"/>
        </w:rPr>
        <w:t xml:space="preserve"> (решение XXXVII/6)</w:t>
      </w:r>
    </w:p>
    <w:p w14:paraId="5870CF3B"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Внося на рассмотрение этот пункт повестки дня, сопредседатель напомнила, что в соответствии с решением XXXVII/6 Группа по техническому обзору и экономической оценке создала целевую группу для подготовки доклада о потребностях в финансировании для пополнения Многостороннего фонда для осуществления Монреальского протокола на период 2027–2029 годов. Доклад о пополнении доступен на портале совещания с середины мая 2026 года. Краткое изложение доклада целевой группы приведено в добавлении к записке секретариата о вопросах для обсуждения Рабочей группой открытого состава Сторон Монреальского протокола на ее сорок восьмом совещании и информации к ее сведению (UNEP/OzL.Pro.WG.1/48/2/Add.1, пункты 4–21), а полный текст краткого изложения имеется в приложении I к этой записке. Поблагодарив Группу и целевую группу за их упорную работу и самоотдачу, она предложила целевой группе представить подготовленный ею доклад. </w:t>
      </w:r>
    </w:p>
    <w:p w14:paraId="7ACAFFB1" w14:textId="34CC8C24" w:rsidR="009542CC" w:rsidRPr="00E1048B" w:rsidRDefault="002A129D" w:rsidP="00F66737">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9542CC" w:rsidRPr="00E1048B">
        <w:rPr>
          <w:bCs/>
          <w:lang w:val="ru-RU"/>
        </w:rPr>
        <w:t>A.</w:t>
      </w:r>
      <w:r w:rsidR="009542CC" w:rsidRPr="00E1048B">
        <w:rPr>
          <w:lang w:val="ru-RU"/>
        </w:rPr>
        <w:tab/>
      </w:r>
      <w:r w:rsidR="009542CC" w:rsidRPr="00E1048B">
        <w:rPr>
          <w:bCs/>
          <w:lang w:val="ru-RU"/>
        </w:rPr>
        <w:t>Сообщение</w:t>
      </w:r>
    </w:p>
    <w:p w14:paraId="58C033C4" w14:textId="42F152E1"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Доклад представили Белла </w:t>
      </w:r>
      <w:proofErr w:type="spellStart"/>
      <w:r w:rsidRPr="00E1048B">
        <w:t>Маранион</w:t>
      </w:r>
      <w:proofErr w:type="spellEnd"/>
      <w:r w:rsidRPr="00E1048B">
        <w:t xml:space="preserve"> и </w:t>
      </w:r>
      <w:proofErr w:type="spellStart"/>
      <w:r w:rsidRPr="00E1048B">
        <w:t>Суэли</w:t>
      </w:r>
      <w:proofErr w:type="spellEnd"/>
      <w:r w:rsidRPr="00E1048B">
        <w:t xml:space="preserve"> Карвалью, сопредседатели</w:t>
      </w:r>
      <w:r w:rsidR="006F2A2E" w:rsidRPr="00E901DE">
        <w:t xml:space="preserve"> </w:t>
      </w:r>
      <w:r w:rsidR="006F2A2E">
        <w:t>целевой группы</w:t>
      </w:r>
      <w:r w:rsidRPr="00E1048B">
        <w:t xml:space="preserve"> </w:t>
      </w:r>
      <w:proofErr w:type="spellStart"/>
      <w:r w:rsidRPr="00E1048B">
        <w:t>Группы</w:t>
      </w:r>
      <w:proofErr w:type="spellEnd"/>
      <w:r w:rsidRPr="00E1048B">
        <w:t xml:space="preserve"> по техническому обзору и экономической оценке, а также Бассам </w:t>
      </w:r>
      <w:r w:rsidR="00187D30">
        <w:t>аль-А</w:t>
      </w:r>
      <w:r w:rsidR="00187D30" w:rsidRPr="00E1048B">
        <w:t xml:space="preserve">сад </w:t>
      </w:r>
      <w:r w:rsidRPr="00E1048B">
        <w:t>и Омар Абдель</w:t>
      </w:r>
      <w:r w:rsidR="00A664D6">
        <w:t>-Азиз</w:t>
      </w:r>
      <w:r w:rsidRPr="00E1048B">
        <w:t>, члены целевой группы. Краткое изложение этого сообщения приводится в приложении III к настоящему докладу без официального редактирования.</w:t>
      </w:r>
    </w:p>
    <w:p w14:paraId="608ED9D1" w14:textId="726A2FD3" w:rsidR="009542CC" w:rsidRPr="00E1048B" w:rsidRDefault="002A129D" w:rsidP="00F66737">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9542CC" w:rsidRPr="00E1048B">
        <w:rPr>
          <w:bCs/>
          <w:lang w:val="ru-RU"/>
        </w:rPr>
        <w:t>B.</w:t>
      </w:r>
      <w:r w:rsidR="009542CC" w:rsidRPr="00E1048B">
        <w:rPr>
          <w:lang w:val="ru-RU"/>
        </w:rPr>
        <w:tab/>
      </w:r>
      <w:r w:rsidR="009542CC" w:rsidRPr="00E1048B">
        <w:rPr>
          <w:bCs/>
          <w:lang w:val="ru-RU"/>
        </w:rPr>
        <w:t>Сессия вопросов и ответов</w:t>
      </w:r>
    </w:p>
    <w:p w14:paraId="63470B2E" w14:textId="1C9B4E01"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В ходе последовавшей сессии вопросов и ответов г-жа Карвалью и г-н Абдель</w:t>
      </w:r>
      <w:r w:rsidR="00A664D6">
        <w:t>-А</w:t>
      </w:r>
      <w:r w:rsidRPr="00E1048B">
        <w:t xml:space="preserve">зиз отметили, что расчеты целевой группы по пополнению были выполнены в соответствии с кругом ведения целевой группы, который предусматривал использование модели соблюдения. В расчетах также были учтены затраты, связанные с вопросами, рассматривавшимися в предыдущих решениях Исполнительного комитета, в частности, касающиеся стран с малыми объемами потребления, а также энергоэффективности и механизма финансирования экспериментальных проектов по мониторингу регулируемых веществ в атмосфере. В то же время целевая группа признала важными и отдельно рассмотрела в докладе некоторые вопросы, не связанные с соблюдением, такие как цифровизация, регулирование жизненного цикла хладагентов и энергоэффективность. Затраты на управление проектами не были включены в расчет ввиду колебаний утвержденных сумм. Ничто не препятствует рассмотрению любого из вышеупомянутых вопросов в дополнительном докладе, если Рабочая группа сочтет это целесообразным, и г-жа </w:t>
      </w:r>
      <w:proofErr w:type="spellStart"/>
      <w:r w:rsidRPr="00E1048B">
        <w:t>Маранион</w:t>
      </w:r>
      <w:proofErr w:type="spellEnd"/>
      <w:r w:rsidRPr="00E1048B">
        <w:t xml:space="preserve"> заявила, что целевая группа будет признательна за рекомендации Сторон относительно того, как это сделать. </w:t>
      </w:r>
    </w:p>
    <w:p w14:paraId="3784BEE6" w14:textId="790C4DB3"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lastRenderedPageBreak/>
        <w:t xml:space="preserve">В рамках модели соблюдения от целевой группы требовалось следовать решениям Исполнительного комитета, касавшимся системы расчета затрат, применяемой к странам с малыми объемами потребления. Хотя на этапе II планов выполнения Кигалийской поправки в отношении гидрофторуглеродов (ГФУ) в 2028 году был предусмотрен пересмотр руководящих принципов для расчета затрат, целевая группа не пыталась прогнозировать возможные изменения и их потенциальные последствия. По словам г-жи Карвалью, целевая группа постаралась показать в своем докладе, что объемы финансирования окажутся недостаточными для стран с малыми объемами потребления, поскольку основная часть имеющегося финансирования уходит на фиксированные расходы и подготовку кадров. В результате не хватает средств на другие мероприятия, такие как демонстрационные проекты </w:t>
      </w:r>
      <w:r w:rsidR="006F2A2E">
        <w:t>и</w:t>
      </w:r>
      <w:r w:rsidR="006F2A2E" w:rsidRPr="00E1048B">
        <w:t xml:space="preserve"> </w:t>
      </w:r>
      <w:r w:rsidRPr="00E1048B">
        <w:t>дальнейшие меры по созданию потенциала. Один представитель заявил о намерении его Стороны представить документ зала заседаний по вопросу об увеличении затрат, с которым сталкиваются страны с малыми объемами потребления, а также о проблемах, проанализированных в главе 6 доклада целевой группы. Г-жа Карвалью предложила провести двустороннее обсуждение с представителем, который хотел бы больше узнать о том, как в модели соблюдения учитывается фактор уязвимости.</w:t>
      </w:r>
    </w:p>
    <w:p w14:paraId="7A9C5990"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Применяя модель соблюдения, целевая группа пришла к выводу, что ей следует рассчитывать целевые показатели сокращения, используя базовый уровень потребления ГФУ, включая компонент потребления гидрохлорфторуглеродов (ГХФУ), а не данные о фактическом потреблении. И г-жа Карвалью, и г-жа </w:t>
      </w:r>
      <w:proofErr w:type="spellStart"/>
      <w:r w:rsidRPr="00E1048B">
        <w:t>Маранион</w:t>
      </w:r>
      <w:proofErr w:type="spellEnd"/>
      <w:r w:rsidRPr="00E1048B">
        <w:t xml:space="preserve"> отметили, что целевая группа будет признательна за рекомендации относительно того, как применить иной подход при подготовке дополнительного доклада. </w:t>
      </w:r>
    </w:p>
    <w:p w14:paraId="5B24EB9D" w14:textId="0DD13755"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выражение обеспокоенности относительно того, что Стороны, действующие в рамках статьи 5, которые входят в группу 1, не будут располагать достаточным финансированием для осуществления этапа I их планов выполнения Кигалийской поправки, г</w:t>
      </w:r>
      <w:r w:rsidR="002A129D" w:rsidRPr="00E1048B">
        <w:noBreakHyphen/>
      </w:r>
      <w:r w:rsidRPr="00E1048B">
        <w:t xml:space="preserve">жа Карвалью напомнила, что целевая группа провела оценку объема финансирования, необходимого на протяжении трех трехгодичных периодов. Доля этого общего объема финансирования, выделяемая на каждый трехгодичный период, может быть скорректирована по просьбе Сторон и при наличии указаний относительно порядка проведения такой корректировки. </w:t>
      </w:r>
    </w:p>
    <w:p w14:paraId="4239B4CF" w14:textId="0277704F" w:rsidR="00325991" w:rsidRPr="00E1048B" w:rsidRDefault="006F2A2E" w:rsidP="00F66737">
      <w:pPr>
        <w:pStyle w:val="Normalnumber"/>
        <w:numPr>
          <w:ilvl w:val="0"/>
          <w:numId w:val="4"/>
        </w:numPr>
        <w:tabs>
          <w:tab w:val="clear" w:pos="1247"/>
          <w:tab w:val="clear" w:pos="1814"/>
          <w:tab w:val="clear" w:pos="2381"/>
          <w:tab w:val="clear" w:pos="2948"/>
          <w:tab w:val="clear" w:pos="3515"/>
        </w:tabs>
        <w:ind w:left="1247" w:firstLine="0"/>
      </w:pPr>
      <w:r>
        <w:t xml:space="preserve">Целевая группа использовала показатель в 15 процентов в качестве процента вычета применительно к предприятиям, находящимся в иностранной собственности и не </w:t>
      </w:r>
      <w:r w:rsidR="00D20BBB">
        <w:t>отвечающих критериям</w:t>
      </w:r>
      <w:r>
        <w:t xml:space="preserve">, поскольку именно этот показатель применялся в предыдущих докладах о пополнении. В целях определения более подходящей процентной доли она провела консультации с секретариатом Многостороннего фонда, </w:t>
      </w:r>
      <w:r w:rsidR="00D20BBB">
        <w:t>но столкнулась с препятствиями</w:t>
      </w:r>
      <w:r w:rsidR="00D20BBB" w:rsidRPr="001D1B05">
        <w:t>,</w:t>
      </w:r>
      <w:r w:rsidR="00D20BBB">
        <w:t xml:space="preserve"> вызванными нехваткой данных</w:t>
      </w:r>
      <w:r>
        <w:t>. Секретариат Многостороннего фонда счел показатель в 15</w:t>
      </w:r>
      <w:r w:rsidR="001D1B05">
        <w:t> </w:t>
      </w:r>
      <w:r>
        <w:t>процентов обоснованным для использования в качестве допущения.</w:t>
      </w:r>
    </w:p>
    <w:p w14:paraId="326FBB14" w14:textId="66A9A58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 о количестве Сторон, которые еще не ратифицировали Кигалийскую поправку, г-жа Карвалью сообщила, что по состоянию на 8 апреля 2026 года в общей сложности 19 Сторон, действующих в рамках статьи 5, еще не ратифицировали этот документ. Она отметила, что обновленный показатель будет проверен. В ответ на просьбу предоставить дополнительную информацию о перспективах ратификации документа этими Сторонами, г</w:t>
      </w:r>
      <w:r w:rsidR="002A129D" w:rsidRPr="00E1048B">
        <w:noBreakHyphen/>
      </w:r>
      <w:r w:rsidRPr="00E1048B">
        <w:t>жа</w:t>
      </w:r>
      <w:r w:rsidR="002A129D" w:rsidRPr="00E1048B">
        <w:t> </w:t>
      </w:r>
      <w:proofErr w:type="spellStart"/>
      <w:r w:rsidRPr="00E1048B">
        <w:t>Маранион</w:t>
      </w:r>
      <w:proofErr w:type="spellEnd"/>
      <w:r w:rsidRPr="00E1048B">
        <w:t xml:space="preserve"> отметила, что целевая группа, возможно, проявила излишний оптимизм в своем прогнозе о том, что все Стороны ратифицируют Поправку к концу следующего трехгодичного периода и приобретут таким образом право на получение финансирования. Этот прогноз может быть пересмотрен.</w:t>
      </w:r>
    </w:p>
    <w:p w14:paraId="0368CE54" w14:textId="25DA7BB9"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Что касается вопроса о том, является ли региональное сотрудничество более эффективным, чем индивидуальная поддержка отдельных групп, в том числе стран с малыми объемами потребления, г-н </w:t>
      </w:r>
      <w:r w:rsidR="00187D30">
        <w:t>аль-Асад</w:t>
      </w:r>
      <w:r w:rsidR="00187D30" w:rsidRPr="00E1048B">
        <w:t xml:space="preserve"> </w:t>
      </w:r>
      <w:r w:rsidRPr="00E1048B">
        <w:t xml:space="preserve">пояснил, что в Исполнительном комитете продолжаются обсуждения по вопросу о региональных центрах, региональных испытательных центрах </w:t>
      </w:r>
      <w:r w:rsidR="00D20BBB">
        <w:t xml:space="preserve">и </w:t>
      </w:r>
      <w:r w:rsidRPr="00E1048B">
        <w:t xml:space="preserve">центрах передового опыта. При наличии дополнительной информации по этой теме она будет включена в дополнительный доклад. </w:t>
      </w:r>
    </w:p>
    <w:p w14:paraId="66C01ABF" w14:textId="3E823BED"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Г-н Абдель</w:t>
      </w:r>
      <w:r w:rsidR="00A664D6">
        <w:t>-А</w:t>
      </w:r>
      <w:r w:rsidRPr="00E1048B">
        <w:t xml:space="preserve">зиз подтвердил, что подготовка по вопросам техники безопасности и обращения с горючими веществами, связанным с некоторыми альтернативами ГФУ, включена в планы регулирования поэтапного вывода из обращения ГХФУ и планы выполнения Кигалийской поправки в тех случаях, когда Сторона выбирает такие альтернативы, и что мероприятия в рамках этих планов учтены в модели соблюдения. </w:t>
      </w:r>
    </w:p>
    <w:p w14:paraId="72CEEDFF" w14:textId="3DD66CE0"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Что касается использования в одном сценарии исторических пороговых значений </w:t>
      </w:r>
      <w:r w:rsidR="00517C89">
        <w:t>затрато</w:t>
      </w:r>
      <w:r w:rsidRPr="00E1048B">
        <w:t xml:space="preserve">эффективности в производственных секторах и применения в другом сценарии </w:t>
      </w:r>
      <w:r w:rsidRPr="00E1048B">
        <w:lastRenderedPageBreak/>
        <w:t xml:space="preserve">пороговых значений </w:t>
      </w:r>
      <w:r w:rsidR="00517C89">
        <w:t>затрато</w:t>
      </w:r>
      <w:r w:rsidRPr="00E1048B">
        <w:t>эффективности, установленных в руководящих принципах для расчета затрат, связанных с ГХФУ, то целевая группа признала, что эти два подхода, возможно, недостаточно отличаются друг от друга, и подробно рассмотрела этот вопрос в приложении 2L к своему докладу.</w:t>
      </w:r>
    </w:p>
    <w:p w14:paraId="078D3CF6" w14:textId="660A4C0E"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Целевая группа ранее рассматривала возможность использования показателей </w:t>
      </w:r>
      <w:r w:rsidR="00922BD5">
        <w:t>затрато</w:t>
      </w:r>
      <w:r w:rsidRPr="00E1048B">
        <w:t>эффективности для ГХФУ в качестве ориентировочных для перевода на ГФУ, но отказалась от нее, так как имеющиеся данные, при всей их ограниченности, свидетельствовали о более высоких затратах применительно к ГФУ, в зависимости от использованной технологии. По мере того как Исполнительный комитет будет далее финансировать планы выполнения Кигалийской поправки, появятся дополнительные данные.</w:t>
      </w:r>
    </w:p>
    <w:p w14:paraId="50685D71" w14:textId="2DE671A9"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отношении предложения применить иной подход к оценке </w:t>
      </w:r>
      <w:r w:rsidR="00922BD5">
        <w:t>затрато</w:t>
      </w:r>
      <w:r w:rsidRPr="00E1048B">
        <w:t>эффективности в случае Стороны с наибольшими объемами потребления г-жа Карвалью заявила, что целевая группа не располагает ресурсами, необходимыми для проведения исследований с использованием большого числа баз данных, и поэтому она изучила общедоступные документы. Используя ограниченную информацию, она пыталась установить величину, применимую ко всем Сторонам. В случае если целевой группе будет предложено применить иной подход, основанный на фактическом объеме финансирования, полученного в последние годы, в круг ведения целевой группы необходимо будет включить соответствующие руководящие указания.</w:t>
      </w:r>
    </w:p>
    <w:p w14:paraId="4ED59B1B" w14:textId="2C87F99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Г-н </w:t>
      </w:r>
      <w:r w:rsidR="00187D30">
        <w:t>аль-Асад</w:t>
      </w:r>
      <w:r w:rsidRPr="00E1048B">
        <w:t xml:space="preserve">, отвечая на вопрос о применении к этапу II показателей </w:t>
      </w:r>
      <w:r w:rsidR="00A05F17">
        <w:t>затрато</w:t>
      </w:r>
      <w:r w:rsidRPr="00E1048B">
        <w:t>эффективности, использовавшихся на этапе I, сообщил, что целевая группа не рассматривала каких-либо иных подходов.</w:t>
      </w:r>
    </w:p>
    <w:p w14:paraId="73AC3997" w14:textId="19311E1F"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В ответ на вопрос о том, насколько сценарии финансирования согласуются с реальными графиками выплат и потребностями Сторон в денежных средствах, г-жа Карвалью и г</w:t>
      </w:r>
      <w:r w:rsidR="00500F73" w:rsidRPr="00E1048B">
        <w:noBreakHyphen/>
      </w:r>
      <w:r w:rsidRPr="00E1048B">
        <w:t>жа</w:t>
      </w:r>
      <w:r w:rsidR="00500F73" w:rsidRPr="00E1048B">
        <w:t> </w:t>
      </w:r>
      <w:proofErr w:type="spellStart"/>
      <w:r w:rsidRPr="00E1048B">
        <w:t>Маранион</w:t>
      </w:r>
      <w:proofErr w:type="spellEnd"/>
      <w:r w:rsidRPr="00E1048B">
        <w:t xml:space="preserve"> отметили, что целевая группа стремилась теснее увязать методику, применявшуюся в предыдущих докладах о пополнении, с проектным циклом, потребностями в движении денежных средств и порядком работы Исполнительного комитета, с тем чтобы сделать ее более привычной для Сторон и, соответственно, более понятной. </w:t>
      </w:r>
    </w:p>
    <w:p w14:paraId="312A4D71"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Г-жа </w:t>
      </w:r>
      <w:proofErr w:type="spellStart"/>
      <w:r w:rsidRPr="00E1048B">
        <w:t>Маранион</w:t>
      </w:r>
      <w:proofErr w:type="spellEnd"/>
      <w:r w:rsidRPr="00E1048B">
        <w:t xml:space="preserve"> подтвердила, что члены целевой группы приняли участие в девяносто восьмом совещании Исполнительного комитета и готовы актуализировать результаты анализа целевой группы с учетом новых факторов.</w:t>
      </w:r>
    </w:p>
    <w:p w14:paraId="3EE9BDFE" w14:textId="2C164728"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 о распределении Сторон по группам, использованном целевой группой в докладе, в сравнении с подходом, использованным в докладе о трехгодичном периоде 2024–2026 годов, г-жа </w:t>
      </w:r>
      <w:proofErr w:type="spellStart"/>
      <w:r w:rsidRPr="00E1048B">
        <w:t>Маранион</w:t>
      </w:r>
      <w:proofErr w:type="spellEnd"/>
      <w:r w:rsidRPr="00E1048B">
        <w:t xml:space="preserve"> заявила, что целевая группа считает эти два подхода </w:t>
      </w:r>
      <w:r w:rsidR="00D20BBB">
        <w:t>сходным</w:t>
      </w:r>
      <w:r w:rsidR="00D20BBB" w:rsidRPr="00E1048B">
        <w:t>и</w:t>
      </w:r>
      <w:r w:rsidR="00D20BBB" w:rsidRPr="00400598">
        <w:t>,</w:t>
      </w:r>
      <w:r w:rsidR="00D20BBB">
        <w:t xml:space="preserve"> поскольку в обоих случаях </w:t>
      </w:r>
      <w:r w:rsidRPr="00E1048B">
        <w:t>Стороны группируются в соответствии с характеристиками их потребления.</w:t>
      </w:r>
    </w:p>
    <w:p w14:paraId="282AA03A" w14:textId="6DB491D6"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Г-н </w:t>
      </w:r>
      <w:r w:rsidR="00187D30">
        <w:t>аль-Асад</w:t>
      </w:r>
      <w:r w:rsidR="00187D30" w:rsidRPr="00E1048B">
        <w:t xml:space="preserve"> </w:t>
      </w:r>
      <w:r w:rsidRPr="00E1048B">
        <w:t>заявил, что при определении затрат на подготовку кадров целевая группа не учитывала такие аспекты, как сертификация, лицензирование, стандарты безопасности и доступ к необходимым инструментам и оборудованию. Информация о подготовке специалистов была взята из планов выполнения Кигалийской поправки, представленных в секретариат Многостороннего фонда. В тех случаях, когда проект включал не только подготовку специалистов, целевая группа стремилась выделить информацию, относящуюся исключительно к ней. Подход целевой группы можно усовершенствовать в дополнительном докладе за счет более детальной разбивки информации и включения в него сведений о других видах деятельности.</w:t>
      </w:r>
    </w:p>
    <w:p w14:paraId="06519A94"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ответ на вопрос о расхождении между оценкой потребностей на трехгодичный период 2027–2029 годов, приведенной в предыдущем докладе о пополнении, и оценкой, содержащейся в новом докладе о пополнении, г-жа Карвалью пояснила, что ранее использовалась иная методология, и в отношении трехгодичного периода 2027–2029 годов была приведена лишь ориентировочная цифра. Учитывая, что теперь установлен четкий период выполнения обязательств, охватывающий три трехгодичных периода, фактическая сумма пополнения на трехгодичный период 2027–2029 годов будет зависеть от того, как Стороны пожелают распределить общие прогнозируемые потребности в финансировании между этими тремя циклами. </w:t>
      </w:r>
    </w:p>
    <w:p w14:paraId="03A3DA83"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Другие вопросы, заданные отдельными представителями, касались отсутствия в докладе большего числа сценариев; точности оценок затрат на ГХФУ; причины, по которой целевая группа рассчитала дополнительные затраты на сокращение выбросов ГФУ-23 в качестве побочного продукта в двух странах, не имевших утвержденных проектов по линии </w:t>
      </w:r>
      <w:r w:rsidRPr="00E1048B">
        <w:lastRenderedPageBreak/>
        <w:t>Многостороннего фонда; и проведения целевой группой оценки методики, использованной при подготовке нового доклада о пополнении, в том числе путем сопоставления прогнозируемых потребностей в рамках предыдущего пополнения с фактическими расходами Многостороннего фонда.</w:t>
      </w:r>
    </w:p>
    <w:p w14:paraId="400296A7" w14:textId="23D50029" w:rsidR="009542CC" w:rsidRPr="00E1048B" w:rsidRDefault="00500F73" w:rsidP="00F66737">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9542CC" w:rsidRPr="00E1048B">
        <w:rPr>
          <w:bCs/>
          <w:lang w:val="ru-RU"/>
        </w:rPr>
        <w:t>C.</w:t>
      </w:r>
      <w:r w:rsidR="009542CC" w:rsidRPr="00E1048B">
        <w:rPr>
          <w:lang w:val="ru-RU"/>
        </w:rPr>
        <w:tab/>
      </w:r>
      <w:r w:rsidR="009542CC" w:rsidRPr="00E1048B">
        <w:rPr>
          <w:bCs/>
          <w:lang w:val="ru-RU"/>
        </w:rPr>
        <w:t>Обсуждение</w:t>
      </w:r>
    </w:p>
    <w:p w14:paraId="3E5A4DF3" w14:textId="5D515009"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В ходе последующего обсуждения многие представители с признательностью отметили усилия Группы по техническому обзору и экономической оценке и ее целевой группы по вопросу о пополнении, предпринятые с целью подготовки доклада о предстоящем пополнении. Большинство участников обсуждения подтвердили, что целью пополнения является обеспечение полного соблюдения Монреальского протокола и Кигалийской поправки к нему, и несколько выступивших отметили центральную роль, которую Многосторонний фонд сыграл в достижении успеха в реализации Протокола к настоящему моменту.</w:t>
      </w:r>
    </w:p>
    <w:p w14:paraId="296D2F7B"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Многие представители вновь подтвердили свою приверженность поддержке Многостороннего фонда как неотъемлемой части инфраструктуры Монреальского протокола, обеспечивающей содействие Сторонам, действующим в рамках статьи 5, в достижении их целевых показателей соблюдения, в том числе в рамках Кигалийской поправки. Вместе с тем один представитель, выступая от имени группы Сторон, напомнил, что финансирование в рамках Многостороннего фонда предназначено для мероприятий, связанных с соблюдением обязательств, а другой представитель поддержал это заявление, добавив, что его страна также поддерживает выделение средств из Многостороннего фонда для оказания помощи Сторонам, действующим в рамках статьи 5, для решения вопросов, связанных с соблюдением обязательств, но не являющихся строго необходимыми для этого, при условии достижения в этом отношении согласия между Сторонами и Исполнительным комитетом. </w:t>
      </w:r>
    </w:p>
    <w:p w14:paraId="5CC3511B"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Многие представители, в том числе один, выступавший от имени группы Сторон, выразили озабоченность в связи с методологией, использованной целевой группой по вопросу о пополнении при расчете объема финансирования, необходимого на трехгодичный период 2027–2029 годов. Все они выразили согласие с тем, что уровень пополнения должен отражать фактические потребности Сторон, действующих в рамках статьи 5, однако мнения относительно точности этих оценок разделились. </w:t>
      </w:r>
    </w:p>
    <w:p w14:paraId="4C0B6754" w14:textId="48256DD2"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Некоторые представители заявили, что диапазон оценок значительно превышает любую реалистичную сумму. Отметив важность прагматичного подхода для обеспечения авторитета Многостороннего фонда, они подчеркнули необходимость проведения дополнительного анализа, в частности с целью учета сценариев, основанных на фактических уровнях потребления регулируемых веществ Сторонами, действующими в рамках статьи 5, а не на максимально допустимых уровнях потребления, которые, как правило, значительно выше. Несколько представителей, в том числе один, выступавший от имени группы Сторон, рекомендовали целевой группе использовать данные, содержащиеся в планах выполнения Кигалийской поправки, с целью повышения точности ее оценок потребления ГФУ, а некоторые другие представители рекомендовали применять опыт и знания Многостороннего фонда в области перехода на альтернативные вещества с более низким потенциалом глобального потепления (</w:t>
      </w:r>
      <w:r w:rsidR="00D20BBB">
        <w:t xml:space="preserve">более низким </w:t>
      </w:r>
      <w:r w:rsidRPr="00E1048B">
        <w:t xml:space="preserve">ПГП) во всех ключевых производственных секторах. Один представитель заявил, что нереалистично предполагать, что поэтапное сокращение оборота ГФУ может быть достигнуто раньше сроков, предусмотренных Кигалийской поправкой, учитывая время, необходимое для разработки и утверждения планов выполнения Кигалийской поправки. Некоторые представители также отметили важность учета показателей </w:t>
      </w:r>
      <w:r w:rsidR="00AD4938">
        <w:t>затрато</w:t>
      </w:r>
      <w:r w:rsidRPr="00E1048B">
        <w:t xml:space="preserve">эффективности. </w:t>
      </w:r>
    </w:p>
    <w:p w14:paraId="6C87D848" w14:textId="749ED370"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в том числе один, выступавший от имени группы Сторон, подчеркнули, что желательно не допустить повторения ситуации, сложившейся с пополнением на трехгодичный период 2024–2026 годов, когда в итоге сумма пополнения значительно превысила фактически запрошенную. Один из них отметил, что реалистичные оценки особенно важны в условиях ограниченности национальных бюджетов, а другой высказал мнение, что в прошлом оценки объема пополнения были более точными, и выступил за возвращение к такой более высокой точности. Один представитель подчеркнул, что прагматичный подход не является</w:t>
      </w:r>
      <w:r w:rsidR="00D20BBB">
        <w:t xml:space="preserve"> </w:t>
      </w:r>
      <w:r w:rsidRPr="00E1048B">
        <w:t>попыткой ограничить масштабные цели Многостороннего фонда,</w:t>
      </w:r>
      <w:r w:rsidR="00D20BBB">
        <w:t xml:space="preserve"> но</w:t>
      </w:r>
      <w:r w:rsidRPr="00E1048B">
        <w:t>, напротив, призван обеспечить всем Сторонам надежную, устойчивую, транспарентную и отвечающую поставленным задачам поддержку.</w:t>
      </w:r>
    </w:p>
    <w:p w14:paraId="32812909"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Многие представители выразили обеспокоенность в связи с тем, что в оценках объема пополнения не учтены все трудности, с которыми они столкнутся при выполнении своих обязательств. Некоторые из них напомнили, что в период пополнения 2027–2029 годов </w:t>
      </w:r>
      <w:r w:rsidRPr="00E1048B">
        <w:lastRenderedPageBreak/>
        <w:t xml:space="preserve">завершение мероприятий по поэтапному выводу из обращения ГХФУ будет происходить одновременно с выполнением Кигалийской поправки. Один представитель также обратил внимание на сопутствующие проблемы в сфере выполнения, связанные с глобальной геополитической нестабильностью, сбоями в производственно-сбытовых цепях и ростом затрат на производство и транспортировку. Многие представители подчеркнули, что их странам необходимо надлежащее, устойчивое и предсказуемое финансирование. Несколько представителей отметили, что цифровые технологии, регулирование жизненного цикла хладагентов, укрепление институциональной базы и создание потенциала являются важными элементами, которые необходимо учитывать в оценках потребностей в финансировании, равно как и укрепление сектора услуг, включая подготовку и сертификацию технических специалистов. Один представитель напомнил, что оценка объема пополнения рассчитывается как общий глобальный показатель, и рекомендовал Сторонам не уделять чрезмерного внимания частностям. </w:t>
      </w:r>
    </w:p>
    <w:p w14:paraId="201000E2"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Ряд представителей, в том числе один, выступавший от имени группы Сторон, обратили особое внимание на аспекты, которые они хотели бы видеть отраженными в дополнительном докладе, который будет подготовлен целевой группой. Их предложения касались дополнительных сценариев, основанных на фактических показателях потребления ГФУ и ГХФУ; сопоставления среднего объема финансирования, полученного каждой Стороной, действующей в рамках статьи 5 и относящейся к группе 1, за последние пять лет, с оценками финансирования, содержащимися в докладе; финансирования, необходимого для решения проблемы несоразмерного бремени, которое несут страны с малыми и очень малыми объемами потребления; конкретных положений о финансировании мероприятий по цифровизации и регулированию жизненного цикла хладагентов.</w:t>
      </w:r>
    </w:p>
    <w:p w14:paraId="20FEA3F0" w14:textId="31E2C526"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положительно оценили то, что в докладе было отмечено несоразмерное бремя, которое несут страны с малыми и очень малыми объемами потребления в связи с фиксированными расходами на создание систем, при этом некоторые представители отметили, что в действующей модели финансирования эта дополнительная нагрузка не принимается во внимание. Один из представителей, указав на то, что положение таких стран усугубляется нежеланием поставщиков продавать небольшие партии оборудования, в котором используются альтернативные хладагенты, заявил, что его делегация намерена представить на тридцать восьмом Совещании Сторон документ зала заседаний по данному вопросу с просьбой к Исполнительному комитету учесть выводы, изложенные в главе</w:t>
      </w:r>
      <w:r w:rsidR="00166E17">
        <w:t xml:space="preserve"> </w:t>
      </w:r>
      <w:r w:rsidRPr="00E1048B">
        <w:t xml:space="preserve">6 доклада целевой группы по вопросу о пополнении, при проведении в 2028 году обзора руководящих принципов для расчета затрат. Его делегация также подготовила документ для рассмотрения Исполнительным комитетом на его сотом совещании, которое состоится в июне 2027 года, с целью содействия дальнейшему обсуждению этого вопроса. </w:t>
      </w:r>
    </w:p>
    <w:p w14:paraId="63E3ECC0"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выступавший от имени группы Сторон, которого поддержал другой представитель, напомнил, что в соответствии с пунктом 6 статьи 10 Монреальского протокола Многосторонний фонд должен финансироваться за счет взносов Сторон, не действующих в рамках пункта 1 статьи 5 (Сторон, не действующих в соответствии со статьей 5), и что следует поощрять внесение взносов другими Сторонами. Другой представитель призвал Стороны, имеющие такую возможность, вносить взносы в Фонд.</w:t>
      </w:r>
    </w:p>
    <w:p w14:paraId="39FE754A"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Многие представители выразили готовность продолжить обсуждение этого вопроса в рамках контактной группы. Вопросы, предложенные представителями для дальнейшего обсуждения, касались: допущений, лежащих в основе оценок; предлагаемого распределения ресурсов; дополнительных сценариев; завышенных оценок затрат в случаях, когда объемы потребления значительно ниже допустимого уровня; предлагаемой отсрочки финансирования для входящих в группу 2 Сторон, действующих в рамках статьи 5; отсутствия конкретных положений о финансировании для развития цифровых технологий, регулирования жизненного цикла хладагентов и групп управления проектами; использования консервативных допущений; использования допущения о единой скидке в размере 15 процентов.</w:t>
      </w:r>
    </w:p>
    <w:p w14:paraId="71E6752A"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Рабочая группа постановила сформировать контактную группу под сопредседательством </w:t>
      </w:r>
      <w:proofErr w:type="spellStart"/>
      <w:r w:rsidRPr="00E1048B">
        <w:t>Мирузы</w:t>
      </w:r>
      <w:proofErr w:type="spellEnd"/>
      <w:r w:rsidRPr="00E1048B">
        <w:t xml:space="preserve"> Мохамед (Мальдивские Острова) и Ральфа </w:t>
      </w:r>
      <w:proofErr w:type="spellStart"/>
      <w:r w:rsidRPr="00E1048B">
        <w:t>Брискорна</w:t>
      </w:r>
      <w:proofErr w:type="spellEnd"/>
      <w:r w:rsidRPr="00E1048B">
        <w:t xml:space="preserve"> (Королевство Нидерландов) для разработки дополнительных рекомендаций для Группы по техническому обзору и экономической оценке в связи с подготовкой ее дополнительного доклада о потребностях в финансировании для пополнения Многостороннего фонда на период 2027–2029 годов.</w:t>
      </w:r>
    </w:p>
    <w:p w14:paraId="3129D1EE" w14:textId="2185B86B"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Впоследствии представитель Кубы внес на рассмотрение проект решения, изложенный в документе зала заседаний. Он отметил, что в докладе целевой группы по вопросу о </w:t>
      </w:r>
      <w:r w:rsidRPr="00E1048B">
        <w:lastRenderedPageBreak/>
        <w:t xml:space="preserve">пополнении подтверждается: страны с малыми и очень малыми объемами потребления сталкиваются с трудностями при выполнении своих обязательств в рамках Кигалийской поправки, а их затраты на выполнение не пропорциональны ни объему потребления, ни получаемому финансированию. Помимо обращения к Исполнительному комитету Многостороннего фонда с просьбой учесть выводы главы 6 доклада при пересмотре руководящих принципов для расчета затрат в 2028 году, в проекте решения содержится просьба подготовить документ для рассмотрения Исполнительным комитетом на первом совещании в 2027 году </w:t>
      </w:r>
      <w:r w:rsidR="00500F73" w:rsidRPr="00E1048B">
        <w:t>–</w:t>
      </w:r>
      <w:r w:rsidRPr="00E1048B">
        <w:t xml:space="preserve"> его сотом совещании, – в котором обобщались бы трудности, с которыми сталкиваются страны с малыми и очень малыми объемами потребления при выполнении их обязательств по поэтапному сокращению оборота ГФУ; определялись бы подготовительные мероприятия, которые могут быть проведены в поддержку разработки этапа</w:t>
      </w:r>
      <w:r w:rsidR="008231B8" w:rsidRPr="00E1048B">
        <w:t> </w:t>
      </w:r>
      <w:r w:rsidRPr="00E1048B">
        <w:t>II планов регулирования поэтапного сокращения оборота ГФУ для этих стран; и представлялись бы потенциальные методы финансирования, включая возможные повышенные уровни поддержки для удовлетворения особых и неотложных потребностей стран с малыми и очень малыми объемами потребления, при подготовке этапа II их планов выполнения Кигалийской поправки в отношении ГФУ.</w:t>
      </w:r>
    </w:p>
    <w:p w14:paraId="2C67731A" w14:textId="25D06A8B"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Все выступившие представители поддержали цель проекта решения, а именно оказание помощи испытывающим трудности странам с малыми и очень малыми объемами потребления в выполнении их обязательств в соответствии с Кигалийской поправкой. Один представитель подтвердил на основе личного опыта утверждение о том, что затраты не пропорциональны объемам потребления и не соответствуют объемам финансирования и что Стороны, действующие в рамках статьи 5, особенно страны с малыми и очень малыми объемами потребления, нуждаются в увеличении финансирования и непрерывном создании потенциала. Некоторые представители поддержали проект решения в том виде, в каком он был представлен Кубой, тогда как другие высказали замечания процедурного характера, отметив, что цель доклада целевой группы состоит в том, чтобы дать возможность Сторонам принять решение об объеме пополнения Многостороннего фонда на трехгодичный период 2027–2029 годов в соответствии с кругом ведения, утвержденным тридцать седьмым Совещанием Сторон. В связи с этим Рабочей группе открытого состава было необходимо поручить целевой группе рассмотреть ряд конкретных вопросов в ее дополнительном докладе, с тем чтобы тридцать восьмое Совещание Сторон могло принять решение о пополнении; обращение к Исполнительному </w:t>
      </w:r>
      <w:r w:rsidR="002963F7">
        <w:t xml:space="preserve">комитету </w:t>
      </w:r>
      <w:r w:rsidR="005C5166">
        <w:t>выходит за рамки этого мандата</w:t>
      </w:r>
      <w:r w:rsidRPr="00E1048B">
        <w:t xml:space="preserve">. Один представитель напомнил, что у Исполнительного комитета уже имеется специальный механизм финансирования для стран с малыми и очень малыми объемами потребления, который заменяет применение к ним стандартной методики для расчета </w:t>
      </w:r>
      <w:r w:rsidR="00EC26D1">
        <w:t>затрато</w:t>
      </w:r>
      <w:r w:rsidRPr="00E1048B">
        <w:t>эффективности.</w:t>
      </w:r>
    </w:p>
    <w:p w14:paraId="17B7658B" w14:textId="3ACDA6D0"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отметил, что сама необходимость обращения к Исполнительному комитету и характер такого обращения в любом случае будут зависеть от итогов обсуждений в контактной группе. В связи с этим он предложил представителю Кубы и другим заинтересованным Сторонам принять участие в уже идущем процессе подготовки руководящих указаний для целевой группы по вопросу о пополнении, чтобы были учтены аспекты, вызывающие их озабоченность. Другие представители отметили, что предлагаемая подготовка доклада для Исполнительного комитета и пересмотр руководящих принципов финансирования в 2028 году состоятся только после принятия решения о пополнении </w:t>
      </w:r>
      <w:r w:rsidR="00033CE2">
        <w:t>Ф</w:t>
      </w:r>
      <w:r w:rsidRPr="00E1048B">
        <w:t>онда.</w:t>
      </w:r>
    </w:p>
    <w:p w14:paraId="71BF48B4"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заинтересованный в продвижении работы над проектом решения, просил предоставить ему возможность внести некоторые редакционные изменения и предложил рассмотреть проект решения в контактной группе, созданной для обсуждения руководящих указаний для целевой группы по вопросу о пополнении. Другой представитель подчеркнул, что запрашиваемый в проекте решения доклад для Исполнительного комитета обеспечит наличие у Исполнительного комитета всеобъемлющих данных и его полную информированность при проведении им пересмотра руководящих принципов финансирования в 2028 году и никоим образом не предрешает итоги этого пересмотра.</w:t>
      </w:r>
    </w:p>
    <w:p w14:paraId="52551EF8" w14:textId="6B55258A"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Хотя согласия о передаче проекта решения на рассмотрение тридцать восьмому Совещанию Сторон достигнуто не было, Рабочая группа постановила, что представитель Кубы проведет неофициальные консультации с заинтересованными Сторонами </w:t>
      </w:r>
      <w:r w:rsidR="005C5166">
        <w:t>в кулуарах</w:t>
      </w:r>
      <w:r w:rsidRPr="00E1048B">
        <w:t xml:space="preserve"> совещания в целях уточнения дальнейших действий и доложит Рабочей группе об их итогах позднее в ходе совещания. Сопредседатель настоятельно призвала заинтересованные Стороны работать в рамках контактной группы по вопросу о пополнении над включением принципов и идей, содержащихся в проекте решения, в руководящие указания для целевой группы по подготовке ее дополнительного доклада.</w:t>
      </w:r>
    </w:p>
    <w:p w14:paraId="2691FA6B" w14:textId="71B4D924"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lastRenderedPageBreak/>
        <w:t>Впоследствии сопредседатель заявила, что в отсутствие в зале заседаний представителей Кубы, которые могли бы доложить об итогах неофициальных консультаций, следует предположить, что проведенные Кубой неофициальные обсуждения не обеспечили поддержки для передачи проекта решения</w:t>
      </w:r>
      <w:r w:rsidR="005C5166">
        <w:t xml:space="preserve"> этой Стороны</w:t>
      </w:r>
      <w:r w:rsidRPr="00E1048B">
        <w:t xml:space="preserve"> на дальнейшее рассмотрение тридцать восьмому Совещанию Сторон.</w:t>
      </w:r>
    </w:p>
    <w:p w14:paraId="4940AB0B" w14:textId="77777777" w:rsidR="009542CC" w:rsidRPr="00E1048B" w:rsidRDefault="009542CC" w:rsidP="00F66737">
      <w:pPr>
        <w:pStyle w:val="Normalnumber"/>
        <w:numPr>
          <w:ilvl w:val="0"/>
          <w:numId w:val="4"/>
        </w:numPr>
        <w:tabs>
          <w:tab w:val="clear" w:pos="1247"/>
          <w:tab w:val="clear" w:pos="1814"/>
          <w:tab w:val="clear" w:pos="2381"/>
          <w:tab w:val="clear" w:pos="2948"/>
          <w:tab w:val="clear" w:pos="3515"/>
        </w:tabs>
        <w:ind w:left="1247" w:firstLine="0"/>
      </w:pPr>
      <w:r w:rsidRPr="00E1048B">
        <w:t>Затем сопредседатель контактной группы представил доклад о работе группы, отметив, что группе удалось достичь согласия относительно предложений о проведении дополнительного анализа в дополнительном докладе по вопросу о пополнении. Рабочая группа постановила, что текст предложений будет включен в приложение к настоящему докладу для использования целевой группой по вопросу о пополнении Группы по техническому обзору и экономической оценке при подготовке дополнительного доклада для рассмотрения тридцать восьмым Совещанием Сторон.</w:t>
      </w:r>
    </w:p>
    <w:p w14:paraId="6826C922" w14:textId="6BAA7A85" w:rsidR="00080D6C" w:rsidRPr="00E1048B" w:rsidRDefault="009542CC" w:rsidP="002C5059">
      <w:pPr>
        <w:pStyle w:val="Normalnumber"/>
        <w:numPr>
          <w:ilvl w:val="0"/>
          <w:numId w:val="4"/>
        </w:numPr>
        <w:tabs>
          <w:tab w:val="clear" w:pos="1247"/>
          <w:tab w:val="clear" w:pos="1814"/>
          <w:tab w:val="clear" w:pos="2381"/>
          <w:tab w:val="clear" w:pos="2948"/>
          <w:tab w:val="clear" w:pos="3515"/>
        </w:tabs>
        <w:spacing w:after="240"/>
        <w:ind w:left="1247" w:firstLine="0"/>
      </w:pPr>
      <w:r w:rsidRPr="00E1048B">
        <w:t xml:space="preserve">Предложения по проведению дополнительного анализа в дополнительном докладе о пополнении Многостороннего фонда на период 2027–2029 годов изложены в разделе </w:t>
      </w:r>
      <w:r w:rsidR="005C5166">
        <w:t xml:space="preserve">А </w:t>
      </w:r>
      <w:r w:rsidRPr="00E1048B">
        <w:t>приложения II к настоящему докладу без официального редактирования.</w:t>
      </w:r>
    </w:p>
    <w:p w14:paraId="72CF7BA2" w14:textId="24F70770" w:rsidR="00080D6C" w:rsidRPr="00E1048B" w:rsidRDefault="002C5059" w:rsidP="00F66737">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080D6C" w:rsidRPr="00E1048B">
        <w:rPr>
          <w:bCs/>
          <w:lang w:val="ru-RU"/>
        </w:rPr>
        <w:t>IV.</w:t>
      </w:r>
      <w:r w:rsidR="00080D6C" w:rsidRPr="00E1048B">
        <w:rPr>
          <w:lang w:val="ru-RU"/>
        </w:rPr>
        <w:tab/>
      </w:r>
      <w:r w:rsidR="00080D6C" w:rsidRPr="00E1048B">
        <w:rPr>
          <w:bCs/>
          <w:lang w:val="ru-RU"/>
        </w:rPr>
        <w:t>Сообщения Группы по техническому обзору и экономической оценке, посвященные ее докладу о ходе работы (2026 год), и обсуждения</w:t>
      </w:r>
    </w:p>
    <w:p w14:paraId="1CC6E3A0" w14:textId="189A29AD"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Внося на рассмотрение этот пункт повестки дня, сопредседатель обратила внимание на том 1 доклада о ходе работы Группы по техническому обзору и экономической оценке (2026</w:t>
      </w:r>
      <w:r w:rsidR="002C5059" w:rsidRPr="00E1048B">
        <w:t> </w:t>
      </w:r>
      <w:r w:rsidRPr="00E1048B">
        <w:t xml:space="preserve">год), а также на краткое изложение вопросов, содержащееся в записке секретариата о вопросах для обсуждения Рабочей группой открытого состава Сторон Монреальского протокола и информации к ее сведению на ее сорок восьмом совещании (UNEP/OzL.Pro.WG.1/48/2, пункты 10–25) и в добавлении к ней (UNEP/OzL.Pro.WG.1/48/2/Add.1, пункты 22–82 и приложения II–IV). </w:t>
      </w:r>
    </w:p>
    <w:p w14:paraId="151728A6" w14:textId="1426E99D" w:rsidR="00080D6C" w:rsidRPr="00E1048B" w:rsidRDefault="002C5059" w:rsidP="00F66737">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080D6C" w:rsidRPr="00E1048B">
        <w:rPr>
          <w:bCs/>
          <w:lang w:val="ru-RU"/>
        </w:rPr>
        <w:t>1.</w:t>
      </w:r>
      <w:r w:rsidR="00080D6C" w:rsidRPr="00E1048B">
        <w:rPr>
          <w:lang w:val="ru-RU"/>
        </w:rPr>
        <w:tab/>
      </w:r>
      <w:r w:rsidR="00080D6C" w:rsidRPr="00E1048B">
        <w:rPr>
          <w:bCs/>
          <w:lang w:val="ru-RU"/>
        </w:rPr>
        <w:t>Сообщение</w:t>
      </w:r>
    </w:p>
    <w:p w14:paraId="347F32A2"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После вступительного слова Марты Писано, сопредседателя Группы, члены Группы и ее комитетов по техническим вариантам замены кратко изложили выводы доклада Группы о ходе работы (2026 год), включая ответы Группы на соответствующие решения Совещания Сторон, в следующем порядке: Дэн </w:t>
      </w:r>
      <w:proofErr w:type="spellStart"/>
      <w:r w:rsidRPr="00E1048B">
        <w:t>Вердоник</w:t>
      </w:r>
      <w:proofErr w:type="spellEnd"/>
      <w:r w:rsidRPr="00E1048B">
        <w:t xml:space="preserve"> от Комитета по техническим вариантам замены для пожаротушения; Хелен Уолтер-</w:t>
      </w:r>
      <w:proofErr w:type="spellStart"/>
      <w:r w:rsidRPr="00E1048B">
        <w:t>Терринони</w:t>
      </w:r>
      <w:proofErr w:type="spellEnd"/>
      <w:r w:rsidRPr="00E1048B">
        <w:t xml:space="preserve"> от Комитета по техническим вариантам замены гибких и жестких пеноматериалов; Иан Портер от Комитета по техническим вариантам замены бромистого метила; Хелен </w:t>
      </w:r>
      <w:proofErr w:type="spellStart"/>
      <w:r w:rsidRPr="00E1048B">
        <w:t>Тоуп</w:t>
      </w:r>
      <w:proofErr w:type="spellEnd"/>
      <w:r w:rsidRPr="00E1048B">
        <w:t xml:space="preserve"> от Комитета по техническим вариантам замены медицинских видов применения и химических веществ; Раджан </w:t>
      </w:r>
      <w:proofErr w:type="spellStart"/>
      <w:r w:rsidRPr="00E1048B">
        <w:t>Раджендран</w:t>
      </w:r>
      <w:proofErr w:type="spellEnd"/>
      <w:r w:rsidRPr="00E1048B">
        <w:t xml:space="preserve"> от Комитета по техническим вариантам замены холодильного оборудования, систем кондиционирования воздуха и тепловых насосов. Затем Эшли </w:t>
      </w:r>
      <w:proofErr w:type="spellStart"/>
      <w:r w:rsidRPr="00E1048B">
        <w:t>Вудкок</w:t>
      </w:r>
      <w:proofErr w:type="spellEnd"/>
      <w:r w:rsidRPr="00E1048B">
        <w:t>, сопредседатель Группы, кратко изложил выводы о пер- и полифторалкильных веществах (ПФАВ) и г-жа Писано обобщила процедурные и организационные проблемы, с которыми сталкивается Группа, а также представила предпочтительные варианты будущей организации Комитетов по техническим вариантам замены. Краткое изложение этого сообщения приводится в приложении IV к настоящему докладу без официального редактирования.</w:t>
      </w:r>
    </w:p>
    <w:p w14:paraId="0EC651E3" w14:textId="2FA4313C" w:rsidR="00080D6C" w:rsidRPr="00E1048B" w:rsidRDefault="002C5059" w:rsidP="00F66737">
      <w:pPr>
        <w:pStyle w:val="CH3"/>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080D6C" w:rsidRPr="00E1048B">
        <w:rPr>
          <w:bCs/>
          <w:lang w:val="ru-RU"/>
        </w:rPr>
        <w:t>2.</w:t>
      </w:r>
      <w:r w:rsidR="00080D6C" w:rsidRPr="00E1048B">
        <w:rPr>
          <w:lang w:val="ru-RU"/>
        </w:rPr>
        <w:tab/>
      </w:r>
      <w:r w:rsidR="00080D6C" w:rsidRPr="00E1048B">
        <w:rPr>
          <w:bCs/>
          <w:lang w:val="ru-RU"/>
        </w:rPr>
        <w:t>Сессия вопросов и ответов</w:t>
      </w:r>
    </w:p>
    <w:p w14:paraId="69402D8E"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ходе последующей сессии вопросов и ответов у многих представителей возникли конкретные вопросы в отношении заслушанного сообщения. </w:t>
      </w:r>
    </w:p>
    <w:p w14:paraId="5E209459"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Все выступившие представители выразили признательность Группе по техническому обзору и экономической оценке и ее комитетам по техническим вариантам замены за их работу.</w:t>
      </w:r>
    </w:p>
    <w:p w14:paraId="22E80C86"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вопросы, обращенные к Комитету по техническим вариантам замены гибких и жестких пеноматериалов, г-жа Уолтер-</w:t>
      </w:r>
      <w:proofErr w:type="spellStart"/>
      <w:r w:rsidRPr="00E1048B">
        <w:t>Терринони</w:t>
      </w:r>
      <w:proofErr w:type="spellEnd"/>
      <w:r w:rsidRPr="00E1048B">
        <w:t xml:space="preserve"> отметила, что в сфере доступных альтернативных пенообразующих веществ достигнут значительный прогресс, хотя при этом следует отметить, что ситуация не одинакова для всех Сторон. В последнее время изменений в типах химических веществ, используемых в альтернативных составах, не происходило, однако были отмечены изменения в составе используемых смесей, включая добавление воды и диоксида углерода с целью снижения затрат.</w:t>
      </w:r>
    </w:p>
    <w:p w14:paraId="3B3543A0"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Наблюдался рост объемов производства и доступности альтернативных пенообразующих веществ с низким ПГП, однако следует признать, что в настоящее время </w:t>
      </w:r>
      <w:r w:rsidRPr="00E1048B">
        <w:lastRenderedPageBreak/>
        <w:t xml:space="preserve">некоторые страны, возможно, имеют доступ лишь к одному поставщику таких альтернативных веществ; более подробная информация по этому вопросу будет представлена в будущих докладах. </w:t>
      </w:r>
    </w:p>
    <w:p w14:paraId="05702DE4" w14:textId="1AB192B8"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Комитет продолжал отслеживать расхождения между моделируемыми и наблюдаемыми данными о ГХФУ-141b. Гипотезы, объясняющие это расхождение, включали изменение видов применения данного химического вещества </w:t>
      </w:r>
      <w:r w:rsidR="00B42042" w:rsidRPr="00E1048B">
        <w:t>–</w:t>
      </w:r>
      <w:r w:rsidRPr="00E1048B">
        <w:t xml:space="preserve"> возможно, в качестве средства для очистки оборудования или растворителя, </w:t>
      </w:r>
      <w:r w:rsidR="00B42042" w:rsidRPr="00E1048B">
        <w:t>–</w:t>
      </w:r>
      <w:r w:rsidRPr="00E1048B">
        <w:t xml:space="preserve"> его использование в производстве пеноматериалов с более высоким уровнем выбросов, а также рост объемов производства или уровней выбросов, причины которого пока не установлены. </w:t>
      </w:r>
    </w:p>
    <w:p w14:paraId="3B9D325C"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Что касается альтернатив ГХФУ-141b, то, учитывая, что поставки этого химического вещества должны были прекратиться в 2026 году, за исключением поставок из существующих запасов, в выступлении было отмечено, что зафиксировано использование некоторого количества ГФУ-254fa, однако в целом наблюдается отказ от использования ГХФУ. </w:t>
      </w:r>
    </w:p>
    <w:p w14:paraId="18A1C58C" w14:textId="5D6ACEA9"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отношении использования пенообразующих веществ для теплоизоляции следует отметить, что, хотя теплоизоляционные характеристики альтернатив ГХФУ действительно уступают соответствующим характеристикам ГХФУ, в некоторых случаях эту проблему можно решить за счет нанесения более толстого слоя пенообразующего вещества. Более низкие теплоизоляционные характеристики следует также рассматривать как компромисс, уравновешиваемый другими преимуществами, в том числе </w:t>
      </w:r>
      <w:proofErr w:type="spellStart"/>
      <w:r w:rsidR="00BF69D5">
        <w:t>затрато</w:t>
      </w:r>
      <w:r w:rsidRPr="00E1048B">
        <w:t>эффективностью</w:t>
      </w:r>
      <w:proofErr w:type="spellEnd"/>
      <w:r w:rsidRPr="00E1048B">
        <w:t>.</w:t>
      </w:r>
    </w:p>
    <w:p w14:paraId="11244256"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Представитель, выступивший от имени группы Сторон, сообщил, что Стороны, например, используют меры в отношении косвенных выбросов, такие как экологически ориентированное проектирование и маркировка, позволяющие нивелировать последствия, которые могут возникать при сокращении прямых выбросов.</w:t>
      </w:r>
    </w:p>
    <w:p w14:paraId="371192BE"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Он пояснил, что запрет на использование фторированных газов в качестве пенообразующих веществ в Европейском союзе начиная с 2033 года, за исключением случаев, когда это необходимо из соображений безопасности, не просто является потенциальным, как это указано в разделе 2.2.3 тома 1 доклада о ходе работы, но на деле уже закреплен в законодательном порядке. </w:t>
      </w:r>
    </w:p>
    <w:p w14:paraId="38375106"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Он также просил Группу разъяснить, как существующие меры регулирования находят отражение в будущих технологических сценариях и процессе рыночного перехода в секторе производства пеноматериалов.</w:t>
      </w:r>
    </w:p>
    <w:p w14:paraId="3D2C3064" w14:textId="23F37C31"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 о предварительно смешанных </w:t>
      </w:r>
      <w:proofErr w:type="spellStart"/>
      <w:r w:rsidRPr="00E1048B">
        <w:t>полиолах</w:t>
      </w:r>
      <w:proofErr w:type="spellEnd"/>
      <w:r w:rsidRPr="00E1048B">
        <w:t>, содержащих ГФУ, г</w:t>
      </w:r>
      <w:r w:rsidR="002C5059" w:rsidRPr="00E1048B">
        <w:noBreakHyphen/>
      </w:r>
      <w:r w:rsidRPr="00E1048B">
        <w:t>жа</w:t>
      </w:r>
      <w:r w:rsidR="002C5059" w:rsidRPr="00E1048B">
        <w:t> </w:t>
      </w:r>
      <w:r w:rsidRPr="00E1048B">
        <w:t>Уолтер-</w:t>
      </w:r>
      <w:proofErr w:type="spellStart"/>
      <w:r w:rsidRPr="00E1048B">
        <w:t>Терринони</w:t>
      </w:r>
      <w:proofErr w:type="spellEnd"/>
      <w:r w:rsidRPr="00E1048B">
        <w:t xml:space="preserve"> отметила, что Комитет рассматривает эти вещества в качестве отдельной группы, однако данные об их импорте и экспорте ограничены, поскольку представление информации об этих веществах не требуется в соответствии со статьей 7 Монреальского протокола. Поэтому не исключено, что объемы торговли этими веществами занижаются. Она добавила, что Комитет также рассматривает прочую информацию о таких веществах, например, их стоимость.</w:t>
      </w:r>
    </w:p>
    <w:p w14:paraId="634944AB"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вопросы, адресованные Комитету по техническим вариантам замены для пожаротушения, Адам </w:t>
      </w:r>
      <w:proofErr w:type="spellStart"/>
      <w:r w:rsidRPr="00E1048B">
        <w:t>Чаттауэй</w:t>
      </w:r>
      <w:proofErr w:type="spellEnd"/>
      <w:r w:rsidRPr="00E1048B">
        <w:t xml:space="preserve"> подтвердил, что сертификат типа для системы пожаротушения, используемой на воздушных судах, может фактически оставаться действительным на протяжении до 50 лет; хотя изготовители воздушных судов, как правило, разрабатывают модификации первоначальной конструкции, все такие варианты подпадают под действие одного и того же сертификата. В соответствии со своей резолюцией A42-11 о замене галонов Международная организация гражданской авиации (ИКАО) предписывает использовать альтернативы </w:t>
      </w:r>
      <w:proofErr w:type="spellStart"/>
      <w:r w:rsidRPr="00E1048B">
        <w:t>галону</w:t>
      </w:r>
      <w:proofErr w:type="spellEnd"/>
      <w:r w:rsidRPr="00E1048B">
        <w:t xml:space="preserve"> 1301 в грузовых отсеках самолетов совершенно новых конструкций, представленных после 2024 года, однако, насколько известно Комитету, с 2024 года не было выдано ни одного нового сертификата типа.</w:t>
      </w:r>
    </w:p>
    <w:p w14:paraId="0CDC33E2" w14:textId="762F166B"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ответ на вопросы нескольких представителей г-н </w:t>
      </w:r>
      <w:proofErr w:type="spellStart"/>
      <w:r w:rsidRPr="00E1048B">
        <w:t>Чаттауэй</w:t>
      </w:r>
      <w:proofErr w:type="spellEnd"/>
      <w:r w:rsidRPr="00E1048B">
        <w:t xml:space="preserve"> пояснил, что карты Европы, на которых обозначены места расположения предприятий авиационной отрасли по техническому обслуживанию, ремонту и восстановлению, а также очаги выбросов галона</w:t>
      </w:r>
      <w:r w:rsidR="00B74AA9" w:rsidRPr="00E1048B">
        <w:t xml:space="preserve"> </w:t>
      </w:r>
      <w:r w:rsidRPr="00E1048B">
        <w:t xml:space="preserve">1301, были включены в сообщение Комитета в качестве примера анализа, который можно провести при наличии достаточного объема данных о выбросах в режиме реального времени. Комитету удалось составить карту очагов выбросов в Европе благодаря данным, предоставленным Бристольским университетом, и в настоящее время Комитет сотрудничает с Группой по научной оценке и другими органами с целью получения соответствующих данных из других регионов. При условии более точного регионального мониторинга выбросов галонов также появится возможность установить связь между этими выбросами и деятельностью конкретной </w:t>
      </w:r>
      <w:r w:rsidRPr="00E1048B">
        <w:lastRenderedPageBreak/>
        <w:t>отрасли или сектора. Вместе с тем он отметил, что получение таких данных сопряжено с трудностями и что они не будут доступны к моменту подготовки следующего доклада Комитета о ходе работы.</w:t>
      </w:r>
    </w:p>
    <w:p w14:paraId="76BF1DD2" w14:textId="066C2C3F"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 об имеющихся вариантах пожаротушения для центров хранения и обработки данных, он заявил, что Комитет может представить лишь общий обзор, поскольку подробная информация относится к сведениям, составляющим коммерческую тайну компаний</w:t>
      </w:r>
      <w:r w:rsidR="00C9225E" w:rsidRPr="00E1048B">
        <w:noBreakHyphen/>
      </w:r>
      <w:r w:rsidRPr="00E1048B">
        <w:t xml:space="preserve">производителей систем пожаротушения. По-прежнему используются ГФУ, в первую очередь ГФУ-227ea и ГФУ-124, а также </w:t>
      </w:r>
      <w:proofErr w:type="spellStart"/>
      <w:r w:rsidRPr="00E1048B">
        <w:t>фторкетон</w:t>
      </w:r>
      <w:proofErr w:type="spellEnd"/>
      <w:r w:rsidRPr="00E1048B">
        <w:t xml:space="preserve"> ФК-5-1-12; кроме того, по всей вероятности, применяются системы на основе инертных газов, в частности в Европе.</w:t>
      </w:r>
    </w:p>
    <w:p w14:paraId="1CE7EE63"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 о методиках уничтожения галонов, он сообщил, что Комитету неизвестно о каких-либо новых проектах в этой области в 2026 году в рамках Американского углеродного реестра. Он также отметил, что </w:t>
      </w:r>
      <w:proofErr w:type="spellStart"/>
      <w:r w:rsidRPr="00E1048B">
        <w:t>галон</w:t>
      </w:r>
      <w:proofErr w:type="spellEnd"/>
      <w:r w:rsidRPr="00E1048B">
        <w:t xml:space="preserve"> может подвергаться переработке при показателях чистоты на уровне всего 90 процентов в зависимости от характера присутствующих загрязняющих примесей. Если температура кипения этих примесей существенно отличается от температуры кипения галона, их можно легко отделить методом фракционной перегонки.</w:t>
      </w:r>
    </w:p>
    <w:p w14:paraId="08B1116D"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Г-н </w:t>
      </w:r>
      <w:proofErr w:type="spellStart"/>
      <w:r w:rsidRPr="00E1048B">
        <w:t>Вердоник</w:t>
      </w:r>
      <w:proofErr w:type="spellEnd"/>
      <w:r w:rsidRPr="00E1048B">
        <w:t xml:space="preserve"> ответил на вопрос о сценариях сроков исчерпания запасов галона 1301, приведенных в таблице 3.5 доклада о ходе работы, пояснив, что эти сценарии основаны на информации, предоставленной ИКАО по данным за 2025 год об объемах галона 1301, в настоящее время установленного на воздушных судах, а также на прогнозируемых темпах роста мирового воздушного флота. Затем Комитет применил другие переменные, в том числе учел секторы, не связанные с авиацией. Сохраняются некоторые пробелы в данных, а также некоторая неопределенность в отношении расчета прогнозируемых будущих уровней выбросов, однако Комитет намерен доработать эти сценарии в предстоящем четырехгодичном докладе по итогам оценки, в том числе путем включения сценария, учитывающего поэтапный отказ от использования галона 1301 в авиации в Европейском союзе.</w:t>
      </w:r>
    </w:p>
    <w:p w14:paraId="0BF644B0" w14:textId="4C6A1044"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 о 3,3,3-трифтор-2-бромпропене (2-</w:t>
      </w:r>
      <w:r w:rsidR="00033CE2">
        <w:t>БТП</w:t>
      </w:r>
      <w:r w:rsidRPr="00E1048B">
        <w:t xml:space="preserve">) как альтернативе </w:t>
      </w:r>
      <w:proofErr w:type="spellStart"/>
      <w:r w:rsidRPr="00E1048B">
        <w:t>галону</w:t>
      </w:r>
      <w:proofErr w:type="spellEnd"/>
      <w:r w:rsidR="00C9225E" w:rsidRPr="00E1048B">
        <w:t> </w:t>
      </w:r>
      <w:r w:rsidRPr="00E1048B">
        <w:t>1301 на воздушных судах, он заявил, что если применение 2-</w:t>
      </w:r>
      <w:r w:rsidR="00033CE2">
        <w:t>БТП</w:t>
      </w:r>
      <w:r w:rsidR="00033CE2" w:rsidRPr="00E1048B">
        <w:t xml:space="preserve"> </w:t>
      </w:r>
      <w:r w:rsidRPr="00E1048B">
        <w:t>будет одобрено для новых и модернизированных типов воздушных судов, это позволит высвободить дополнительные объемы галона 1301 для удовлетворения потребностей имеющихся воздушных судов и обеспечения их летной годности в соответствии с правилами ИКАО. Однако по мнению Комитета, авиационная отрасль и ИКАО не готовы принять 2-</w:t>
      </w:r>
      <w:r w:rsidR="00033CE2">
        <w:t>БТП</w:t>
      </w:r>
      <w:r w:rsidR="00033CE2" w:rsidRPr="00E1048B">
        <w:t xml:space="preserve"> </w:t>
      </w:r>
      <w:r w:rsidRPr="00E1048B">
        <w:t>в качестве альтернативы, с учетом потребности в долгосрочной устойчивости в авиационной отрасли, даже если государственные и природоохранные органы одобрят применение 2-</w:t>
      </w:r>
      <w:r w:rsidR="00033CE2">
        <w:t>БТП</w:t>
      </w:r>
      <w:r w:rsidRPr="00E1048B">
        <w:t xml:space="preserve">. Авиационная отрасль сосредоточена на сокращении выбросов от воздушных судов, а не на изучении альтернатив </w:t>
      </w:r>
      <w:proofErr w:type="spellStart"/>
      <w:r w:rsidRPr="00E1048B">
        <w:t>галону</w:t>
      </w:r>
      <w:proofErr w:type="spellEnd"/>
      <w:r w:rsidRPr="00E1048B">
        <w:t xml:space="preserve"> 1301, в связи с чем он подчеркнул исключительную важность получения более качественных данных мониторинга выбросов галона 1301.</w:t>
      </w:r>
    </w:p>
    <w:p w14:paraId="01B5CF5C" w14:textId="32738DAE"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Он отметил, что в докладе о ходе работы было ошибочно указано, что смесь 2-</w:t>
      </w:r>
      <w:r w:rsidR="00033CE2">
        <w:t>БТП</w:t>
      </w:r>
      <w:r w:rsidR="00033CE2" w:rsidRPr="00E1048B">
        <w:t xml:space="preserve"> </w:t>
      </w:r>
      <w:r w:rsidRPr="00E1048B">
        <w:t>и диоксида углерода была одобрена в рамках «Программы политики в отношении значимых новых альтернатив» Соединенных Штатов Америки; на самом деле процесс нормативного утверждения продолжается.</w:t>
      </w:r>
    </w:p>
    <w:p w14:paraId="36E0B179"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В отношении вопроса о неравномерном распределении запасов галона 1301 в мире он напомнил, что эта тема поднималась во многих докладах Комитета, однако возможность его дальнейшего анализа ограничена из-за отсутствия данных в разбивке по регионам или странам. Существуют компании, специализирующиеся на переработке и продаже галона 1301 на международном уровне, однако возможны сложности, связанные с трансграничной перевозкой галона 1301 в соответствии с Базельской конвенцией о контроле за трансграничной перевозкой опасных отходов и их удалением, а также в соответствии с местными нормативными требованиями. </w:t>
      </w:r>
    </w:p>
    <w:p w14:paraId="65053983"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 заданный Комитету по техническим вариантам замены бромистого метила, о нехимических и новых химических альтернативах для борьбы с сельскохозяйственными вредителями – с учетом строгих ограничений в области охраны труда и техники безопасности, действующих в некоторых странах в отношении таких альтернатив, как </w:t>
      </w:r>
      <w:proofErr w:type="spellStart"/>
      <w:r w:rsidRPr="00E1048B">
        <w:t>сульфурилфторид</w:t>
      </w:r>
      <w:proofErr w:type="spellEnd"/>
      <w:r w:rsidRPr="00E1048B">
        <w:t xml:space="preserve"> и фосфин, – г-жа Писано отметила, что, хотя выбор подходящей альтернативы в значительной степени зависит от конкретного вида сельскохозяйственного вредителя и особенностей применения, к числу эффективных нехимических альтернатив относятся тепловая обработка или обработка холодом, а также облучение. Комитет охотно предоставит заинтересованным Сторонам конкретную информацию по их запросу.</w:t>
      </w:r>
    </w:p>
    <w:p w14:paraId="147C3D2B"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lastRenderedPageBreak/>
        <w:t>В отношении значительного резкого сокращения потребления бромистого метила в Новой Зеландии г-н Портер отметил, что оно было достигнуто благодаря применению национальных мер политики в области выбросов, в рамках которых используется поэтапный подход к сокращению выбросов практически до нуля к 2032 году. Для достижения этих целевых показателей отрасли промышленности Новой Зеландии внедрили процессы улавливания различных видов выбросов, что, в свою очередь, привело к сокращению выбросов бромистого метила в атмосферу.</w:t>
      </w:r>
    </w:p>
    <w:p w14:paraId="7D4367A5" w14:textId="6C852EF5"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 о разграничении применения бромистого метила для карантинной обработки и обработки перед транспортировкой, он подчеркнул, что требования к обработке различаются в зависимости от того, идет ли речь об экзотических или об обычных, местных вредителях. Карантинная обработка, как правило, применяется в отношении экзотических вредителей, отсутствующих в стране, и требует очень высокой эффективности обеззараживания </w:t>
      </w:r>
      <w:r w:rsidR="00663157" w:rsidRPr="00E1048B">
        <w:t>–</w:t>
      </w:r>
      <w:r w:rsidRPr="00E1048B">
        <w:t xml:space="preserve"> максимально приближенной к 100 процентам. Обработка перед транспортировкой применяется в отношении обычных вредителей, для целей санитарной обработки и, как правило, к товарам, вывозимым из страны, и не требует столь же высокой эффективности обеззараживания, в связи с чем может использоваться более широкий круг альтернатив бромистому метилу. По оценкам Комитета, за счет разграничения этих двух видов применения и использования более широкого спектра альтернатив для обработки перед транспортировкой Стороны могут сократить использование бромистого метила примерно на 3000 тонн в год.</w:t>
      </w:r>
    </w:p>
    <w:p w14:paraId="1DEC1AA8"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 о регулируемых видах применения, он отметил, что обширные исследования, проведенные Комитетом, показали, что в некоторых странах по-прежнему практикуется регулируемое применение бромистого метила.</w:t>
      </w:r>
    </w:p>
    <w:p w14:paraId="05C7604C"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 адресованный Комитету по техническим вариантам замены медицинских видов применения и химических веществ, г-жа </w:t>
      </w:r>
      <w:proofErr w:type="spellStart"/>
      <w:r w:rsidRPr="00E1048B">
        <w:t>Тоуп</w:t>
      </w:r>
      <w:proofErr w:type="spellEnd"/>
      <w:r w:rsidRPr="00E1048B">
        <w:t xml:space="preserve"> пояснила, что хотя оценки выбросов при использовании в качестве исходного сырья не приведены в докладе о ходе работы, они будут содержаться в четырехгодичном докладе по итогам оценки, который будет представлен позднее в этом году. Отвечая на другой вопрос, она отметила, что коэффициент выбросов при использовании в качестве исходного сырья в размере 3,6 процента, указанный в недавнем документе, был изначально разработан Группой для ее доклада по итогам оценки (2022 год) и повторно приведен в ее докладе о ходе работы (2024 год). Этот показатель представляет собой оценку Группой среднего наиболее вероятного коэффициента выбросов, связанных с применением исходного сырья в производстве, и выбросов при транспортировке. Коэффициент выбросов в 0,5 процента, рассчитанный в начале 1990-х годов, являлся наиболее точной оценкой выбросов, подготовленной Группой на основе данных об объектах, расположенных преимущественно в Соединенных Штатах Америки и Европейском союзе. Она рекомендовала направлять все вопросы, касающиеся воздействия таких выбросов на озоновый слой, Группе по научной оценке.</w:t>
      </w:r>
    </w:p>
    <w:p w14:paraId="4CC5FF1A"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На вопрос о том, на скольких объектах в настоящее время применяется новая технология уничтожения c использованием паровой плазменной дуги, она ответила, что на основании представленной информации судить об этом сложно. Технология запатентована, однако точных сведений о ее применении нет, и, возможно, речь идет о новой технологии, еще не используемой в коммерческих целях. Что касается вопроса о том, может ли она быть рекомендована к одобрению для других категорий регулируемых веществ, то она сообщила, что в представленных материалах указано, что испытания проводились на 90 различных соединениях, однако не уточняется, на каких именно. Группа могла бы провести дополнительную оценку этой технологии в случае поступления дополнительной информации.</w:t>
      </w:r>
    </w:p>
    <w:p w14:paraId="62D86AD3" w14:textId="0123D53D"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вопросы, касающиеся ингаляторов, она отметила, что в докладе о ходе работы представлен обзор препятствий, с которыми сталкиваются Стороны, действующие в рамках статьи 5, а также препятствий, связанных с влиянием нормативного регулирования на доступность </w:t>
      </w:r>
      <w:proofErr w:type="spellStart"/>
      <w:r w:rsidRPr="00E1048B">
        <w:t>пропеллентов</w:t>
      </w:r>
      <w:proofErr w:type="spellEnd"/>
      <w:r w:rsidRPr="00E1048B">
        <w:t xml:space="preserve"> и с потенциальным воздействием графика поэтапного сокращения оборота ГФУ на бесперебойность поставок ГФУ-134a и ГФУ-227ea – </w:t>
      </w:r>
      <w:proofErr w:type="spellStart"/>
      <w:r w:rsidRPr="00E1048B">
        <w:t>пропеллентов</w:t>
      </w:r>
      <w:proofErr w:type="spellEnd"/>
      <w:r w:rsidRPr="00E1048B">
        <w:t xml:space="preserve">, используемых в настоящее время в дозированных ингаляторах. В четырехгодичном докладе по итогам оценки (2026 год) будет представлена более подробная оценка проблем и препятствий, а также отдельных вопросов, касающихся Сторон, действующих в рамках статьи 5, включая передачу технологий. Что касается темпов изменений, то процесс перехода все еще находится на начальном этапе, и сложно предсказать, как эти трудности будут проявляться со временем. В настоящий момент Группа указывает на зоны риска, связанные с тем, будут ли темпы перехода соответствовать графику поэтапного сокращения оборота в соответствии с Кигалийской поправкой и будет ли обеспечено достаточное предложение альтернатив. Она рекомендовала </w:t>
      </w:r>
      <w:r w:rsidRPr="00E1048B">
        <w:lastRenderedPageBreak/>
        <w:t xml:space="preserve">Сторонам использовать эти сведения для информирования их заинтересованных кругов о рисках, чтобы облегчить процесс перехода и предотвратить возникновение этих рисков. Что касается скорости внедрения ингаляторов на сухом порошке, различия в этом плане между регионами в определенной степени связаны с ценовой доступностью; ингаляторы на сухом порошке недостаточно доступны, как физически, так и по цене во многих частях мира, что препятствует их внедрению в Сторонах, действующих в рамках статьи 5. Кроме того, ингаляторы на сухом порошке подходят многим пациентам, но не всем </w:t>
      </w:r>
      <w:r w:rsidR="00C9225E" w:rsidRPr="00E1048B">
        <w:t>–</w:t>
      </w:r>
      <w:r w:rsidRPr="00E1048B">
        <w:t xml:space="preserve"> например, они непригодны для пациентов очень раннего или очень пожилого возраста с недостаточной скоростью потока на вдохе. </w:t>
      </w:r>
    </w:p>
    <w:p w14:paraId="23870D73" w14:textId="3600C635"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Г-н Чжан, отвечая на вопрос о применении ГХФУ-22 в качестве исходного сырья, подтвердил, что на долю этого вещества приходится около 50 процентов используемого исходного сырья. Рост его применения обусловлен увеличением спроса на тетрафторэтилен (ТФЭ), но особенно на </w:t>
      </w:r>
      <w:proofErr w:type="spellStart"/>
      <w:r w:rsidRPr="00E1048B">
        <w:t>гексафторпропилен</w:t>
      </w:r>
      <w:proofErr w:type="spellEnd"/>
      <w:r w:rsidRPr="00E1048B">
        <w:t xml:space="preserve"> (ГФП), который служит исходным сырьем для производства ГФО-1234yf, а также для </w:t>
      </w:r>
      <w:proofErr w:type="spellStart"/>
      <w:r w:rsidRPr="00E1048B">
        <w:t>перфторкетона</w:t>
      </w:r>
      <w:proofErr w:type="spellEnd"/>
      <w:r w:rsidRPr="00E1048B">
        <w:t xml:space="preserve"> </w:t>
      </w:r>
      <w:r w:rsidR="00C9225E" w:rsidRPr="00E1048B">
        <w:t>–</w:t>
      </w:r>
      <w:r w:rsidRPr="00E1048B">
        <w:t xml:space="preserve"> средства пожаротушения. ГФП также все шире используется в качестве жидкого теплоносителя в центрах хранения и обработки данных. </w:t>
      </w:r>
    </w:p>
    <w:p w14:paraId="0F1BC4BB" w14:textId="4C9B2349"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 заданный Комитету по техническим вариантам замены холодильного оборудования, систем кондиционирования воздуха и тепловых насосов и касающийся производительности систем кондиционирования воздуха и тепловых насосов при переходе на хладагенты ГФУ-32 и R-454B, г-н Абдель</w:t>
      </w:r>
      <w:r w:rsidR="00A664D6">
        <w:t>-А</w:t>
      </w:r>
      <w:r w:rsidRPr="00E1048B">
        <w:t xml:space="preserve">зиз отметил, что, согласно имеющейся информации, для традиционных конструкций существуют модели производительностью в диапазоне 5–15 тонн, однако они не всегда подходят для эксплуатации в условиях высокой температуры воздуха. Группа не располагает данными о том, снижается ли производительность системы при высоких температурах воздуха (46–48 градусов Цельсия), однако ей известно, что при повышенных температурах ГФУ-32 и R-454B действуют лучше, чем R-410A. В отношении связанного с этим вопроса о влиянии предельных значений заправки хладагентом, ограничений по размеру помещений и требований к детекторам утечек, а также о влиянии этого на использование канальных сплит-систем и других систем кондиционирования воздуха производительностью 5–15 тонн, он сообщил, что будут введены ограничения на использование хладагентов категории A3, однако имеющиеся данные не свидетельствуют о наличии проблем с использованием хладагентов категории A2N, особенно в нижней части этого диапазона. </w:t>
      </w:r>
      <w:bookmarkStart w:id="5" w:name="_Hlk202806926"/>
      <w:bookmarkStart w:id="6" w:name="_Hlk202805715"/>
      <w:bookmarkEnd w:id="5"/>
      <w:bookmarkEnd w:id="6"/>
    </w:p>
    <w:p w14:paraId="3756E624" w14:textId="09E0C49E"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Отвечая на вопросы, поднятые в связи с обсуждением в главе 6 доклада, посвященного странам с малыми и очень малыми объемами потребления, г-н Абдель</w:t>
      </w:r>
      <w:r w:rsidR="00A664D6">
        <w:t>-А</w:t>
      </w:r>
      <w:r w:rsidRPr="00E1048B">
        <w:t>зиз заверил Стороны в том, что такие страны являются важной частью «семьи» Монреальского протокола и что в готовящемся докладе Комитета по техническим вариантам замены холодильного оборудования, систем кондиционирования воздуха и тепловых насосов, посвященном сервисному обслуживанию, будет отдельная глава, посвященная их потребностям. Что касается выполнения решения XXXVII/3 об исследовании количества использованных или невостребованных регулируемых веществ и вариантов обращения с ними в рамках Монреальского протокола, включая вещества, находящиеся на завершающем этапе жизненного цикла, а также того, каким образом Группа будет оценивать доступность объектов для уничтожения и восстановления для стран с малыми и очень малыми объемами потребления, г</w:t>
      </w:r>
      <w:r w:rsidR="00C9225E" w:rsidRPr="00E1048B">
        <w:noBreakHyphen/>
      </w:r>
      <w:r w:rsidRPr="00E1048B">
        <w:t>н</w:t>
      </w:r>
      <w:r w:rsidR="00C9225E" w:rsidRPr="00E1048B">
        <w:t> </w:t>
      </w:r>
      <w:r w:rsidRPr="00E1048B">
        <w:t>Абдель</w:t>
      </w:r>
      <w:r w:rsidR="00A664D6">
        <w:t>-А</w:t>
      </w:r>
      <w:r w:rsidRPr="00E1048B">
        <w:t>зиз сослался на главу 8 доклада целевой группы по вопросу о пополнении, в которой содержится оценка расходов в размере 50 000 долл. США на трансграничную перевозку невостребованных веществ.</w:t>
      </w:r>
    </w:p>
    <w:p w14:paraId="1BC7D35D" w14:textId="1BAA300B"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В ответ на запрос г-н Абдель</w:t>
      </w:r>
      <w:r w:rsidR="00A664D6">
        <w:t>-А</w:t>
      </w:r>
      <w:r w:rsidRPr="00E1048B">
        <w:t xml:space="preserve">зиз предоставил дополнительную информацию о семи новых смесях хладагентов, представленных в таблице 6.1 доклада о ходе работы, отметив, что они лишь недавно были утверждены в соответствии со стандартом 34 Американского общества инженеров по отоплению, холодильному оборудованию и кондиционированию воздуха или стандартом 817 Международной организации по стандартизации и что компании только начинают искать способы их применения в своей продукции. Группа пока не располагает информацией об их применении какими-либо компаниями или в какой-либо продукции. Одна из смесей хладагентов </w:t>
      </w:r>
      <w:r w:rsidR="00C9225E" w:rsidRPr="00E1048B">
        <w:t>–</w:t>
      </w:r>
      <w:r w:rsidRPr="00E1048B">
        <w:t xml:space="preserve"> R-496A, содержащая </w:t>
      </w:r>
      <w:proofErr w:type="spellStart"/>
      <w:r w:rsidRPr="00E1048B">
        <w:t>перфторуглероды</w:t>
      </w:r>
      <w:proofErr w:type="spellEnd"/>
      <w:r w:rsidRPr="00E1048B">
        <w:t xml:space="preserve"> R-14 и R-116, </w:t>
      </w:r>
      <w:r w:rsidR="00C9225E" w:rsidRPr="00E1048B">
        <w:t>–</w:t>
      </w:r>
      <w:r w:rsidRPr="00E1048B">
        <w:t xml:space="preserve"> разработана с расчетом на очень низкую температуру начала кипения и может применяться в системах охлаждения при сверхнизких температурах. Отвечая на другой вопрос, он сообщил, что примерно в 149 странах действуют минимальные стандарты энергоэффективности или требования к маркировке для систем кондиционирования воздуха и примерно в 135 странах </w:t>
      </w:r>
      <w:r w:rsidR="00C9225E" w:rsidRPr="00E1048B">
        <w:t>–</w:t>
      </w:r>
      <w:r w:rsidRPr="00E1048B">
        <w:t>для бытового холодильного оборудования.</w:t>
      </w:r>
    </w:p>
    <w:p w14:paraId="5C0459EB" w14:textId="2B671C1D"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lastRenderedPageBreak/>
        <w:t xml:space="preserve">Г-н </w:t>
      </w:r>
      <w:proofErr w:type="spellStart"/>
      <w:r w:rsidRPr="00E1048B">
        <w:t>Пейшоту</w:t>
      </w:r>
      <w:proofErr w:type="spellEnd"/>
      <w:r w:rsidRPr="00E1048B">
        <w:t xml:space="preserve"> ответил на вопрос о влиянии электрификации транспортных средств на системы кондиционирования воздуха для транспортных средств, отметив, что этот вопрос перерос из проблемы кондиционирования воздуха для транспортных средств в проблему регулирования теплового режима. Проводится оценка новых хладагентов, новых систем и новых технологий, что открывает возможность пересмотра роли диоксида углерода </w:t>
      </w:r>
      <w:r w:rsidR="00C9225E" w:rsidRPr="00E1048B">
        <w:t>–</w:t>
      </w:r>
      <w:r w:rsidRPr="00E1048B">
        <w:t xml:space="preserve"> очень эффективного хладагента для тепловых насосов; это важный фактор для электромобилей, у которых отсутствуют отработавшие газы двигателя для целей обогрева. Для гибридных систем в качестве перспективной альтернативы также испытывается пропан в сочетании с другим промежуточным хладагентом. В четырехгодичный доклад по итогам оценки будет включен очень подробный раздел, посвященный электрификации транспортных средств.</w:t>
      </w:r>
    </w:p>
    <w:p w14:paraId="2DFA82FC" w14:textId="194309DE"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Переходя к вопросам, связанным с регулированием жизненного цикла хладагентов, г</w:t>
      </w:r>
      <w:r w:rsidR="00C9225E" w:rsidRPr="00E1048B">
        <w:noBreakHyphen/>
      </w:r>
      <w:r w:rsidRPr="00E1048B">
        <w:t>н</w:t>
      </w:r>
      <w:r w:rsidR="00C9225E" w:rsidRPr="00E1048B">
        <w:t> </w:t>
      </w:r>
      <w:proofErr w:type="spellStart"/>
      <w:r w:rsidRPr="00E1048B">
        <w:t>Пейшоту</w:t>
      </w:r>
      <w:proofErr w:type="spellEnd"/>
      <w:r w:rsidRPr="00E1048B">
        <w:t xml:space="preserve"> предложил представителям обратиться в Комитет по техническим вариантам замены медицинских видов применения и химических веществ, а также к соответствующим разделам в докладах о ходе работы и докладах по итогам оценки, касающихся утилизации, рециркуляции, восстановления и уничтожения, на предмет дополнительной информации о технологиях уничтожения и альтернативах. Кроме того, подготовка специалистов по сервисному обслуживанию имеет большое значение для перехода к использованию других хладагентов, сокращения выбросов и повышения энергоэффективности, и Группа приняла решение включить в доклад главу, где подробно рассматриваются проблемы, препятствия и альтернативы, связанные с сервисным обслуживанием. Утилизация, рециркуляция и восстановление представляют собой серьезную проблему еще со времени хлорфторуглеродов, и в их отношении существует множество препятствий </w:t>
      </w:r>
      <w:r w:rsidR="00C9225E" w:rsidRPr="00E1048B">
        <w:t>–</w:t>
      </w:r>
      <w:r w:rsidRPr="00E1048B">
        <w:t xml:space="preserve"> не только в развивающихся странах и во всех малых островных развивающихся государствах, но и в странах с более организованными секторами. Необходимо учитывать финансовые, технические и логистические аспекты, и, хотя в последнее время изменение климата стало еще одним фактором, стимулирующим регулирование жизненного цикла хладагентов, эта задача по</w:t>
      </w:r>
      <w:r w:rsidR="00250436" w:rsidRPr="00E1048B">
        <w:noBreakHyphen/>
      </w:r>
      <w:r w:rsidRPr="00E1048B">
        <w:t>прежнему остается сложной для всех стран.</w:t>
      </w:r>
    </w:p>
    <w:p w14:paraId="7E7FC5A0"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также на ряд вопросов, г-н </w:t>
      </w:r>
      <w:proofErr w:type="spellStart"/>
      <w:r w:rsidRPr="00E1048B">
        <w:t>Раджендран</w:t>
      </w:r>
      <w:proofErr w:type="spellEnd"/>
      <w:r w:rsidRPr="00E1048B">
        <w:t xml:space="preserve"> начал с признания того, что, поскольку ни один хладагент не отвечает всем требованиям в отношении таких аспектов, как безопасность, затраты, влияние на климат, эффективность и воздействие на окружающую среду, производители оборудования и хладагентов постоянно сталкиваются с вопросом о том, как расставлять приоритеты при выборе хладагентов с учетом неизбежных компромиссов. Очевидно, что хладагент должен обеспечивать требуемую холодопроизводительность, но помимо этого необходимо учитывать другие переменные, зависящие от конкретного вида применения. Группа не выносила каких-либо рекомендаций относительно того, как следует подходить к решению этого вопроса. Переходя к вопросу о растущем использовании диоксида углерода в крупных системах и пропана в небольших системах, а также в моноблочных тепловых насосах, и о ключевых факторах, способствующих этому росту, он отметил, что диоксид углерода, безусловно, экономически эффективен с точки зрения обеспечения требуемых эксплуатационных характеристик в крупных системах. Кроме того, фактор габаритов постепенно снижается, и можно ожидать, что со временем ситуация в этом отношении станет значительно лучше текущей. Пропан демонстрирует очень хорошие эксплуатационные характеристики, однако его применение ограничено объемом заправки хладагентами, допустимым в соответствии с различными стандартами безопасности. Малые системы, работающие на пропане, почти всегда заправляются и проверяются на герметичность на заводе и отгружаются уже заправленными, что является ключевым фактором их приемлемости.</w:t>
      </w:r>
    </w:p>
    <w:p w14:paraId="06CD814A"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На вопрос о том, как рост числа центров хранения и обработки данных может влиять на спрос на хладагенты, г-н </w:t>
      </w:r>
      <w:proofErr w:type="spellStart"/>
      <w:r w:rsidRPr="00E1048B">
        <w:t>Раджендран</w:t>
      </w:r>
      <w:proofErr w:type="spellEnd"/>
      <w:r w:rsidRPr="00E1048B">
        <w:t xml:space="preserve"> признал, что, хотя спрос, безусловно, вырастет, в настоящее время ведется активная научно-исследовательская работа по поиску новых способов охлаждения центров хранения и обработки данных. Хладагенты с низким потенциалом глобального потепления (ПГП), такие как R-1234ze и R-1233ze, как правило, используются в центрах хранения и обработки данных в рамках традиционных технологий охлаждения. В четырехгодичном докладе по итогам оценки центрам хранения и обработки данных будет посвящена целая глава. В заключение он отметил, что воздействие самих хладагентов, скорее всего, окажется ничтожно малым по сравнению с энергетическим воздействием центров хранения и обработки данных. </w:t>
      </w:r>
    </w:p>
    <w:p w14:paraId="14E5B898"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вопросы о ПФАВ, г-н </w:t>
      </w:r>
      <w:proofErr w:type="spellStart"/>
      <w:r w:rsidRPr="00E1048B">
        <w:t>Вудкок</w:t>
      </w:r>
      <w:proofErr w:type="spellEnd"/>
      <w:r w:rsidRPr="00E1048B">
        <w:t xml:space="preserve"> подчеркнул, что рекомендации Группы всегда нейтральны с точки зрения мер политики и что Группа не намерена вмешиваться в политические или нормативные процессы какой-либо Стороны. Тем не менее факт остается фактом: нормативные постановления и задержки в их принятии могут повлиять на ассортимент </w:t>
      </w:r>
      <w:r w:rsidRPr="00E1048B">
        <w:lastRenderedPageBreak/>
        <w:t xml:space="preserve">доступных альтернативных веществ и технологий. Он также пояснил, что Группа по научной оценке и Группа по оценке экологических последствий, с которыми Группа по техническому обзору и экономической оценке поддерживает тесные контакты, представят информацию о процессах разложения газообразных хладагентов с образованием трифторуксусной кислоты и о связанных с этим экологических последствиях. </w:t>
      </w:r>
    </w:p>
    <w:p w14:paraId="4BE76859"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Г-жа Уолтер-</w:t>
      </w:r>
      <w:proofErr w:type="spellStart"/>
      <w:r w:rsidRPr="00E1048B">
        <w:t>Терринони</w:t>
      </w:r>
      <w:proofErr w:type="spellEnd"/>
      <w:r w:rsidRPr="00E1048B">
        <w:t xml:space="preserve"> добавила, что Группе известно лишь о двух широких определениях ПФАВ, принятых в двух штатах Соединенных Штатов Америки, которые могут распространяться на вещества, регулируемые в рамках Монреальского протокола, и их заменители. Г-н </w:t>
      </w:r>
      <w:proofErr w:type="spellStart"/>
      <w:r w:rsidRPr="00E1048B">
        <w:t>Раджендран</w:t>
      </w:r>
      <w:proofErr w:type="spellEnd"/>
      <w:r w:rsidRPr="00E1048B">
        <w:t xml:space="preserve"> пояснил далее, что нормативные требования в отношении ПФАВ повлияют на доступность не только хладагентов, но и фторполимеров, используемых в прокладках, уплотнениях и подшипниках в холодильном оборудовании, оборудовании для кондиционирования воздуха и тепловых насосах.</w:t>
      </w:r>
    </w:p>
    <w:p w14:paraId="079B02F7" w14:textId="36E9A5C3"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Г-н </w:t>
      </w:r>
      <w:proofErr w:type="spellStart"/>
      <w:r w:rsidRPr="00E1048B">
        <w:t>Чаттауэй</w:t>
      </w:r>
      <w:proofErr w:type="spellEnd"/>
      <w:r w:rsidRPr="00E1048B">
        <w:t xml:space="preserve"> отметил, что, если говорить о задержках, вызванных нормативными положениями, основная проблема связана не с ГФУ, а с </w:t>
      </w:r>
      <w:proofErr w:type="spellStart"/>
      <w:r w:rsidRPr="00E1048B">
        <w:t>галоном</w:t>
      </w:r>
      <w:proofErr w:type="spellEnd"/>
      <w:r w:rsidRPr="00E1048B">
        <w:t xml:space="preserve"> 1301. В настоящее время для него имеется лишь одна серьезная альтернатива в системах пожаротушения, а именно смесь 2</w:t>
      </w:r>
      <w:r w:rsidR="00E245A7" w:rsidRPr="00E1048B">
        <w:noBreakHyphen/>
      </w:r>
      <w:r w:rsidR="00033CE2">
        <w:t>БТП</w:t>
      </w:r>
      <w:r w:rsidRPr="00E1048B">
        <w:t xml:space="preserve"> и диоксида углерода, однако авиационная отрасль по-прежнему не готова выделять значительные ресурсы, необходимые для полноценной разработки этой альтернативы, пока сохраняется неопределенность в вопросе о том, не воспрепятствуют ли ее применению будущие нормативные требования. </w:t>
      </w:r>
      <w:bookmarkStart w:id="7" w:name="_Hlk235013422"/>
      <w:bookmarkEnd w:id="7"/>
    </w:p>
    <w:p w14:paraId="60CD6F08"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Отвечая на вопросы об организации работы Группы, г-жа Писано подтвердила, что Группа рассматривала варианты реорганизации своих комитетов по техническим вариантам замены, а не сохранения существующей структуры, и что вынесенные рекомендации отражают состоявшиеся обсуждения; г-жа </w:t>
      </w:r>
      <w:proofErr w:type="spellStart"/>
      <w:r w:rsidRPr="00E1048B">
        <w:t>Маранион</w:t>
      </w:r>
      <w:proofErr w:type="spellEnd"/>
      <w:r w:rsidRPr="00E1048B">
        <w:t xml:space="preserve"> добавила, что этот вопрос все еще находится на рассмотрении. Группа также рассматривала возможность проведения совместных очных совещаний всех комитетов, однако это осложняется тем фактом, что комитеты иногда совмещают совещания с полевыми визитами. Отвечая на вопрос о расходах на поездки членов Группы из Сторон, не действующих в соответствии со статьей 5, г-жа Писано пояснила, что общей оценки не проводилось; иногда такие участники могут получать финансирование из других источников.</w:t>
      </w:r>
    </w:p>
    <w:p w14:paraId="442973AD" w14:textId="0D473FFA"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Что касается привлечения экспертов и создания вспомогательных органов, г</w:t>
      </w:r>
      <w:r w:rsidR="0067245F" w:rsidRPr="00E1048B">
        <w:noBreakHyphen/>
      </w:r>
      <w:r w:rsidRPr="00E1048B">
        <w:t>жа</w:t>
      </w:r>
      <w:r w:rsidR="0067245F" w:rsidRPr="00E1048B">
        <w:t> </w:t>
      </w:r>
      <w:proofErr w:type="spellStart"/>
      <w:r w:rsidRPr="00E1048B">
        <w:t>Маранион</w:t>
      </w:r>
      <w:proofErr w:type="spellEnd"/>
      <w:r w:rsidRPr="00E1048B">
        <w:t xml:space="preserve"> отметила, что Группа рассматривает возможность создания постоянной целевой группы по вопросу о пополнении, учитывая трудности, связанны</w:t>
      </w:r>
      <w:r w:rsidR="007815E3">
        <w:t>е</w:t>
      </w:r>
      <w:r w:rsidRPr="00E1048B">
        <w:t xml:space="preserve"> с формированием новой целевой группы каждые три года. Она также подтвердила, что в ежегодном очном </w:t>
      </w:r>
      <w:r w:rsidR="00BD50D9" w:rsidRPr="00E1048B">
        <w:t xml:space="preserve">совещании </w:t>
      </w:r>
      <w:r w:rsidRPr="00E1048B">
        <w:t xml:space="preserve">Группы участвуют только сопредседатели Комитетов по техническим вариантам замены и ведущие эксперты, а не весь членский состав всех комитетов. Она согласилась с тем, что Группа, равно как и Стороны, сталкивается с трудностями в достижении надлежащей сбалансированности членского состава с точки зрения возраста, географического происхождения и гендера; в их разрешении Группа полагается на кандидатуры, выдвигаемые Сторонами. Г-н </w:t>
      </w:r>
      <w:proofErr w:type="spellStart"/>
      <w:r w:rsidRPr="00E1048B">
        <w:t>Вудкок</w:t>
      </w:r>
      <w:proofErr w:type="spellEnd"/>
      <w:r w:rsidRPr="00E1048B">
        <w:t xml:space="preserve"> добавил, что Группа будет рассматривать такие варианты, как привлечение отдельных экспертов или менее частое проведение совещаний в периоды, когда объем технических достижений, о которых следует представлять информацию, окажется незначительным; Группа стремится отвечать поставленным целям для удовлетворения потребностей Сторон.</w:t>
      </w:r>
      <w:bookmarkStart w:id="8" w:name="_Hlk234997282"/>
      <w:bookmarkStart w:id="9" w:name="_Hlk234997475"/>
      <w:bookmarkEnd w:id="8"/>
      <w:bookmarkEnd w:id="9"/>
    </w:p>
    <w:p w14:paraId="054791A9" w14:textId="77777777" w:rsidR="00080D6C" w:rsidRPr="00E1048B" w:rsidRDefault="00080D6C" w:rsidP="00F66737">
      <w:pPr>
        <w:pStyle w:val="Normalnumber"/>
        <w:numPr>
          <w:ilvl w:val="0"/>
          <w:numId w:val="4"/>
        </w:numPr>
        <w:tabs>
          <w:tab w:val="clear" w:pos="1247"/>
          <w:tab w:val="clear" w:pos="1814"/>
          <w:tab w:val="clear" w:pos="2381"/>
          <w:tab w:val="clear" w:pos="2948"/>
          <w:tab w:val="clear" w:pos="3515"/>
        </w:tabs>
        <w:ind w:left="1247" w:firstLine="0"/>
      </w:pPr>
      <w:bookmarkStart w:id="10" w:name="_Hlk234996730"/>
      <w:r w:rsidRPr="00E1048B">
        <w:t xml:space="preserve">Отвечая на вопросы об организации работы Комитета по техническим вариантам замены медицинских видов применения и химических веществ, г-жа </w:t>
      </w:r>
      <w:proofErr w:type="spellStart"/>
      <w:r w:rsidRPr="00E1048B">
        <w:t>Тоуп</w:t>
      </w:r>
      <w:proofErr w:type="spellEnd"/>
      <w:r w:rsidRPr="00E1048B">
        <w:t xml:space="preserve"> подтвердила, что две подгруппы Комитета регулярно обсуждают межотраслевые вопросы, в том числе при рассмотрении плана работы Комитета и в процессе достижения консенсуса по его докладам. Эти обсуждения очень важны, и разделение на два подкомитета не пошло бы им на пользу. Подкомитеты примерно равны по размеру, хотя подкомитет по химическим веществам немного больше, чем подкомитет по медицинским видам применения. С учетом того, что общая численность Комитета составляет около 40 человек, она выразила надежду на то, что Стороны рассмотрят возможность применения той же модели, что и в Комитете по техническим вариантам замены холодильного оборудования, систем кондиционирования воздуха и тепловых насосов, и назначат четырех сопредседателей. </w:t>
      </w:r>
      <w:bookmarkStart w:id="11" w:name="_Hlk234996483"/>
      <w:bookmarkStart w:id="12" w:name="_Hlk234997987"/>
      <w:bookmarkEnd w:id="10"/>
      <w:bookmarkEnd w:id="11"/>
      <w:bookmarkEnd w:id="12"/>
    </w:p>
    <w:p w14:paraId="25ABC3C2" w14:textId="77777777" w:rsidR="00080D6C" w:rsidRDefault="00080D6C" w:rsidP="00F66737">
      <w:pPr>
        <w:pStyle w:val="Normalnumber"/>
        <w:numPr>
          <w:ilvl w:val="0"/>
          <w:numId w:val="4"/>
        </w:numPr>
        <w:tabs>
          <w:tab w:val="clear" w:pos="1247"/>
          <w:tab w:val="clear" w:pos="1814"/>
          <w:tab w:val="clear" w:pos="2381"/>
          <w:tab w:val="clear" w:pos="2948"/>
          <w:tab w:val="clear" w:pos="3515"/>
        </w:tabs>
        <w:ind w:left="1247" w:firstLine="0"/>
      </w:pPr>
      <w:r w:rsidRPr="00E1048B">
        <w:t xml:space="preserve">Г-н </w:t>
      </w:r>
      <w:proofErr w:type="spellStart"/>
      <w:r w:rsidRPr="00E1048B">
        <w:t>Раджендран</w:t>
      </w:r>
      <w:proofErr w:type="spellEnd"/>
      <w:r w:rsidRPr="00E1048B">
        <w:t xml:space="preserve"> добавил, что Комитет по техническим вариантам замены холодильного оборудования, систем кондиционирования воздуха и тепловых насосов также включает два подкомитета, в каждом из которых состоят около 20 членов. Основная часть их работы связана с межотраслевыми вопросами, такими как регулирование жизненного цикла хладагентов или энергоэффективность, в отношении которых их экспертные знания и опыт в значительной </w:t>
      </w:r>
      <w:r w:rsidRPr="00E1048B">
        <w:lastRenderedPageBreak/>
        <w:t>степени пересекаются. Он выразил мнение о том, что новая структура работает чрезвычайно эффективно, в чем Стороны смогут убедиться, когда в конце года будет представлен доклад по итогам оценки</w:t>
      </w:r>
      <w:r w:rsidRPr="006C0C39">
        <w:t>. Он также пояснил, что категория «прочие вопросы» в названии подкомитета по холодовой цепи и прочим вопросам относится к принципиально иным технологиям и системам охлаждения центров хранения и обработки данных.</w:t>
      </w:r>
    </w:p>
    <w:p w14:paraId="61DF1408" w14:textId="08E37F2F" w:rsidR="008D2B98" w:rsidRPr="00E1048B" w:rsidRDefault="0064468C" w:rsidP="0064468C">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t>А.</w:t>
      </w:r>
      <w:r w:rsidRPr="00E1048B">
        <w:rPr>
          <w:bCs/>
          <w:lang w:val="ru-RU"/>
        </w:rPr>
        <w:tab/>
      </w:r>
      <w:proofErr w:type="spellStart"/>
      <w:r w:rsidR="008D2B98" w:rsidRPr="00E1048B">
        <w:rPr>
          <w:bCs/>
          <w:lang w:val="ru-RU"/>
        </w:rPr>
        <w:t>Галон</w:t>
      </w:r>
      <w:proofErr w:type="spellEnd"/>
      <w:r w:rsidR="008D2B98" w:rsidRPr="00E1048B">
        <w:rPr>
          <w:bCs/>
          <w:lang w:val="ru-RU"/>
        </w:rPr>
        <w:t xml:space="preserve"> 1301 и его дальнейшее использование в авиационном секторе;</w:t>
      </w:r>
      <w:r w:rsidR="008D2B98" w:rsidRPr="00E1048B">
        <w:rPr>
          <w:lang w:val="ru-RU"/>
        </w:rPr>
        <w:t xml:space="preserve"> </w:t>
      </w:r>
      <w:r w:rsidR="008D2B98" w:rsidRPr="00E1048B">
        <w:rPr>
          <w:bCs/>
          <w:lang w:val="ru-RU"/>
        </w:rPr>
        <w:t>обращение с другими регулируемыми веществами, используемыми для пожаротушения (решение XXXVII/4)</w:t>
      </w:r>
    </w:p>
    <w:p w14:paraId="719C4994" w14:textId="7135D7BC"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Внося на рассмотрение настоящий подпункт, сопредседатель напомнила, что в решении</w:t>
      </w:r>
      <w:r w:rsidR="0064468C" w:rsidRPr="00E1048B">
        <w:t> </w:t>
      </w:r>
      <w:r w:rsidRPr="00E1048B">
        <w:t xml:space="preserve">XXXVII/4 тридцать седьмое Совещание Сторон не только поручило Группе по техническому обзору и экономической оценке представить доклад о доступности галонов и глобальном распределении запасов галонов, но и предложило Сторонам на добровольной основе направлять в секретариат имеющуюся информацию о разработке подходящих альтернатив для пожаротушения. Она поблагодарила 35 Сторон, представивших материалы; Группа рассмотрит их вместе с любыми дополнительными материалами, представленными </w:t>
      </w:r>
      <w:r w:rsidR="00A95892">
        <w:t>С</w:t>
      </w:r>
      <w:r w:rsidRPr="00E1048B">
        <w:t>торонами, в рамках подготовки доклада о ходе работы (2027 год).</w:t>
      </w:r>
      <w:bookmarkStart w:id="13" w:name="_Hlk235016827"/>
      <w:bookmarkEnd w:id="13"/>
    </w:p>
    <w:p w14:paraId="44432ECD" w14:textId="6F1E2012"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 xml:space="preserve">Она также отметила, что секретариат в сотрудничестве с секретариатом Базельской, Роттердамской и Стокгольмской конвенций, а также с секретариатом Многостороннего фонда подготовил практическое руководство по вопросу трансграничной перевозки регулируемых веществ и оборудования, содержащего эти вещества. Проект этого руководства был размещен на портале </w:t>
      </w:r>
      <w:r w:rsidR="007815E3">
        <w:t>С</w:t>
      </w:r>
      <w:r w:rsidRPr="00E1048B">
        <w:t>овещания для рассмотрения и использования Сторонами.</w:t>
      </w:r>
    </w:p>
    <w:p w14:paraId="288F4959" w14:textId="71C13C09"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 xml:space="preserve">Все выступившие представители поблагодарили Группу по техническому обзору и экономической оценке и входящий в ее состав Комитет по техническим вариантам замены для пожаротушения за их </w:t>
      </w:r>
      <w:r w:rsidR="007815E3">
        <w:t>интенсивную</w:t>
      </w:r>
      <w:r w:rsidR="007815E3" w:rsidRPr="00E1048B">
        <w:t xml:space="preserve"> </w:t>
      </w:r>
      <w:r w:rsidRPr="00E1048B">
        <w:t>работу. Несколько представителей, в том числе один, выступавший от имени группы Сторон, приветствовали также сотрудничество между секретариатом и секретариатом ИКАО в целях оценки доступности галонов в мире. Некоторые представители Сторон сообщили о предпринимаемых усилиях по оценке сохраняющихся видов применения галонов в их странах, доступности подходящих альтернатив и будущих механизмов поставок в соответствии с целями решения XXXVII/4.</w:t>
      </w:r>
    </w:p>
    <w:p w14:paraId="56D533C0" w14:textId="77777777"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Ряд представителей выразили обеспокоенность в связи с приближающимся сроком исчерпания запасов галона 1301 (2035 год плюс-минус четыре года) и рисками, которые это создает для поэтапного отказа от применения галонов и поэтапного сокращения оборота ГФУ в случае, если не удастся разработать альтернативы. Один представитель обратил внимание на резолюцию A42-11 ИКАО, в которой Совету было поручено разработать предложение о пересмотренном обоснованном предельном сроке замены галонов в грузовых отсеках и системах пожаротушения в новых моделях воздушных судов; на практике это может означать, что мировая отрасль гражданской авиации берет курс на использование галонов еще как минимум в течение 50 лет. Они признали, что работа над альтернативами продолжается, и выразили надежду на то, что она не прекратится, с тем чтобы имеющиеся запасы галонов можно было сохранить для тех видов применения, альтернатив для которых пока не существует.</w:t>
      </w:r>
    </w:p>
    <w:p w14:paraId="23F997F5" w14:textId="7D975F52"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bookmarkStart w:id="14" w:name="_Hlk235015351"/>
      <w:r w:rsidRPr="00E1048B">
        <w:t xml:space="preserve">Один представитель, выступая от имени группы Сторон, сообщила, что альтернатива </w:t>
      </w:r>
      <w:proofErr w:type="spellStart"/>
      <w:r w:rsidRPr="00E1048B">
        <w:t>галону</w:t>
      </w:r>
      <w:proofErr w:type="spellEnd"/>
      <w:r w:rsidRPr="00E1048B">
        <w:t xml:space="preserve"> 1301 </w:t>
      </w:r>
      <w:r w:rsidR="0064468C" w:rsidRPr="00E1048B">
        <w:t>–</w:t>
      </w:r>
      <w:r w:rsidRPr="00E1048B">
        <w:t xml:space="preserve"> смесь 2-БТП и двуокиси углерода </w:t>
      </w:r>
      <w:r w:rsidR="0064468C" w:rsidRPr="00E1048B">
        <w:t>–</w:t>
      </w:r>
      <w:r w:rsidRPr="00E1048B">
        <w:t xml:space="preserve"> уже доступна для ряда важнейших видов применения, в том числе для использования в ручных огнетушителях, гондолах двигателей и грузовых отсеках; эта альтернатива уже одобрена к применению в ее стране. Ее Сторона также запретила установку новых систем на основе галонов в грузовых отсеках воздушных судов начиная с конца 2024 года и предписала модернизацию всех существующих систем до конца 2040 года, что распространяется и на некоторые другие виды применения, например на использование в военной технике. Кроме того, ее Сторона уже взяла обязательство предусмотреть в готовящихся нормативных положениях о ПФАВ исключения для ключевых секторов, в которых отсутствуют подходящие альтернативы, не содержащие ПФАВ; авиационный сектор будет рассматриваться в этом контексте. Поскольку внедрение альтернативных решени</w:t>
      </w:r>
      <w:r w:rsidR="007815E3">
        <w:t>й</w:t>
      </w:r>
      <w:r w:rsidRPr="00E1048B">
        <w:t xml:space="preserve"> увеличит доступные объемы галона 1301 для тех видов применения, для которых не существует альтернатив, а также для более старых воздушных судов, это повлияет на сроки доступа к нему, которые обсуждались в докладе Группы по техническому обзору и экономической оценке. Она положительно оценила готовность Группы пересмотреть ее сценарии.</w:t>
      </w:r>
      <w:bookmarkStart w:id="15" w:name="_Hlk235016963"/>
      <w:bookmarkEnd w:id="14"/>
      <w:bookmarkEnd w:id="15"/>
    </w:p>
    <w:p w14:paraId="60981B1E" w14:textId="77777777"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lastRenderedPageBreak/>
        <w:t xml:space="preserve">Один представитель сообщила, что применение 2-БТП уже одобрено в ее Стороне, а применение смеси 2-БТП и диоксида углерода находится на стадии оценки. Она призвала представить четкую информацию о нормативной базе в разных странах, чтобы производители могли соответствующим образом планировать свою работу. </w:t>
      </w:r>
    </w:p>
    <w:p w14:paraId="48518F2F" w14:textId="77777777"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 xml:space="preserve">Представитель одной из Сторон, действующих в рамках статьи 5, подчеркнула важность обеспечения того, чтобы регулирование существующих запасов не ограничивало возможности пожаротушения для функционирующего воздушного флота. Она призвала возложить основную ответственность за ускорение разработки, сертификации и внедрения альтернативных решений на производителей оригинального оборудования и мировую аэрокосмическую индустрию. Она также подчеркнула, что альтернативы </w:t>
      </w:r>
      <w:proofErr w:type="spellStart"/>
      <w:r w:rsidRPr="00E1048B">
        <w:t>галону</w:t>
      </w:r>
      <w:proofErr w:type="spellEnd"/>
      <w:r w:rsidRPr="00E1048B">
        <w:t xml:space="preserve"> 1301 должны быть не только технически возможными, но и доступными на рынке, а также экономически приемлемыми для авиакомпаний в развивающихся странах, и что переход на них должен сопровождаться созданием потенциала и передачей технологий.</w:t>
      </w:r>
    </w:p>
    <w:p w14:paraId="64238D4F" w14:textId="77777777"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 xml:space="preserve">Несколько представителей высказались о необходимости максимально увеличить объемы утилизации и повторного использования галонов, а также избегать уничтожения тех галонов, которые можно переработать и использовать повторно. Один из них отметил, что было бы целесообразно разработать </w:t>
      </w:r>
      <w:proofErr w:type="spellStart"/>
      <w:r w:rsidRPr="00E1048B">
        <w:t>международно</w:t>
      </w:r>
      <w:proofErr w:type="spellEnd"/>
      <w:r w:rsidRPr="00E1048B">
        <w:t xml:space="preserve"> признанные руководящие принципы, позволяющие отличать загрязненный </w:t>
      </w:r>
      <w:proofErr w:type="spellStart"/>
      <w:r w:rsidRPr="00E1048B">
        <w:t>галон</w:t>
      </w:r>
      <w:proofErr w:type="spellEnd"/>
      <w:r w:rsidRPr="00E1048B">
        <w:t xml:space="preserve"> от пригодного к использованию восстановленного галона, что помогло бы обеспечить авиакомпаниям доступ к необходимым запасам, не используя при этом Стороны, действующие в рамках статьи 5, в качестве полигонов для сброса отходов. Другой представитель отметила, что в ее Стороне уничтожение галонов запрещено, что стимулирует их утилизацию и повторное использование. </w:t>
      </w:r>
    </w:p>
    <w:p w14:paraId="620CE991" w14:textId="0ED0FB23"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 xml:space="preserve">Ряд представителей высказали замечания относительно возможного применения к </w:t>
      </w:r>
      <w:proofErr w:type="spellStart"/>
      <w:r w:rsidRPr="00E1048B">
        <w:t>галону</w:t>
      </w:r>
      <w:proofErr w:type="spellEnd"/>
      <w:r w:rsidRPr="00E1048B">
        <w:t xml:space="preserve"> 1301 предусмотренной Протоколом процедуры предоставления исключений в отношении основных видов применения. Они выразили мнение о том, что, поскольку дефицит в ближайшее время не ожидается, нет необходимости срочно приступать к работе над возможным пересмотром. Один представитель обратил особое внимание на то, что, поскольку отдельные Стороны не будут заранее знать объемы галона 1301, которые необходимо ежегодно производить и потреблять для удовлетворения </w:t>
      </w:r>
      <w:r w:rsidR="007815E3">
        <w:t>нужд</w:t>
      </w:r>
      <w:r w:rsidRPr="00E1048B">
        <w:t xml:space="preserve"> гражданской авиации в техническом обслуживании в пределах их юрисдикции, действующая процедура предоставления исключений в отношении основных видов применения, по всей вероятности, окажется недостаточной для удовлетворения их потребностей в </w:t>
      </w:r>
      <w:proofErr w:type="spellStart"/>
      <w:r w:rsidRPr="00E1048B">
        <w:t>галоне</w:t>
      </w:r>
      <w:proofErr w:type="spellEnd"/>
      <w:r w:rsidRPr="00E1048B">
        <w:t xml:space="preserve"> 1301. В связи с этим было бы целесообразно приступить к рассмотрению этого вопроса на случай, если в будущем действительно возникнет необходимость в подаче заявки на основные виды применения.</w:t>
      </w:r>
    </w:p>
    <w:p w14:paraId="7E924396" w14:textId="77777777"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 xml:space="preserve">Несколько представителей заявили, что они были бы признательны за возможность провести более углубленные технические обсуждения с Группой по техническому обзору и экономической оценке, а также получить дополнительные разъяснения в отношении допущений и цифр, представленных в докладе Группы. </w:t>
      </w:r>
    </w:p>
    <w:p w14:paraId="1E790302" w14:textId="2C94E497" w:rsidR="008D2B98" w:rsidRPr="00E1048B" w:rsidRDefault="008D2B98" w:rsidP="0064468C">
      <w:pPr>
        <w:pStyle w:val="Normalnumber"/>
        <w:numPr>
          <w:ilvl w:val="0"/>
          <w:numId w:val="4"/>
        </w:numPr>
        <w:tabs>
          <w:tab w:val="clear" w:pos="1247"/>
          <w:tab w:val="clear" w:pos="1814"/>
          <w:tab w:val="clear" w:pos="2381"/>
          <w:tab w:val="clear" w:pos="2948"/>
          <w:tab w:val="clear" w:pos="3515"/>
        </w:tabs>
        <w:ind w:left="1247" w:firstLine="0"/>
      </w:pPr>
      <w:r w:rsidRPr="00E1048B">
        <w:t>Рабочая группа закончила обсуждение этого подпункта повестки дня. Завершая обсуждение данного подпункта, сопредседатель предложила заинтересованным Сторонам найти время для неофициальных обсуждений с Комитетом по техническим вариантам замены для пожаротушения в перерывах между совещания</w:t>
      </w:r>
      <w:r w:rsidR="007815E3">
        <w:t>ми</w:t>
      </w:r>
      <w:r w:rsidRPr="00E1048B">
        <w:t>, отметив, что этот вопрос может быть вновь рассмотрен в 2027 году после публикации четырехгодичного доклада об оценке и доклада о ходе работы (2027 год).</w:t>
      </w:r>
    </w:p>
    <w:p w14:paraId="4DFF444A" w14:textId="747EF014" w:rsidR="008D2B98" w:rsidRPr="00E1048B" w:rsidRDefault="00111355" w:rsidP="0011135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8D2B98" w:rsidRPr="00E1048B">
        <w:rPr>
          <w:bCs/>
          <w:lang w:val="ru-RU"/>
        </w:rPr>
        <w:t>B.</w:t>
      </w:r>
      <w:r w:rsidR="008D2B98" w:rsidRPr="00E1048B">
        <w:rPr>
          <w:lang w:val="ru-RU"/>
        </w:rPr>
        <w:tab/>
      </w:r>
      <w:r w:rsidR="008D2B98" w:rsidRPr="00E1048B">
        <w:rPr>
          <w:bCs/>
          <w:lang w:val="ru-RU"/>
        </w:rPr>
        <w:t>Дозированные ингаляторы с пропеллентами с низким потенциалом глобального потепления (решение XXXVI/6)</w:t>
      </w:r>
    </w:p>
    <w:p w14:paraId="55A47168" w14:textId="47AA8BDE"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Внося на рассмотрение этот подпункт, сопредседатель напомнила, что в решении</w:t>
      </w:r>
      <w:r w:rsidR="008540A4" w:rsidRPr="00E1048B">
        <w:t> </w:t>
      </w:r>
      <w:r w:rsidRPr="00E1048B">
        <w:t>XXXVI/6 тридцать шестое Совещание Сторон поручило Группе по техническому обзору и экономической оценке продолжать представлять обновленную информацию о дозированных ингаляторах с низким потенциалом глобального потепления (ПГП) в ежегодных докладах о ходе работы. Группа представила Сторонам обновленную информацию по этому вопросу в своем сообщении ранее на текущей неделе.</w:t>
      </w:r>
      <w:bookmarkStart w:id="16" w:name="_Hlk235024866"/>
      <w:bookmarkEnd w:id="16"/>
    </w:p>
    <w:p w14:paraId="1FF5BAF3" w14:textId="77777777"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 xml:space="preserve">Выразив признательность Группе за ее доклад, один представитель, выступавший от имени группы Сторон, отметил, что в докладе освещен ряд положительных изменений, произошедших со времени представления доклада за предыдущий год. Использование ингаляторов на сухом порошке все больше распространяется во многих странах, и ряд производителей, в том числе в некоторых Сторонах, действующих в рамках статьи 5, разработали дозированные ингаляторы нового поколения с пропеллентами с более низким </w:t>
      </w:r>
      <w:r w:rsidRPr="00E1048B">
        <w:lastRenderedPageBreak/>
        <w:t xml:space="preserve">ПГП. В его Стороне введенная в 2025 году система квот на ГФУ обеспечила стимул для замены ГФУ с высоким ПГП на уровне мер политики. Он призвал другие Стороны представлять секретариату информацию об изменениях в их странах и выразил надежду на дальнейшее обсуждение этого вопроса после выхода следующего четырехгодичного доклада об оценке. </w:t>
      </w:r>
    </w:p>
    <w:p w14:paraId="076EBB8B" w14:textId="77777777"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 xml:space="preserve">Другой представитель, согласившись с тем, что достигнутый прогресс вызывает оптимизм, тем не менее предупредил, что альтернативы с низким ПГП по-прежнему находятся на ранней стадии разработки и пока не являются </w:t>
      </w:r>
      <w:proofErr w:type="gramStart"/>
      <w:r w:rsidRPr="00E1048B">
        <w:t>широко доступными</w:t>
      </w:r>
      <w:proofErr w:type="gramEnd"/>
      <w:r w:rsidRPr="00E1048B">
        <w:t xml:space="preserve"> во многих Сторонах. Он также поддержал обращенную к Сторонам просьбу обмениваться информацией о технологических разработках, одобрениях регулирующих органов, вопросах производства и планировании перехода в их странах и уточнил у секретариата, возможно ли разместить материалы, представленные двумя Сторонами, на веб-сайте секретариата. Представитель секретариата ответил, что это возможно при условии получения согласия этих Сторон.</w:t>
      </w:r>
    </w:p>
    <w:p w14:paraId="6672A0D1" w14:textId="77777777"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Представитель одной из Сторон, действующих в рамках статьи 5, отметила, что при переходе соображения охраны здоровья имеют такое же важное значение, как и вопросы охраны окружающей среды. Учитывая, что на дозированные ингаляторы приходится примерно 70 процентов всех доз ингаляционных препаратов в мире, важно не препятствовать доступу к жизненно важным лекарствам и не обременять пациентов в странах с низким и средним уровнем дохода непропорционально высокими расходами. У Сторон должно сохраняться суверенное право определять собственные пути перехода с учетом особенностей их систем здравоохранения, готовности альтернативных решений и времени, необходимого для процедур утверждения на национальном уровне. Отметив, что ограничения, связанные с интеллектуальной собственностью и передачей технологий, серьезно затрудняют обеспечение альтернативными пропеллентами по приемлемой стоимости, она призвала принять меры к тому, чтобы патенты не сдерживали производство препаратов-дженериков в Сторонах, действующих в рамках статьи 5, и обеспечить им техническую и финансовую поддержку.</w:t>
      </w:r>
      <w:bookmarkStart w:id="17" w:name="_Hlk235025896"/>
      <w:bookmarkEnd w:id="17"/>
    </w:p>
    <w:p w14:paraId="4BE619BF" w14:textId="4EFFB01E"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Ряд представителей согласились с этим, призвав поощрять дальнейшие усилия отрасли, Сторон и других соответствующих заинтересованных субъектов по обеспечению того, чтобы дозированные ингаляторы с низким ПГП были доступны по приемлемым ценам при условии надлежащей передачи технологий и создания потенциала для Сторон, действующих в рамках статьи 5. Один из них отметил, что на производство дозированных ингаляторов приходится 30</w:t>
      </w:r>
      <w:r w:rsidR="008540A4" w:rsidRPr="00E1048B">
        <w:t> </w:t>
      </w:r>
      <w:r w:rsidRPr="00E1048B">
        <w:t xml:space="preserve">процентов общего потребления ГФУ-134a в его стране. Другой представитель, указав, что один из производителей ингаляторов в ее стране заявил об отсутствии альтернатив ГФУ-134a, призвала представить дополнительную информацию о наличии и стоимости альтернативных </w:t>
      </w:r>
      <w:proofErr w:type="spellStart"/>
      <w:r w:rsidRPr="00E1048B">
        <w:t>пропеллентов</w:t>
      </w:r>
      <w:proofErr w:type="spellEnd"/>
      <w:r w:rsidRPr="00E1048B">
        <w:t>.</w:t>
      </w:r>
      <w:bookmarkStart w:id="18" w:name="_Hlk235026167"/>
      <w:bookmarkEnd w:id="18"/>
    </w:p>
    <w:p w14:paraId="25E1D755" w14:textId="77777777"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напомнил, что, поскольку не все пациенты переносят альтернативные вещества, используемые в качестве </w:t>
      </w:r>
      <w:proofErr w:type="spellStart"/>
      <w:r w:rsidRPr="00E1048B">
        <w:t>пропеллентов</w:t>
      </w:r>
      <w:proofErr w:type="spellEnd"/>
      <w:r w:rsidRPr="00E1048B">
        <w:t xml:space="preserve"> в дозированных ингаляторах, необходимо обеспечить возможность дальнейшего применения ГФУ-134a после 2030 года. Поэтому важно сохранить содержащееся в Кигалийской поправке требование о поэтапном сокращении оборота ГФУ, а не о поэтапном отказе от ГФУ.</w:t>
      </w:r>
    </w:p>
    <w:p w14:paraId="6F6D1938" w14:textId="77777777" w:rsidR="008D2B98" w:rsidRPr="00E1048B" w:rsidRDefault="008D2B98" w:rsidP="008540A4">
      <w:pPr>
        <w:pStyle w:val="Normalnumber"/>
        <w:numPr>
          <w:ilvl w:val="0"/>
          <w:numId w:val="4"/>
        </w:numPr>
        <w:tabs>
          <w:tab w:val="clear" w:pos="1247"/>
          <w:tab w:val="clear" w:pos="1814"/>
          <w:tab w:val="clear" w:pos="2381"/>
          <w:tab w:val="clear" w:pos="2948"/>
          <w:tab w:val="clear" w:pos="3515"/>
        </w:tabs>
        <w:ind w:left="1247" w:firstLine="0"/>
      </w:pPr>
      <w:r w:rsidRPr="00E1048B">
        <w:t>Рабочая группа закончила обсуждение этого подпункта повестки дня. Завершая обсуждение подпункта, сопредседатель отметила, что к этому вопросу можно будет вернуться в 2027 году после публикации четырехгодичного доклада об оценке.</w:t>
      </w:r>
    </w:p>
    <w:p w14:paraId="1747AF35" w14:textId="7F96ACF1" w:rsidR="008D2B98" w:rsidRPr="00E1048B" w:rsidRDefault="008540A4" w:rsidP="008540A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8D2B98" w:rsidRPr="00E1048B">
        <w:rPr>
          <w:bCs/>
          <w:lang w:val="ru-RU"/>
        </w:rPr>
        <w:t>C.</w:t>
      </w:r>
      <w:r w:rsidR="008D2B98" w:rsidRPr="00E1048B">
        <w:rPr>
          <w:lang w:val="ru-RU"/>
        </w:rPr>
        <w:tab/>
      </w:r>
      <w:r w:rsidR="008D2B98" w:rsidRPr="00E1048B">
        <w:rPr>
          <w:bCs/>
          <w:lang w:val="ru-RU"/>
        </w:rPr>
        <w:t>Варианты организации Группы и ее комитетов по техническим вариантам замены (решение XXXV/20)</w:t>
      </w:r>
    </w:p>
    <w:p w14:paraId="49E83069" w14:textId="7C87B3BA"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Внося на рассмотрение этот подпункт, сопредседатель обратила внимание на пункты</w:t>
      </w:r>
      <w:r w:rsidR="00E14B8D" w:rsidRPr="00E1048B">
        <w:t> </w:t>
      </w:r>
      <w:r w:rsidRPr="00E1048B">
        <w:t xml:space="preserve">20–22 записки секретариата о вопросах для обсуждения Рабочей группой открытого состава на ее сорок восьмом совещании и информации к ее сведению (UNEP/OzL.Pro.WG.1/48/2), пункты 49–56 добавления к ней (UNEP/OzL.Pro.WG.1/48/2/Add.1), а также на главу 8 и приложение III к докладу Группы по техническому обзору и экономической оценке (май 2026 года, том 1). Она напомнила, что на сорок седьмом совещании Рабочей группы открытого состава неофициальная группа заинтересованных Сторон провела в кулуарах совещания встречу с сопредседателями Группы и ее комитетов по техническим вариантам замены для обсуждения вариантов организации работы Группы и ее комитетов по техническим вариантам замены, представленных Группой в главе 8 ее доклада о ходе работы (2025 год). На тридцать седьмом Совещании Сторон неофициальная группа пришла к выводу о том, что время для реорганизации Группы и ее комитетов по техническим вариантам замены еще не пришло, и Стороны постановили включить этот пункт в повестку дня текущего совещания. В главе 8 своего доклада о ходе работы (2026 год) Группа представила дополнительный анализ и обозначила предпочтительные варианты реорганизации. Краткое </w:t>
      </w:r>
      <w:r w:rsidRPr="00E1048B">
        <w:lastRenderedPageBreak/>
        <w:t>изложение этого анализа содержится в добавлении к записке секретариата. Первоначальный обмен мнениями по этому вопросу состоялся также в ходе сессии вопросов и ответов, которая последовала за сообщениями Группы о ее докладе о ходе работы (2026 год), которые были представлены на текущем совещании.</w:t>
      </w:r>
    </w:p>
    <w:p w14:paraId="5713E205" w14:textId="77777777"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В ходе последовавшего обсуждения несколько представителей, в том числе один, выступавший от имени группы Сторон, выразили признательность за работу Группы, ее комитетов по техническим вариантам замены и вспомогательных органов, а также за всю информацию, представляемую ею Сторонам. Они поблагодарили Группу за рассмотрение вопроса об организации работы как самой Группы, так и комитетов по техническим вариантам замены, а также за признание важности устойчивости и трудностей, связанных с управлением преобразованиями. Несколько представителей, в том числе один, выступавший от имени группы Сторон, отметили, что обсуждения возможной реорганизации ведутся уже несколько лет. Некоторые из них, включая представителя, выступавшего от имени группы Сторон, заявили, что положительно оценивают то, что Группа обозначила свои предпочтительные варианты реорганизации, которые отсутствовали в предыдущих докладах.</w:t>
      </w:r>
    </w:p>
    <w:p w14:paraId="1EBD8578" w14:textId="77777777"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заявил, что в целом поддерживает предпочтительный вариант Группы в отношении структуры Комитета по техническим вариантам замены холодильного оборудования, систем кондиционирования воздуха и тепловых насосов, а именно создание двух подкомитетов. Вместе с тем в отношении структуры Комитета по техническим вариантам замены медицинских видов применения и химических веществ мнения разделились. В то время как один представитель высказался в поддержку концепции двух подкомитетов, другой представитель заявил, что имеются веские основания изучить возможность разделения этого комитета по техническим вариантам замены на два самостоятельных комитета, поскольку входящие в его нынешний круг ведения вопросы медицинских видов применения и аэрозолей, с одной стороны, и химических веществ – с другой, все более расходятся. Разделение этих видов деятельности способствовало бы обеспечению надлежащей направленности и результативности; при этом Группа могла бы решать вопросы, связанные с дублированием функций комитетов.</w:t>
      </w:r>
    </w:p>
    <w:p w14:paraId="4C84F202" w14:textId="77777777"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отметил сходство между этим подпунктом и пунктом 6 повестки дня об обеспечении устойчивости деятельности Монреальского протокола за счет повышения эффективности и результативности его процессов. В рамках нынешнего обсуждения следует также уделить внимание долгосрочной устойчивости Группы, в том числе вопросам о том, как сохранить разнообразный и сбалансированный экспертный состав, обеспечить надлежащую поддержку участия и сформировать кадровый резерв экспертов на будущее. Другой представитель отметил, что, хотя онлайновые совещания дают экономию средств, они не способствуют формированию взаимного уважения и доверия, которые возникают при личном общении. Тот же представитель отметил трудности, вызванные тем, что старшие эксперты одновременно являются членами комитетов по техническим вариантам замены, и поддержал предложения сократить число старших экспертов и предусмотреть, чтобы оставшиеся старшие эксперты не входили в состав комитетов по техническим вариантам замены. Еще один представитель подчеркнул необходимость обеспечения справедливой географической представленности в Группе и во всех ее комитетах по техническим вариантам замены, а также важность расширения участия экспертов из развивающихся стран, в том числе из Африки.</w:t>
      </w:r>
    </w:p>
    <w:p w14:paraId="2C89ABD0" w14:textId="77777777"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предложили продолжить обсуждение этого вопроса в рамках неофициальной группы, в работе которой должна участвовать и Группа, с тем чтобы отвечать на дальнейшие вопросы.</w:t>
      </w:r>
    </w:p>
    <w:p w14:paraId="3CADAB0C" w14:textId="77777777"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 xml:space="preserve">Рабочая группа открытого состава постановила учредить неофициальную группу под совместным руководством Хайди </w:t>
      </w:r>
      <w:proofErr w:type="spellStart"/>
      <w:r w:rsidRPr="00E1048B">
        <w:t>Штокхаус</w:t>
      </w:r>
      <w:proofErr w:type="spellEnd"/>
      <w:r w:rsidRPr="00E1048B">
        <w:t xml:space="preserve"> (Германия) и Камиллы Ноэль (Вануату) для дальнейшего обсуждения вариантов организации работы Группы и ее комитетов по техническим вариантам замены. </w:t>
      </w:r>
    </w:p>
    <w:p w14:paraId="2C577BD2" w14:textId="77777777" w:rsidR="008D2B98" w:rsidRPr="00E1048B" w:rsidRDefault="008D2B98" w:rsidP="00E14B8D">
      <w:pPr>
        <w:pStyle w:val="Normalnumber"/>
        <w:numPr>
          <w:ilvl w:val="0"/>
          <w:numId w:val="4"/>
        </w:numPr>
        <w:tabs>
          <w:tab w:val="clear" w:pos="1247"/>
          <w:tab w:val="clear" w:pos="1814"/>
          <w:tab w:val="clear" w:pos="2381"/>
          <w:tab w:val="clear" w:pos="2948"/>
          <w:tab w:val="clear" w:pos="3515"/>
        </w:tabs>
        <w:ind w:left="1247" w:firstLine="0"/>
      </w:pPr>
      <w:r w:rsidRPr="00E1048B">
        <w:t>Впоследствии сопредседатель неофициальной группы сообщила, что из-за нехватки времени группе не удалось завершить свою работу. В связи с этим Рабочая группа постановила возобновить обсуждение вариантов организации работы Группы и ее комитетов по техническим вариантам замены на тридцать восьмом Совещании Сторон, отметив, что до этого совещания Группа представит ответы на ряд вопросов, поднятых Сторонами в неофициальной группе.</w:t>
      </w:r>
    </w:p>
    <w:p w14:paraId="22D8AECE" w14:textId="549F36E4" w:rsidR="008D2B98" w:rsidRPr="00E1048B" w:rsidRDefault="00E14B8D" w:rsidP="00E80118">
      <w:pPr>
        <w:pStyle w:val="CH2"/>
        <w:tabs>
          <w:tab w:val="clear" w:pos="1247"/>
          <w:tab w:val="clear" w:pos="1871"/>
          <w:tab w:val="clear" w:pos="2495"/>
          <w:tab w:val="clear" w:pos="3119"/>
          <w:tab w:val="clear" w:pos="3742"/>
          <w:tab w:val="clear" w:pos="4366"/>
          <w:tab w:val="clear" w:pos="4990"/>
        </w:tabs>
        <w:spacing w:before="0"/>
        <w:ind w:right="340"/>
        <w:rPr>
          <w:lang w:val="ru-RU"/>
        </w:rPr>
      </w:pPr>
      <w:r w:rsidRPr="00E1048B">
        <w:rPr>
          <w:bCs/>
          <w:lang w:val="ru-RU"/>
        </w:rPr>
        <w:lastRenderedPageBreak/>
        <w:tab/>
      </w:r>
      <w:r w:rsidR="008D2B98" w:rsidRPr="00E1048B">
        <w:rPr>
          <w:bCs/>
          <w:lang w:val="ru-RU"/>
        </w:rPr>
        <w:t>D.</w:t>
      </w:r>
      <w:r w:rsidR="008D2B98" w:rsidRPr="00E1048B">
        <w:rPr>
          <w:lang w:val="ru-RU"/>
        </w:rPr>
        <w:tab/>
      </w:r>
      <w:r w:rsidR="008D2B98" w:rsidRPr="00E1048B">
        <w:rPr>
          <w:bCs/>
          <w:lang w:val="ru-RU"/>
        </w:rPr>
        <w:t>Изменения в членском составе Группы</w:t>
      </w:r>
    </w:p>
    <w:p w14:paraId="22A8B94B" w14:textId="51EF07B2" w:rsidR="008D2B98" w:rsidRPr="00E1048B" w:rsidRDefault="008D2B98" w:rsidP="00166003">
      <w:pPr>
        <w:pStyle w:val="Normalnumber"/>
        <w:numPr>
          <w:ilvl w:val="0"/>
          <w:numId w:val="4"/>
        </w:numPr>
        <w:tabs>
          <w:tab w:val="clear" w:pos="1247"/>
          <w:tab w:val="clear" w:pos="1814"/>
          <w:tab w:val="clear" w:pos="2381"/>
          <w:tab w:val="clear" w:pos="2948"/>
          <w:tab w:val="clear" w:pos="3515"/>
        </w:tabs>
        <w:ind w:left="1247" w:firstLine="0"/>
      </w:pPr>
      <w:r w:rsidRPr="00E1048B">
        <w:t>Представляя этот подпункт, сопредседатель обратила внимание на пункты 23 и 24 записки секретариата о вопросах для обсуждения Рабочей группой открытого состава на ее сорок восьмом совещании и информации к ее сведению (UNEP/OzL.Pro.WG.1/48/2), на пункты</w:t>
      </w:r>
      <w:r w:rsidR="00166003" w:rsidRPr="00E1048B">
        <w:t> </w:t>
      </w:r>
      <w:r w:rsidRPr="00E1048B">
        <w:t>57–62, таблицу 3 и приложение III к добавлению к ней (UNEP/OzL.Pro.WG.1/48/2/Add.1), а также на приложения II и III к докладу Группы по техническому обзору и экономической оценке (май 2026 года, том 1). Она напомнила, что в таблице 3 добавления к записке секретариата перечислены девять членов Группы, срок полномочий которых истекает в конце 2026 года и повторное назначение которых требует решения тридцать восьмого Совещания Сторон. Срок полномочий некоторых членов комитетов по техническим вариантам замены также истекает в конце 2026 года, однако их повторное назначение не требует решения Совещания Сторон. Поскольку кандидатуры в комитеты по техническим вариантам замены могут выдвигаться в любое время, этот вопрос не требует рассмотрения Рабочей группой открытого состава или Совещанием Сторон. Что касается девяти должностей в Группе, требующих принятия решения, то секретариат осуществляет сбор кандидатур и будет размещать их на портале тридцать восьмого Совещания Сторон по мере поступления.</w:t>
      </w:r>
    </w:p>
    <w:p w14:paraId="0BFF6775" w14:textId="77777777" w:rsidR="008D2B98" w:rsidRPr="00E1048B" w:rsidRDefault="008D2B98" w:rsidP="00166003">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подчеркнул, что любые будущие изменения в составе Группы или ее комитетов по техническим вариантам замены должны обеспечивать сохранение технического экспертного потенциала этих органов, справедливой географической представленности и представленности Сторон, действующих в рамках статьи 5, особенно стран с высокой температурой окружающего воздуха. Любые будущие предложения должны разрабатываться на основе широких консультаций со Сторонами и опираться на четкую оценку их воздействия.</w:t>
      </w:r>
    </w:p>
    <w:p w14:paraId="78CF6247" w14:textId="77777777" w:rsidR="008D2B98" w:rsidRPr="00E1048B" w:rsidRDefault="008D2B98" w:rsidP="0022754D">
      <w:pPr>
        <w:pStyle w:val="Normalnumber"/>
        <w:numPr>
          <w:ilvl w:val="0"/>
          <w:numId w:val="4"/>
        </w:numPr>
        <w:tabs>
          <w:tab w:val="clear" w:pos="1247"/>
          <w:tab w:val="clear" w:pos="1814"/>
          <w:tab w:val="clear" w:pos="2381"/>
          <w:tab w:val="clear" w:pos="2948"/>
          <w:tab w:val="clear" w:pos="3515"/>
        </w:tabs>
        <w:ind w:left="1247" w:firstLine="0"/>
      </w:pPr>
      <w:r w:rsidRPr="00E1048B">
        <w:t>Рабочая группа закончила обсуждение этого подпункта. Завершая обсуждение подпункта, сопредседатель призвала заинтересованные Стороны провести консультации друг с другом и с Группой в кулуарах текущего совещания в целях продолжения обсуждения этого вопроса на тридцать восьмом Совещании Сторон.</w:t>
      </w:r>
    </w:p>
    <w:p w14:paraId="76065D37" w14:textId="7EB1D24E" w:rsidR="008D2B98" w:rsidRPr="00E1048B" w:rsidRDefault="00166003" w:rsidP="00166003">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8D2B98" w:rsidRPr="00E1048B">
        <w:rPr>
          <w:bCs/>
          <w:lang w:val="ru-RU"/>
        </w:rPr>
        <w:t>E.</w:t>
      </w:r>
      <w:r w:rsidR="008D2B98" w:rsidRPr="00E1048B">
        <w:rPr>
          <w:lang w:val="ru-RU"/>
        </w:rPr>
        <w:tab/>
      </w:r>
      <w:r w:rsidR="008D2B98" w:rsidRPr="00E1048B">
        <w:rPr>
          <w:bCs/>
          <w:lang w:val="ru-RU"/>
        </w:rPr>
        <w:t>Иные вопросы</w:t>
      </w:r>
    </w:p>
    <w:p w14:paraId="6D1EC807" w14:textId="666FCE9C" w:rsidR="008D2B98" w:rsidRPr="00E1048B" w:rsidRDefault="008D2B98" w:rsidP="008D2B98">
      <w:pPr>
        <w:pStyle w:val="Normalnumber"/>
        <w:tabs>
          <w:tab w:val="clear" w:pos="1247"/>
          <w:tab w:val="clear" w:pos="1814"/>
          <w:tab w:val="clear" w:pos="2381"/>
          <w:tab w:val="clear" w:pos="2948"/>
          <w:tab w:val="clear" w:pos="3515"/>
        </w:tabs>
        <w:ind w:left="1247"/>
        <w:rPr>
          <w:b/>
        </w:rPr>
      </w:pPr>
      <w:r w:rsidRPr="00E1048B">
        <w:rPr>
          <w:b/>
        </w:rPr>
        <w:t>Оценка технологии уничтожения</w:t>
      </w:r>
    </w:p>
    <w:p w14:paraId="47F6BDFC"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247" w:firstLine="0"/>
      </w:pPr>
      <w:r w:rsidRPr="00E1048B">
        <w:t>Внося на рассмотрение этот подпункт, сопредседатель обратила внимание на пункт 25 записки секретариата о вопросах для обсуждения Рабочей группой открытого состава на ее сорок восьмом совещании и информации к ее сведению (UNEP/OzL.Pro.WG.1/48/2) и на пункты 63–71 добавления к ней (UNEP/OzL.Pro.WG.1/48/2/Add.1).</w:t>
      </w:r>
    </w:p>
    <w:p w14:paraId="2C7D60F1" w14:textId="06D11D0B"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Представитель Канады внес на рассмотрение проект решения, изложенный в документе зала заседаний. Он выразил признательность Группе по техническому обзору и экономической оценке и Комитету по техническим вариантам замены медицинских видов применения и химических веществ за проведенную ими тщательную оценку технологии уничтожения с использованием паровой плазменной дуги и за рекомендацию Сторонам одобрить ее в качестве новой общей категории технологий уничтожения. Как указано в докладе Группы, эта технология отличается от других технологий на основе плазмы тем, что основным плазмообразующим газом служит перегретый пар, а не аргон или азот, </w:t>
      </w:r>
      <w:r w:rsidR="00284020" w:rsidRPr="00E1048B">
        <w:t>–</w:t>
      </w:r>
      <w:r w:rsidRPr="00E1048B">
        <w:t xml:space="preserve"> процессы с использованием которых уже включены в перечень утвержденных технологий уничтожения. Он отметил, что содержащаяся в проведенной Комитетом по техническим вариантам замены оценке представленных данных о рабочих характеристиках этой технологии уничтожения информация свидетельствует о том, что достигнутая эффективность уничтожения и удаления в отношении ХФУ-11, ХФУ-12, ГФУ-22 и ГФУ-134a превышала 99,9 процента по меньшей мере на порядок. Оценка также показала, что при применении этой технологии уровни выбросов диоксинов и фуранов, кислых газов, твердых частиц и монооксида углерода значительно ниже рекомендательных пороговых значений, установленных Группой. Насколько ему известно, эта технология уничтожения применялась лишь в незначительных масштабах, поскольку она пока не внедрена в полном объеме на коммерческой основе. Испытания проводились только в отношении вышеупомянутых веществ, однако не исключено, что в будущем будут проведены испытания и в отношении других веществ. Представитель Канады отметил, что установка для уничтожения имеет весьма компактные размеры и занимает порядка 15–25 квадратных метров, а также что она работает только на электроэнергии и не требует прямого использования ископаемого топлива. Включение технологии уничтожения с использованием паровой плазменной дуги в перечень утвержденных технологий уничтожения предоставит Сторонам еще один вариант удаления регулируемых веществ, находящихся на завершающем этапе </w:t>
      </w:r>
      <w:r w:rsidRPr="00E1048B">
        <w:lastRenderedPageBreak/>
        <w:t>жизненного цикла, в соответствии с Монреальским протоколом. Проект решения носит простой административный характер и следует стандартному подходу к включению технологий в этот перечень. Одобрение будет распространяться на применение этой технологии для уничтожения веществ, включенных в группу 1 приложения A, группу 1 приложения C и группу 1 приложения F. В решении Сторонам будет также предложено продолжать представлять секретариату по озону информацию, имеющую отношение к обзору технологий уничтожения.</w:t>
      </w:r>
    </w:p>
    <w:p w14:paraId="7316AB0A" w14:textId="0EC40422"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Представители выразили признательность Канаде за проект решения и Группе по техническому обзору и экономической оценке </w:t>
      </w:r>
      <w:r w:rsidR="00284020" w:rsidRPr="00E1048B">
        <w:t>–</w:t>
      </w:r>
      <w:r w:rsidRPr="00E1048B">
        <w:t xml:space="preserve"> за информацию о процессе обзора и за сделанный ею вывод, содержащий рекомендацию включить эту технологию в перечень утвержденных технологий уничтожения. Все выступившие представители единодушно поддержали проект решения.</w:t>
      </w:r>
    </w:p>
    <w:p w14:paraId="2DA445F4"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выразив удовлетворение в связи с появлением у Сторон дополнительного варианта уничтожения озоноразрушающих веществ, отметил, что эта технология чрезвычайно дорога с точки зрения капитальных вложений, энергоемка и требует специальных технических знаний для ее эксплуатации. В связи с этим применение новой технологии будет невозможно в ряде Сторон, действующих в рамках статьи 5, без достаточной финансовой поддержки со стороны Многостороннего фонда для покрытия капитальных затрат, обеспечения долгосрочной технической поддержки и осуществления комплексной программы создания потенциала.</w:t>
      </w:r>
    </w:p>
    <w:p w14:paraId="3D83C208"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предложил включить в проект решения в качестве приложения форму, которую Стороны заполняли бы при представлении информации, запрашиваемой в проекте решения, с тем чтобы обеспечить единообразие представляемой информации. Представитель Канады пояснил, что Группа по техническому обзору и экономической оценке представит Сторонам рекомендации относительно того, какую именно информацию следует направлять секретариату по озону и каким образом это делать.</w:t>
      </w:r>
    </w:p>
    <w:p w14:paraId="141594D9" w14:textId="085E7E59" w:rsidR="008D2B98" w:rsidRPr="00E1048B" w:rsidRDefault="008D2B98" w:rsidP="00DF659D">
      <w:pPr>
        <w:pStyle w:val="Normalnumber"/>
        <w:numPr>
          <w:ilvl w:val="0"/>
          <w:numId w:val="4"/>
        </w:numPr>
        <w:tabs>
          <w:tab w:val="clear" w:pos="1247"/>
          <w:tab w:val="clear" w:pos="1814"/>
          <w:tab w:val="clear" w:pos="2381"/>
          <w:tab w:val="clear" w:pos="2948"/>
          <w:tab w:val="clear" w:pos="3515"/>
        </w:tabs>
        <w:spacing w:after="240"/>
        <w:ind w:left="1247" w:firstLine="0"/>
      </w:pPr>
      <w:r w:rsidRPr="00E1048B">
        <w:t>Рабочая группа постановила направить проект решения о технологиях уничтожения регулируемых веществ, изложенный в разделе A приложения I к настоящему докладу, тридцать восьмому Совещанию Cторон для возможного принятия.</w:t>
      </w:r>
    </w:p>
    <w:p w14:paraId="44AAB643" w14:textId="66AD9E54" w:rsidR="008D2B98" w:rsidRPr="00E1048B" w:rsidRDefault="007452E9" w:rsidP="007452E9">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8D2B98" w:rsidRPr="00E1048B">
        <w:rPr>
          <w:bCs/>
          <w:lang w:val="ru-RU"/>
        </w:rPr>
        <w:t>V.</w:t>
      </w:r>
      <w:r w:rsidR="008D2B98" w:rsidRPr="00E1048B">
        <w:rPr>
          <w:lang w:val="ru-RU"/>
        </w:rPr>
        <w:tab/>
      </w:r>
      <w:r w:rsidR="008D2B98" w:rsidRPr="00E1048B">
        <w:rPr>
          <w:bCs/>
          <w:lang w:val="ru-RU"/>
        </w:rPr>
        <w:t>Усиление регионального атмосферного мониторинга веществ, регулируемых в рамках Монреальского протокола (решение</w:t>
      </w:r>
      <w:r w:rsidRPr="00E1048B">
        <w:rPr>
          <w:bCs/>
          <w:lang w:val="ru-RU"/>
        </w:rPr>
        <w:t> </w:t>
      </w:r>
      <w:r w:rsidR="008D2B98" w:rsidRPr="00E1048B">
        <w:rPr>
          <w:bCs/>
          <w:lang w:val="ru-RU"/>
        </w:rPr>
        <w:t>XXXVII/1)</w:t>
      </w:r>
    </w:p>
    <w:p w14:paraId="7B9C3706" w14:textId="5E998AED"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Внося на рассмотрение этот пункт повестки дня, сопредседатель напомнила, что в решении XXXVII/1 тридцать седьмое Совещание Сторон поручило секретариату по озону представить Рабочей группе открытого состава на ее сорок восьмом совещании доклад о ходе и любых итогах оценки пригодности потенциальных участков, расположенных в регионах и местах, определенных Консультативным комитетом Общего целевого фонда для финансирования деятельности по проведению исследований и систематических наблюдений, связанной с Венской конвенцией об охране озонового слоя, а также о возможных дальнейших шагах по организации мониторинговой деятельности на этих потенциальных участках. Информация о ходе выполнения этого решения изложена в пунктах 26–30 записки секретариата о вопросах для обсуждения Рабочей группой открытого состава на ее сорок восьмом совещании и информации к ее сведению (UNEP/OzL.Pro.WG.1/48/2) и в пунктах</w:t>
      </w:r>
      <w:r w:rsidR="00B11847" w:rsidRPr="00E1048B">
        <w:t> </w:t>
      </w:r>
      <w:r w:rsidRPr="00E1048B">
        <w:t>83</w:t>
      </w:r>
      <w:r w:rsidR="00B11847" w:rsidRPr="00E1048B">
        <w:noBreakHyphen/>
      </w:r>
      <w:r w:rsidRPr="00E1048B">
        <w:t>88 добавления к ней (UNEP/OzL.Pro.WG.1/48/2/Add.1). Рабочей группе был также представлен информационный документ, содержащий решение 98/62 Исполнительного комитета по вопросам, касающимся экспериментальных проектов по усилению регионального атмосферного мониторинга веществ, регулируемых Монреальским протоколом (UNEP/OzL.Pro.WG.1/48/INF/5).</w:t>
      </w:r>
    </w:p>
    <w:p w14:paraId="07486985" w14:textId="6B42CFA5"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Представитель секретариата и член Консультативного комитета Общего целевого фонда Венской конвенции София Милона и сопредседатель Консультативного комитета А.</w:t>
      </w:r>
      <w:r w:rsidR="00B11847" w:rsidRPr="00E1048B">
        <w:t> </w:t>
      </w:r>
      <w:r w:rsidRPr="00E1048B">
        <w:t>Р.</w:t>
      </w:r>
      <w:r w:rsidR="00B11847" w:rsidRPr="00E1048B">
        <w:t> </w:t>
      </w:r>
      <w:proofErr w:type="spellStart"/>
      <w:r w:rsidRPr="00E1048B">
        <w:t>Равишанкара</w:t>
      </w:r>
      <w:proofErr w:type="spellEnd"/>
      <w:r w:rsidRPr="00E1048B">
        <w:t xml:space="preserve"> выступили с сообщением о ходе выполнения решения XXXVII/1, в том числе о разработке онлайнового инструмента расчета затрат, о 10 регионах и местах, определенных Консультативным комитетом для восполнения пробелов в региональном атмосферном мониторинге регулируемых веществ, о продолжении оценки пригодности пяти приоритетных регионов и мест, о создании механизма финансирования в рамках Многостороннего фонда и о возникающих соображениях.</w:t>
      </w:r>
    </w:p>
    <w:p w14:paraId="48C0149D"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lastRenderedPageBreak/>
        <w:t>В ходе последовавшего обсуждения многие представители выразили признательность Консультативному комитету и секретариату по озону за это сообщение и за их непрерывную работу по развитию этой инициативы. Несколько представителей, в том числе один, выступавший от имени группы Сторон, с особым удовлетворением отметили разработку секретариатом инструмента расчета затрат и призвали Стороны опробовать его.</w:t>
      </w:r>
    </w:p>
    <w:p w14:paraId="234EB8B0" w14:textId="65C58E2E"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Несколько представителей, в том числе один, выступавший от имени группы Сторон, напомнили о зарождении этой инициативы в 2018 году, когда Стороны в полной мере осознали, насколько важен атмосферный мониторинг для сохранения наследия Протокола и обеспечения его эффективного осуществления, и с удовлетворением отметили значительный прогресс, достигнутый с того времени. Один из них, подводя итоги прогресса, достигнутого только за последние два года, напомнил</w:t>
      </w:r>
      <w:r w:rsidR="00AC7513">
        <w:t>,</w:t>
      </w:r>
      <w:r w:rsidR="00AC7513" w:rsidRPr="00AB42EA">
        <w:t xml:space="preserve"> чт</w:t>
      </w:r>
      <w:r w:rsidR="00AC7513">
        <w:t xml:space="preserve">о </w:t>
      </w:r>
      <w:r w:rsidRPr="00E1048B">
        <w:t>Консультативный комитет провел эксперименты по моделированию систем наблюдения (ЭМСН)</w:t>
      </w:r>
      <w:r w:rsidR="00AC7513" w:rsidRPr="00AB42EA">
        <w:t xml:space="preserve"> </w:t>
      </w:r>
      <w:r w:rsidRPr="00E1048B">
        <w:t>и обратился в связи с этим к правительствам</w:t>
      </w:r>
      <w:r w:rsidR="00AC7513">
        <w:t>;</w:t>
      </w:r>
      <w:r w:rsidRPr="00E1048B">
        <w:t xml:space="preserve"> </w:t>
      </w:r>
      <w:r w:rsidR="00AC7513">
        <w:t>после этого</w:t>
      </w:r>
      <w:r w:rsidR="00AC7513" w:rsidRPr="00E1048B">
        <w:t xml:space="preserve"> </w:t>
      </w:r>
      <w:r w:rsidRPr="00E1048B">
        <w:t>несколько правительств заявили о заинтересованности в размещении станций</w:t>
      </w:r>
      <w:r w:rsidR="00AC7513">
        <w:t>;</w:t>
      </w:r>
      <w:r w:rsidR="00AC7513" w:rsidRPr="00AB42EA">
        <w:t xml:space="preserve"> </w:t>
      </w:r>
      <w:r w:rsidR="00AC7513">
        <w:t>в свою очередь,</w:t>
      </w:r>
      <w:r w:rsidR="00AC7513" w:rsidRPr="00AB42EA">
        <w:t xml:space="preserve"> </w:t>
      </w:r>
      <w:r w:rsidRPr="00E1048B">
        <w:t>Европейский союз обязался внести 4,5 млн евро на поддержку создания трех новых станций мониторинга. Кроме того, Исполнительный комитет Многостороннего фонда на своем последнем совещании постановил создать механизм финансирования в размере 9,25</w:t>
      </w:r>
      <w:r w:rsidR="00513CFF">
        <w:t> </w:t>
      </w:r>
      <w:r w:rsidRPr="00E1048B">
        <w:t>млн долл. США для трех экспериментальных проектов по усилению регионального атмосферного мониторинга и добавить сумму в размере 1,8 млн долл. США на продолжение эксплуатации трех станций атмосферного мониторинга, которую предполагается обеспечить благодаря взносу Европейского союза. Некоторые представители, в том числе один, выступавший от имени группы Сторон, обратили внимание на другие положительные аспекты решения Исполнительного комитета: один из них отметил принятие руководящих принципов подготовки и осуществления экспериментальных проектов по усилению регионального атмосферного мониторинга, а другой, выступавший от имени группы Сторон, приветствовал назначение Всемирной метеорологической организации (ВМО) учреждением</w:t>
      </w:r>
      <w:r w:rsidR="00181738">
        <w:t xml:space="preserve"> – </w:t>
      </w:r>
      <w:r w:rsidRPr="00E1048B">
        <w:t>исполнителем Многостороннего фонда в рамках нового механизма финансирования.</w:t>
      </w:r>
    </w:p>
    <w:p w14:paraId="21D46D36"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Один представитель, выступавший от имени группы Сторон, воспользовался возможностью представить обновленную информацию о планируемом взносе его Стороны, который, как он напомнил, составляет около 5,2 млн долл. США. Несмотря на определенные административные задержки, его Сторона надеется одобрить выделение этих средств в текущем году.</w:t>
      </w:r>
    </w:p>
    <w:p w14:paraId="20BAD92A" w14:textId="11F2437F"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 xml:space="preserve">Несколько представителей высказали озабоченность в отношении предлагаемых новых станций. Несколько из них подчеркнули необходимость обеспечить, чтобы участки определялись исключительно на добровольной основе и чтобы для обеспечения устойчивого функционирования станций предоставлялось целевое финансирование. Некоторые представители призвали к четкому регулированию вопросов управления данными, при этом один из них уточнил, что все исходные и подтвержденные данные, получаемые на станциях мониторинга, размещенных на территории Сторон, действующих в рамках статьи 5, должны в первую очередь передаваться национальному органу по озону. Тот же представитель предостерег, что региональная сеть атмосферного мониторинга должна </w:t>
      </w:r>
      <w:r w:rsidR="00AC7513">
        <w:t xml:space="preserve">служить исключительно средством содействия в </w:t>
      </w:r>
      <w:r w:rsidR="002963F7">
        <w:t>создании</w:t>
      </w:r>
      <w:r w:rsidR="002963F7" w:rsidRPr="00E1048B">
        <w:t xml:space="preserve"> </w:t>
      </w:r>
      <w:r w:rsidRPr="00E1048B">
        <w:t>местного научного потенциала и разработке национальной политики, а не как внешний механизм надзора за соблюдением или принуждения к нему. Другой представитель рекомендовал получать разрешение на создание станций не только от принимающей страны, но и от всех стран в зоне отбора проб.</w:t>
      </w:r>
    </w:p>
    <w:p w14:paraId="0E558F7C"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В ходе обсуждения представители Бангладеш, Бразилии и Мексики заявили о заинтересованности своих стран в размещении станции мониторинга. Другой представитель предложил рассмотреть возможность модернизации в рамках этой инициативы уже действующих участков мониторинга, например участка в регионе Восточной Африки.</w:t>
      </w:r>
    </w:p>
    <w:p w14:paraId="031E3F37" w14:textId="1ACE44D6"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Касаясь дальнейших шагов, представитель, выступавший от имени группы Сторон, заявил, что следует дополнительно изучить заинтересованность Сторон и возможные места размещения, и призвал развивающиеся страны, которые еще не сделали этого, сообщить о возможной заинтересованности в создании участков мониторинга. Он также подчеркнул необходимость формализации структур по мере перехода этой инициативы на этап осуществления, в том числе определения роли Консультативного комитета и обеспечения согласованности процедур Общего целевого фонда, Многостороннего фонда и учреждений</w:t>
      </w:r>
      <w:r w:rsidR="00E447D8">
        <w:noBreakHyphen/>
      </w:r>
      <w:r w:rsidRPr="00E1048B">
        <w:t xml:space="preserve">исполнителей. Он объявил о своем намерении представить проект решения по этому вопросу для рассмотрения тридцать восьмым Совещанием Сторон и заявил, что готов провести неофициальные обсуждения на текущем совещании и в межсессионный период со всеми заинтересованными Сторонами, а также с секретариатом Многостороннего фонда, </w:t>
      </w:r>
      <w:r w:rsidRPr="00E1048B">
        <w:lastRenderedPageBreak/>
        <w:t>секретариатом по озону, Консультативным комитетом и ВМО в целях прояснения дальнейших действий.</w:t>
      </w:r>
    </w:p>
    <w:p w14:paraId="3666CC29"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 xml:space="preserve">Другие представители также признали необходимость уточнить различия между двумя потоками финансирования и разграничить обязанности Консультативного комитета и Исполнительного комитета, а также скоординировать работу Совещания Сторон и Исполнительного комитета. </w:t>
      </w:r>
    </w:p>
    <w:p w14:paraId="02678C62" w14:textId="046323E5"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 xml:space="preserve">Отвечая на вопросы и замечания представителей, г-н </w:t>
      </w:r>
      <w:proofErr w:type="spellStart"/>
      <w:r w:rsidRPr="00E1048B">
        <w:t>Равишанкара</w:t>
      </w:r>
      <w:proofErr w:type="spellEnd"/>
      <w:r w:rsidRPr="00E1048B">
        <w:t xml:space="preserve"> заявил, что Консультативный комитет готов оказать любое возможное содействие в подготовке проекта решения по этому вопросу. Переходя к вопросам, связанным с потенциальными участками, он с удовлетворением отметил, что Консультативный комитет уже смог воспользоваться результатами испытаний на участке на острове </w:t>
      </w:r>
      <w:proofErr w:type="spellStart"/>
      <w:r w:rsidRPr="00E1048B">
        <w:t>Бхола</w:t>
      </w:r>
      <w:proofErr w:type="spellEnd"/>
      <w:r w:rsidRPr="00E1048B">
        <w:t xml:space="preserve"> в Бангладеш благодаря финансированию экспериментального проекта Европейским союзом. Возникли некоторые проблемы, связанные с местными выбросами, однако опыт работы на острове </w:t>
      </w:r>
      <w:proofErr w:type="spellStart"/>
      <w:r w:rsidRPr="00E1048B">
        <w:t>Бхола</w:t>
      </w:r>
      <w:proofErr w:type="spellEnd"/>
      <w:r w:rsidRPr="00E1048B">
        <w:t xml:space="preserve"> позволил получить данные примерно за 18 месяцев и оказался чрезвычайно полезным, при этом в Бангладеш остаются другие потенциально подходящие участки, которые предстоит изучить. Он подчеркнул, что выбор и испытание участков направлены исключительно на как можно более точную количественную оценку выбросов в целях сохранения набранных Монреальским протоколом темпов и остаются для стран полностью добровольными. Применительно к вопросу о том, какие расходы будут покрываться за счет финансирования, он предложил Сторонам опробовать инструмент расчета затрат, чтобы получить ответ. Он также отметил, что средства Европейского союза предназначены не менее чем для трех станций, а значит, в зависимости от объема расходов их может хватить и на большее число. Важное значение имеет и вопрос о финансировании устойчивого функционирования, хотя очевидно, что после признания участка пригодным Стороны будут стремиться обеспечивать его работу как можно дольше </w:t>
      </w:r>
      <w:r w:rsidR="00E75828" w:rsidRPr="00E1048B">
        <w:t>–</w:t>
      </w:r>
      <w:r w:rsidRPr="00E1048B">
        <w:t xml:space="preserve"> и именно здесь сыграют роль ресурсы Многостороннего фонда. Касаясь предложения о необходимости получать согласие всех стран, которых затрагивает отбор проб на том или ином участке, он предложил странам одного региона совместно рассмотреть этот вопрос. В качестве ориентировочного показателя размера затрагиваемой территории он назвал радиус 500</w:t>
      </w:r>
      <w:r w:rsidR="00E75828" w:rsidRPr="00E1048B">
        <w:noBreakHyphen/>
      </w:r>
      <w:r w:rsidRPr="00E1048B">
        <w:t>1000</w:t>
      </w:r>
      <w:r w:rsidR="00E75828" w:rsidRPr="00E1048B">
        <w:t> </w:t>
      </w:r>
      <w:r w:rsidRPr="00E1048B">
        <w:t>километров в зависимости от преобладающих ветров. Наконец, он с удовлетворением отметил, что в Китае создается много станций, которые обеспечат охват региона Центральной и Западной Азии. Кроме того, правительство Китая создает калибровочный центр и заявило о заинтересованности в создании таких центров и в других местах; Консультативный комитет высоко ценит эти усилия и координирует работу по этой инициативе с китайскими учеными.</w:t>
      </w:r>
    </w:p>
    <w:p w14:paraId="04A9BB48"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ind w:left="1304" w:firstLine="0"/>
      </w:pPr>
      <w:r w:rsidRPr="00E1048B">
        <w:t>Г-жа Милона внесла уточнение в отношении приоритетных участков, отметив, что они были определены на основе результатов ЭМСН, которые показали, насколько эти участки позволяют обнаруживать региональные выбросы, а также с учетом характера выбросов, имеющейся инфраструктуры и экспертного потенциала. Таким образом, их отбор основан исключительно на научных соображениях, хотя очевидно, что ничего нельзя сделать без разрешения соответствующего национального правительства. Она также ответила на вопрос о сотрудничестве с ВМО, отметив, что Консультативный комитет на протяжении многих лет чрезвычайно продуктивно сотрудничает с ВМО в связи с осуществлением проектов мониторинга озона и ультрафиолетового излучения, за которые отвечает ВМО. Что касается атмосферного мониторинга, то она отметила, что для оптимизации и более четкого определения путей сотрудничества потребуются дополнительные обсуждения между секретариатом по озону, Консультативным комитетом и ВМО и ее соответствующими группами, такими как Научно-консультативная группа по парниковым газам.</w:t>
      </w:r>
    </w:p>
    <w:p w14:paraId="7A270F1E" w14:textId="77777777" w:rsidR="008D2B98" w:rsidRPr="00E1048B" w:rsidRDefault="008D2B98" w:rsidP="00DF659D">
      <w:pPr>
        <w:pStyle w:val="Normalnumber"/>
        <w:numPr>
          <w:ilvl w:val="0"/>
          <w:numId w:val="4"/>
        </w:numPr>
        <w:tabs>
          <w:tab w:val="clear" w:pos="1247"/>
          <w:tab w:val="clear" w:pos="1814"/>
          <w:tab w:val="clear" w:pos="2381"/>
          <w:tab w:val="clear" w:pos="2948"/>
          <w:tab w:val="clear" w:pos="3515"/>
        </w:tabs>
        <w:spacing w:after="240"/>
        <w:ind w:left="1304" w:firstLine="0"/>
      </w:pPr>
      <w:r w:rsidRPr="00E1048B">
        <w:t>По итогам обсуждения Рабочая группа постановила, что Стороны продолжат неофициальные обсуждения в кулуарах нынешнего совещания и в межсессионный период, включая консультации по проекту решения, и продолжат обсуждение этого вопроса на тридцать восьмом Совещании Сторон.</w:t>
      </w:r>
    </w:p>
    <w:p w14:paraId="28C184E6" w14:textId="04E7616D" w:rsidR="008D2B98" w:rsidRPr="00D73786" w:rsidRDefault="00E14FCE" w:rsidP="00E14FCE">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8D2B98" w:rsidRPr="00D73786">
        <w:rPr>
          <w:bCs/>
          <w:lang w:val="ru-RU"/>
        </w:rPr>
        <w:t>VI.</w:t>
      </w:r>
      <w:r w:rsidR="008D2B98" w:rsidRPr="00D73786">
        <w:rPr>
          <w:lang w:val="ru-RU"/>
        </w:rPr>
        <w:tab/>
      </w:r>
      <w:r w:rsidR="008D2B98" w:rsidRPr="00D73786">
        <w:rPr>
          <w:bCs/>
          <w:lang w:val="ru-RU"/>
        </w:rPr>
        <w:t>Обеспечение устойчивости деятельности в рамках Монреальского протокола (решение XXXVII/7)</w:t>
      </w:r>
    </w:p>
    <w:p w14:paraId="7B94FC51"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D73786">
        <w:t>Внося на рассмотрение этот пункт повестки дня, сопредседатель напомнила, что в решении XXXVII/7 тридцать седьмое Совещание Сторон поручило секретариату по озону подготовить для рассмотрения Рабочей группой открытого состава на ее сорок восьмом совещании доклад о вариантах внесения эффективных</w:t>
      </w:r>
      <w:r w:rsidRPr="00E1048B">
        <w:t xml:space="preserve"> и рациональных изменений, с соответствующими сметами, в отношении сроков проведения, поддержки секретариатом и продолжительности совещаний Сторон и совещаний Рабочей группы открытого состава, </w:t>
      </w:r>
      <w:r w:rsidRPr="00E1048B">
        <w:lastRenderedPageBreak/>
        <w:t>Комитета по выполнению и групп по оценке, а также сроков принятия решений о пополнении. Этот доклад изложен в документах UNEP/OzL.Pro.WG.1/48/4 и UNEP/OzL.Pro.WG.1/48/4/Add.1.</w:t>
      </w:r>
    </w:p>
    <w:p w14:paraId="1BCE3951"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В ходе последовавшего обсуждения один представитель заявил, что рассчитывал на краткое представление этих документов секретариатом, которое могло бы задать направление для обсуждения, но отметил, что это не играет принципиально важной роли. Он указал, что добавление к документу было опубликовано только 9 июля 2026 года, в связи с чем ему требуется больше времени для его тщательного изучения.</w:t>
      </w:r>
    </w:p>
    <w:p w14:paraId="7187A893"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Многие представители поблагодарили секретариат за доклад, подчеркнув, что они согласны с тем, что система Монреальского протокола должна функционировать максимально эффективно. Несколько представителей отметили, что Монреальский протокол часто называют самым действенным природоохранным договором в современной истории, при этом другие представители подчеркнули, что его успех является результатом применения проверенных временем, инклюзивных и выраженно интерактивных институциональных механизмов. В связи с этим некоторые представители попросили прояснить, почему рассматривается вопрос об изменении существующих процедур и почему применительно к Монреальскому протоколу предполагается изучить процедуры других многосторонних природоохранных соглашений с целью получения информации о передовом опыте, как это было предложено представителем, выступавшим от имени группы Сторон.</w:t>
      </w:r>
    </w:p>
    <w:p w14:paraId="234AB238"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Все выступившие представители отметили, что любые согласованные изменения должны обеспечивать сохранение эффективности, транспарентности и инклюзивного участия всех Сторон и не должны ставить под угрозу успешное выполнение Протокола. Некоторые представители выразили мнение, что, поскольку Протокол функционирует по одной и той же схеме уже несколько десятилетий, настало время пересмотреть соответствующие процессы с целью повышения эффективности при одновременном сохранении или усилении действия Протокола, адаптации к меняющимся обстоятельствам и обеспечения соответствия системы поставленным целям. Несколько представителей отметили, что вопрос об обеспечении устойчивости деятельности в рамках Протокола является актуальным с учетом сокращения денежных резервов в последние годы, общей неопределенности в области финансирования и проводимых реформ Организации Объединенных Наций, включая инициативу «ООН-80». </w:t>
      </w:r>
    </w:p>
    <w:p w14:paraId="2A7FE792"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Что касается формата проведения совещаний, то многие представители отметили, что, хотя онлайновый формат и комбинированный формат позволяют экономить средства, они создают препятствия для участия Сторон, действующих в рамках статьи 5, что стало очевидным в ходе пандемии коронавирусной инфекции. Нестабильное качество связи и разница во времени затрудняли участие в совещаниях. Кроме того, в онлайновом формате было сложно проводить переговоры по деликатным вопросам; неофициальные консультации в кулуарах совещаний играют ключевую роль в достижении консенсуса. Что касается совещаний Рабочей группы открытого состава, то именно на них подробно рассматриваются все технические вопросы, делегации обмениваются опытом и региональные группы согласовывают свои позиции с целью выработки общей платформы перед принятием решений на основе консенсуса на Совещании Сторон. Ряд представителей выразили согласие с тем, что для определенных вопросов важен личный контакт, однако отметили, что комбинированные форматы хорошо подходят для целей обмена информацией.</w:t>
      </w:r>
    </w:p>
    <w:p w14:paraId="50562D96" w14:textId="30CF3450"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Несколько представителей указали на необходимость решения проблемы недостаточного объема взносов, при этом один из них отметил, что даже при радикальном сокращении операционных расходов остатки средств в Целевом фонде по-прежнему будут находиться в зоне риска, если объем поступающих взносов останется на уровне 70 процентов от необходимого. Этот представитель заявил, что структурные изменения деятельности в рамках Монреальского протокола не следует рассматривать как альтернативу решению проблемы недостаточного объема взносов. Несколько представителей, в том числе представитель, выступавший от имени группы Сторон, подчеркнули важность выполнения всеми Сторонами их финансовых обязательств, при этом один из них обратился к Сторонам с просьбой рассмотреть возможность увеличения взносов. Другой представитель поддержал предложение секретариата о том, чтобы обеспечить соответствие взносов Сторон бюджету на любой конкретный год. Один представитель отметил, что использованное секретариатом допущение о получении около 75 процентов взносов не может обеспечить никаких гарантий. Предсказать будущие поступления чрезвычайно сложно. Другой </w:t>
      </w:r>
      <w:r w:rsidR="00236AE9">
        <w:t>представитель</w:t>
      </w:r>
      <w:r w:rsidRPr="00E1048B">
        <w:t xml:space="preserve"> отметил, что сокращение денежного резерва произошло по нескольким причинам: Стороны решили сохранить уровень взносов в прежнем объеме и использовать денежный резерв для покрытия разницы между бюджетом и суммой взносов; некоторые Стороны не внесли требуемые взносы </w:t>
      </w:r>
      <w:r w:rsidRPr="00E1048B">
        <w:lastRenderedPageBreak/>
        <w:t>в целевые фонды Монреальского протокола и Венской конвенции; была выражена готовность использовать денежный резерв для осуществления дополнительных мероприятий помимо деятельности, финансируемой за счет регулярных бюджетов.</w:t>
      </w:r>
    </w:p>
    <w:p w14:paraId="64BB8BA6"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843730">
        <w:t>Что касается периодичности совещаний, то несколько представителей заявили, что не согласны с предложением перейти на двухгодичный цикл проведения совещаний Сторон. Несколько представителей, в том числе один, выступавший от имени группы Сторон, отметили, что в настоящее время осуществляется значительная работа и имеются нерешенные вопросы, в том числе касающиеся осуществления Кигалийской поправки, переговоров о пополнении средств, рассмотрения докладов и разработки рекомендаций от групп по оценке, проблем незаконной торговли, мониторинга состояния атмосферы, текущих выбросов и новых возникающих вопросов. Кроме того, увеличение интервала между совещаниями Сторон может привести к отставанию в работе над важнейшими задачами и создать риск задержки в рассмотрении Комитетом по выполнению неотложных и требующих оперативного реагирования вопросов, связанных с соблюдением обязательств. Другой представитель отметил, что одного года или двух лет недостаточно для оценки последствий некоторых принятых решений. Некоторые представители высказали мнение, что сокращение частоты проведения совещаний Сторон может привести к увеличению числа внеочередных совещаний Сторон, созываемых для принятия неотложных решений, что усугубит</w:t>
      </w:r>
      <w:r w:rsidRPr="00E1048B">
        <w:t xml:space="preserve"> неопределенность финансовой ситуации. Один представитель указал, что более редкое проведение совещаний обеспечит положительный эффект для окружающей среды за счет сокращения числа поездок.</w:t>
      </w:r>
    </w:p>
    <w:p w14:paraId="4D32B361"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Что касается предлагаемых изменений в циклах работы Многостороннего фонда и групп по оценке, некоторые представители подчеркнули необходимость уделения первоочередного внимания тому, чтобы потребности в финансировании Сторон, действующих в рамках статьи 5, оценивались точно и удовлетворялись без сбоев, а также чтобы доступ к актуальной технической и научной информации, необходимой для принятия решений, не ограничивался. Доклады групп по оценке позволяют заблаговременно получать информацию о потребностях Сторон, действующих в рамках статьи 5. </w:t>
      </w:r>
    </w:p>
    <w:p w14:paraId="57B50865"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Многие Стороны отметили важность более детального изучения различных предложенных вариантов, возможно, в рамках обсуждений в контактной группе и дальнейших консультаций с секретариатом, а также необходимость в полной мере использовать текущее совещание в качестве возможности для обсуждения идей, постановки вопросов и обеспечения надлежащего понимания всего спектра выгод, соответствующих затрат и непредвиденных последствий. Они выразили мнение о том, что доклад секретариата и предложения, внесенные в ходе пленарного заседания, являются хорошей основой для дальнейших обсуждений в контактной группе.</w:t>
      </w:r>
    </w:p>
    <w:p w14:paraId="730A9B8C" w14:textId="028CC175"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которого поддержал другой, заявил, что, хотя в предложенных секретариатом сценариях содержится много интересных идей, он </w:t>
      </w:r>
      <w:r w:rsidR="00AC7513">
        <w:t>воспринимает</w:t>
      </w:r>
      <w:r w:rsidR="00AC7513" w:rsidRPr="00E1048B">
        <w:t xml:space="preserve"> </w:t>
      </w:r>
      <w:r w:rsidRPr="00E1048B">
        <w:t>их как отдельные меры для рассмотрения, а не как комплексные пакеты, и не может полностью поддержать сценарий B или C в том виде, в каком они изложены в документе.</w:t>
      </w:r>
    </w:p>
    <w:p w14:paraId="52CB332D"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Несколько представителей упомянули аспекты, которые они хотели бы рассмотреть более подробно. К ним относятся: менее частые пополнения средств Многостороннего фонда, возможно, раз в четыре года; менее частое проведение совещаний Сторон; сокращение продолжительности совещаний Рабочей группы открытого состава; снижение расходов и, как следствие, повышение эффективности совещаний групп по оценке, комитетов по техническим вариантам замены в составе Группы по техническому обзору и экономической оценке и Комитета по выполнению; снижение рабочей нагрузки групп по оценке, в том числе путем публикации их докладов о ходе работы раз в два года; сокращение количества публикаций, оптимизация документации и более широкое использование систем управления документами в цифровом формате; более эффективное применение комбинированных инструментов, но не в качестве замены переговорных процессов; и минимизация некоторых расходов, связанных с поездками, при условии что такие меры не будут наносить ущерб участию. Один из представителей отметил, что в случае согласования каких-либо изменений их следует вводить на экспериментальной основе, с тем чтобы Стороны могли оценить их воздействие. </w:t>
      </w:r>
    </w:p>
    <w:p w14:paraId="42B1BBDF"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Другой представитель отметил, что было бы целесообразно провести техническую и юридическую экспертизу финансовых правил Монреальского протокола с целью подтверждения их способности и в дальнейшем обеспечивать наиболее подходящую основу для устранения выявляемых финансовых рисков. Он также предложил обратиться к секретариату с просьбой подготовить технические рекомендации относительно возможных аспектов, подлежащих пересмотру в рамках финансовых правил, либо возможных изменений в </w:t>
      </w:r>
      <w:r w:rsidRPr="00E1048B">
        <w:lastRenderedPageBreak/>
        <w:t xml:space="preserve">этих правилах в соответствии с операционными и бюджетными сценариями, изложенными в его докладе, без ущерба для результатов будущих обсуждений. </w:t>
      </w:r>
    </w:p>
    <w:p w14:paraId="6A5DFCCC" w14:textId="77777777"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Рабочая группа открытого состава постановила сформировать контактную группу под совместным руководством Алессандро Перу (Италия) и Серхио Мерино (Мексика) для более подробного обсуждения документов UNEP/OzL.Pro.WG.1/48/4 и UNEP/OzL.Pro.WG.1/48/4/Add.1, а также предложений, внесенных в ходе пленарных обсуждений.</w:t>
      </w:r>
    </w:p>
    <w:p w14:paraId="37D4BC73" w14:textId="5DA434AF" w:rsidR="003A23A9" w:rsidRPr="00E1048B" w:rsidRDefault="003A23A9" w:rsidP="00DF659D">
      <w:pPr>
        <w:pStyle w:val="Normalnumber"/>
        <w:numPr>
          <w:ilvl w:val="0"/>
          <w:numId w:val="4"/>
        </w:numPr>
        <w:tabs>
          <w:tab w:val="clear" w:pos="1247"/>
          <w:tab w:val="clear" w:pos="1814"/>
          <w:tab w:val="clear" w:pos="2381"/>
          <w:tab w:val="clear" w:pos="2948"/>
          <w:tab w:val="clear" w:pos="3515"/>
        </w:tabs>
        <w:ind w:left="1247" w:firstLine="0"/>
      </w:pPr>
      <w:r w:rsidRPr="00E1048B">
        <w:t>Впоследствии сокоординаторы контактной группы сообщили, что группа завершила свою работу. Секретариат составил перечень всех вопросов, сформулированных участниками в ходе обсуждения, и выразил готовность и далее принимать вопросы по электронной почте</w:t>
      </w:r>
      <w:r w:rsidRPr="00E1048B">
        <w:rPr>
          <w:rStyle w:val="FootnoteReference"/>
          <w:lang w:val="ru-RU"/>
        </w:rPr>
        <w:footnoteReference w:id="1"/>
      </w:r>
      <w:r w:rsidR="00F72CFE" w:rsidRPr="00E1048B">
        <w:t xml:space="preserve"> </w:t>
      </w:r>
      <w:r w:rsidRPr="00E1048B">
        <w:t>до 31 августа 2026 года, чтобы использовать их в качестве основы для дополнения информации, представленной в его докладе. Свод вопросов приведен в разделе II приложения II к настоящему докладу.</w:t>
      </w:r>
    </w:p>
    <w:p w14:paraId="3FA4C786" w14:textId="33B4CD77" w:rsidR="008D2B98" w:rsidRPr="00E1048B" w:rsidRDefault="003A23A9" w:rsidP="00DF659D">
      <w:pPr>
        <w:pStyle w:val="Normalnumber"/>
        <w:numPr>
          <w:ilvl w:val="0"/>
          <w:numId w:val="4"/>
        </w:numPr>
        <w:tabs>
          <w:tab w:val="clear" w:pos="1247"/>
          <w:tab w:val="clear" w:pos="1814"/>
          <w:tab w:val="clear" w:pos="2381"/>
          <w:tab w:val="clear" w:pos="2948"/>
          <w:tab w:val="clear" w:pos="3515"/>
        </w:tabs>
        <w:spacing w:after="240"/>
        <w:ind w:left="1247" w:firstLine="0"/>
      </w:pPr>
      <w:r w:rsidRPr="00E1048B">
        <w:t xml:space="preserve">В связи с этим Рабочая группа постановила предложить </w:t>
      </w:r>
      <w:r w:rsidR="00F72CFE" w:rsidRPr="00E1048B">
        <w:t>С</w:t>
      </w:r>
      <w:r w:rsidRPr="00E1048B">
        <w:t xml:space="preserve">торонам представить дополнительные вопросы до 31 августа 2026 года и возобновить обсуждение вопроса об обеспечении устойчивости деятельности в рамках Монреальского протокола на тридцать восьмом Совещании Сторон, принимая во внимание расширенный доклад, который должен быть подготовлен секретариатом по озону. </w:t>
      </w:r>
    </w:p>
    <w:p w14:paraId="2C8D1C36" w14:textId="26F2F0EE" w:rsidR="0064468C" w:rsidRPr="00E1048B" w:rsidRDefault="001F3576" w:rsidP="001F3576">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E1048B">
        <w:rPr>
          <w:bCs/>
          <w:lang w:val="ru-RU"/>
        </w:rPr>
        <w:t>VII.</w:t>
      </w:r>
      <w:r w:rsidR="0064468C" w:rsidRPr="00E1048B">
        <w:rPr>
          <w:lang w:val="ru-RU"/>
        </w:rPr>
        <w:tab/>
      </w:r>
      <w:r w:rsidR="0064468C" w:rsidRPr="00E1048B">
        <w:rPr>
          <w:bCs/>
          <w:lang w:val="ru-RU"/>
        </w:rPr>
        <w:t>Дальнейшее укрепление учреждений Монреальского протокола (документ UNEP/OzL.Pro.37/9, пункт 166)</w:t>
      </w:r>
    </w:p>
    <w:p w14:paraId="3C801DD5"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Представляя этот пункт повестки дня, сопредседатель напомнила, что на тридцать седьмом Совещании Сторон была учреждена неофициальная группа с целью прояснить и обсудить проект решения, внесенный на рассмотрение на этом совещании, а также другие ключевые вопросы, поднятые в ходе неофициального совещания Сторон по содействию осуществлению Монреальского протокола, которое было созвано до начала тридцать седьмого Совещания Сторон. Представители выразили заинтересованность </w:t>
      </w:r>
      <w:proofErr w:type="gramStart"/>
      <w:r w:rsidRPr="00E1048B">
        <w:t>в продолжении</w:t>
      </w:r>
      <w:proofErr w:type="gramEnd"/>
      <w:r w:rsidRPr="00E1048B">
        <w:t xml:space="preserve"> диалога по итогам этого неофициального совещания, и Стороны постановили включить данный вопрос в повестку дня текущего совещания.</w:t>
      </w:r>
    </w:p>
    <w:p w14:paraId="1A054288"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Помимо краткого изложения итогов неофициального совещания (UNEP/OzL.Pro.37/7), участники имели в распоряжении свод информации, направленной Сторонами, о практике незаконной торговли и о подходах, применяемых национальными органами для выявления и пресечения таких случаев (UNEP/OzL.Pro.WG.1/48/3), который представлял собой обновленную версию аналогичного свода, предоставленного Рабочей группе открытого состава на ее сорок седьмом совещании, и включал информацию, полученную от Сторон в период начиная с 22 апреля 2025 года. После подготовки этой записки в секретариат поступила информация еще о 27 случаях.</w:t>
      </w:r>
    </w:p>
    <w:p w14:paraId="56D62030"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Представитель Камеруна внес на рассмотрение документ зала заседаний, содержащий проект решения об укреплении деятельности в рамках Монреальского протокола, который был представлен его делегацией от имени Группы африканских государств. Он пояснил, что в свете информации о незаконной торговле, собранной с 2002 года и обобщенной секретариатом по озону, Группа африканских государств сочла необходимым принять более конкретные меры, чем те, которые были представлены в сводном документе. В связи с этим в проект решения включены обращенные к секретариату просьбы подготовить доклад об имеющихся инструментах, позволяющих улучшить отслеживание незаконной торговли, включая онлайновые площадки и платформы электронной торговли; разработать типовые регламенты для обеспечения согласованного подхода к выявлению незаконной торговли, рассмотрению дел, управлению конфискованным имуществом, подготовке докладов и применению санкций; подготовить контрольный перечень, определяющий основные характеристики эффективных систем лицензирования; изучить возможность и стоимость разработки программного обеспечения для лицензирования с открытым исходным кодом, которое можно было бы интегрировать в таможенные системы и системы «единого окна». Кроме того, Исполнительному комитету будет предложено провести оценку дополнительных потребностей в подготовке кадров и создании потенциала в Сторонах, действующих в рамках статьи 5, в связи с незаконной торговлей, системами лицензирования и представлением данных – в </w:t>
      </w:r>
      <w:r w:rsidRPr="00E1048B">
        <w:lastRenderedPageBreak/>
        <w:t>консультации с национальными должностными лицами по озону, Программой содействия соблюдению и Всемирной таможенной организацией по мере необходимости.</w:t>
      </w:r>
    </w:p>
    <w:p w14:paraId="6F9DC7E6"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Представитель Канады, выступавший также от имени Австралии, Европейского союза, Норвегии и Швейцарии, внес на рассмотрение документ зала заседаний, содержащий проект решения об укреплении систем лицензирования и представления данных в целях предупреждения незаконной торговли. Он отметил, что, как и проект решения Группы африканских государств, документ его группы направлен на решение ключевых проблем, выявленных в последние годы, главным образом за счет укрепления систем лицензирования импорта и экспорта регулируемых веществ и совершенствования представления данных, но при этом в нем также подтверждаются решения, которые, возможно, были забыты или не выполнялись Сторонами систематически. Проект решения начинается с обращенного к секретариату по озону поручения подготовить контрольный перечень основных характеристик систем лицензирования, предназначенный для информационных целей. Группа предложила также настоятельно призвать Стороны, которые еще не сделали этого, сообщить секретариату, охватывают ли их системы лицензирования, помимо новых веществ, использованные, рециркулированные и утилизованные регулируемые вещества, что является обязательством в соответствии со статьей 4B Протокола. Кроме того, Сторонам будет рекомендовано или предложено обеспечить, чтобы их системы лицензирования охватывали регулируемые вещества, подлежащие перегрузке, включая реэкспортируемые вещества и вещества, находящиеся в зонах свободной торговли; укреплять методы проверки импортных и экспортных поставок и рассмотреть возможность создания автоматизированных систем и стандартизированных процедур там, где это осуществимо; сообщать об источниках импорта и пунктах назначения экспорта регулируемых веществ; и использовать онлайновую систему представления сведений для обеспечения данных в соответствии со статьей 7. Помимо этого, национальным органам по озону и сотрудникам таможенных служб будет рекомендовано обмениваться данными для более эффективного отслеживания и мониторинга импорта регулируемых веществ. В проект решения включено напоминание о том, что Программа содействия соблюдению может оказывать Сторонам, действующим в рамках статьи 5, поддержку в разработке и внедрении их национальных систем лицензирования. Наконец, в нем содержатся обращенные к секретариату по озону поручения информировать Стороны о тех Сторонах, которые не представили данные, требуемые в соответствии со статьей 7, к установленному сроку 30 сентября, а также поддерживать связь с секретариатом Многостороннего фонда в отношении возможных вариантов выработки скоординированного подхода к представлению данных.</w:t>
      </w:r>
    </w:p>
    <w:p w14:paraId="130AA311"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В ходе последовавшего обсуждения несколько представителей, в том числе один, выступавший от имени группы Сторон, поблагодарили секретариат за свод информации, представленной Сторонами, о случаях незаконной торговли и подходах, применяемых национальными органами для выявления и пресечения таких случаев.</w:t>
      </w:r>
    </w:p>
    <w:p w14:paraId="1A1E74DB"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Многие представители выразили признательность авторам обоих документов зала заседаний за их усилия по разработке предложений об укреплении систем лицензирования, расширении таможенного сотрудничества и борьбе с незаконной торговлей регулируемыми веществами в рамках процессов Монреальского протокола и заявили, что приветствовали бы возможность продолжить обсуждение обоих проектов решений.</w:t>
      </w:r>
    </w:p>
    <w:p w14:paraId="1D75B972"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выступавший от имени группы Сторон, отметил, что представление двух документов зала заседаний по этому вопросу, основанных на предыдущих обсуждениях и на проекте решения, изложенном в документе зала заседаний на тридцать седьмом Совещании Сторон, свидетельствует о необходимости и готовности Сторон продолжить обсуждение вопроса об укреплении учреждений Монреальского протокола.</w:t>
      </w:r>
    </w:p>
    <w:p w14:paraId="4858139E"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подчеркнули, что любые предлагаемые меры должны учитывать национальное законодательство, конкретные условия и институциональные мандаты. С учетом различий в национальном законодательстве, обеспечивающем выполнение положений статьи 4B Монреальского протокола, важно признать, что различия в национальных системах лицензирования будут существовать всегда и необходимо применять гибкий подход к тому, как та или иная Сторона выполняет свои обязательства в рамках Протокола. В этой связи один представитель, отметив, что национальная система лицензирования ее Стороны действует уже более 25 лет, заявила, что принципиально важно не выдвигать предложений, обязывающих Стороны вносить существенные изменения в их системы лицензирования в тех случаях, когда такие изменения не требуются для соблюдения Монреальского протокола.</w:t>
      </w:r>
    </w:p>
    <w:p w14:paraId="75F57FFE"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lastRenderedPageBreak/>
        <w:t xml:space="preserve">Один представитель подчеркнула, что эффективная система лицензирования является одним из важнейших инструментов, позволяющих Сторонам обеспечивать соблюдение их обязательств в рамках как Монреальского протокола, так и Кигалийской поправки к нему. Она с удовлетворением отметила внимание, которое уделяется укреплению систем лицензирования за счет совершенствования методов проверки, более тесной координации между национальными органами по озону и таможенными службами и более широкого использования автоматизированных и цифровых систем. Отметив, что она считает особенно важной разработку руководящих указаний, касающихся основных характеристик эффективных систем лицензирования, она заявила, что содействие внедрению практичных, совместимых и экономичных решений в области лицензирования принесет большую пользу многим Сторонам, действующим в рамках статьи 5. Другой представитель подчеркнул, что любые контрольные перечни для лицензирования должны носить добровольный характер и учитывать национальную нормативно-правовую и административную базу. </w:t>
      </w:r>
    </w:p>
    <w:p w14:paraId="663C2D2E"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Ряд представителей подчеркнули, что любые разработанные руководящие указания, программные инструменты или типовые регламенты должны оставаться достаточно гибкими, чтобы учитывать различные национальные условия и возможности, а также существующие системы, и что следует оказывать практическую поддержку Сторонам, стремящимся укрепить свои механизмы лицензирования и обеспечения соблюдения. Один представитель отметил, что работа над программным обеспечением для лицензирования должна осуществляться в рамках Исполнительного комитета и должна учитывать вопросы кибербезопасности, совместимости с существующими системами, а также национальной принадлежности данных и контроля над ними.</w:t>
      </w:r>
    </w:p>
    <w:p w14:paraId="2D9E2BEF"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Многие представители подчеркнули, что любые новые меры, включая требования к представлению информации, порядок действий и механизмы осуществления, должны носить добровольный и вспомогательный характер и учитывать, в частности, национальный потенциал Сторон, действующих в рамках статьи 5. Многие представители подчеркнули, что на Стороны, особенно действующие в рамках статьи 5, не следует возлагать дополнительное бремя и что расширение деятельности всегда должно сопровождаться надлежащей технической и финансовой поддержкой по линии Многостороннего фонда.</w:t>
      </w:r>
    </w:p>
    <w:p w14:paraId="28082AB8"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заявили, что любые обсуждения дальнейшего укрепления учреждений Монреальского протокола должны быть направлены на оказание Сторонам, особенно действующим в рамках статьи 5, содействия в выполнении их существующих обязательств в рамках Монреальского протокола, а не на введение каких-либо новых обязательств. Ряд представителей заявили, что не поддерживают предлагаемое положение о данных об импорте и экспорте из зон свободной торговли, отметив, что эти данные уже включаются в национальные доклады и не требуют отдельного представления. Один представитель подчеркнул, что направление информации об использованных, рециркулированных и утилизованных веществах, а также о перегрузке, реэкспорте и источниках импорта должно оставаться добровольным. Другой представитель обратил особое внимание на то, что содержащееся в проекте решения, внесенном представителем Канады, предложение сделать представление данных об источниках импорта регулируемых веществ обязательным для всех Сторон создаст существенное административное бремя и бремя по представлению данных для Сторон, действующих в рамках статьи 5. Один представитель заявил, что некоторые из мер, предлагаемых в проектах решений, по-видимому, находятся вне сферы охвата Монреальского протокола.</w:t>
      </w:r>
    </w:p>
    <w:p w14:paraId="5C5BA5D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обратил особое внимание на важность учета того бремени, которое ляжет на секретариат в связи с необходимостью обеспечивать соблюдение любых новых мер, особенно с учетом </w:t>
      </w:r>
      <w:proofErr w:type="gramStart"/>
      <w:r w:rsidRPr="00E1048B">
        <w:t>уже существующей</w:t>
      </w:r>
      <w:proofErr w:type="gramEnd"/>
      <w:r w:rsidRPr="00E1048B">
        <w:t xml:space="preserve"> значительной нагрузки на кадровые ресурсы секретариата.</w:t>
      </w:r>
    </w:p>
    <w:p w14:paraId="42F61082"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отметив, что в рамках региональных сетей и по инициативе программы «</w:t>
      </w:r>
      <w:proofErr w:type="spellStart"/>
      <w:r w:rsidRPr="00E1048B">
        <w:t>Озонэкшн</w:t>
      </w:r>
      <w:proofErr w:type="spellEnd"/>
      <w:r w:rsidRPr="00E1048B">
        <w:t xml:space="preserve">» под эгидой ЮНЕП уже ведется работа по анализу и содействию адаптации систем лицензирования, подчеркнул, что важно избегать дублирования этой работы. Другой представитель обратил внимание на важность учета работы, проводимой ЮНЕП и Управлением Организации Объединенных Наций по наркотикам и преступности по подготовке всеобъемлющего доклада о незаконной торговле в рамках Монреальского протокола. </w:t>
      </w:r>
    </w:p>
    <w:p w14:paraId="74E4182D"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Рабочая группа постановила сформировать контактную группу под сопредседательством Лианы </w:t>
      </w:r>
      <w:proofErr w:type="spellStart"/>
      <w:r w:rsidRPr="00E1048B">
        <w:t>Гахраманян</w:t>
      </w:r>
      <w:proofErr w:type="spellEnd"/>
      <w:r w:rsidRPr="00E1048B">
        <w:t xml:space="preserve"> (Армения) и Пауля Крайника (Австрия) для дальнейшего обсуждения этого вопроса, в том числе путем рассмотрения двух проектов решений, изложенных в документах зала заседаний.</w:t>
      </w:r>
    </w:p>
    <w:p w14:paraId="6D80651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lastRenderedPageBreak/>
        <w:t>Впоследствии в ходе совещания сопредседатель контактной группы сообщил, что группа добилась значительного прогресса в рассмотрении обоих предложений по проектам решений и пришла к выводу о том, что тридцать восьмому Совещанию Сторон следует продолжить их рассмотрение. Он выразил надежду на то, что заинтересованные Стороны будут работать над обоими предложениями в межсессионный период.</w:t>
      </w:r>
    </w:p>
    <w:p w14:paraId="71B30F2D"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bookmarkStart w:id="19" w:name="_Hlk235156689"/>
      <w:bookmarkEnd w:id="19"/>
      <w:r w:rsidRPr="00E1048B">
        <w:t>Некоторые представители отметили, что было бы полезно, если бы секретариат смог представить информацию о мерах, которые были приняты или принимаются в связи с пунктами постановляющей части обоих предложений, либо, в соответствующих случаях, указать на отсутствие такой информации. Один из них, в частности, просил представить информацию об опыте Сторон и передовых методах в области сотрудничества с таможенными и другими органами.</w:t>
      </w:r>
    </w:p>
    <w:p w14:paraId="7D5A19DF" w14:textId="6D9BCA5F" w:rsidR="0064468C" w:rsidRPr="00E1048B" w:rsidRDefault="0064468C" w:rsidP="00DF659D">
      <w:pPr>
        <w:pStyle w:val="Normalnumber"/>
        <w:numPr>
          <w:ilvl w:val="0"/>
          <w:numId w:val="4"/>
        </w:numPr>
        <w:tabs>
          <w:tab w:val="clear" w:pos="1247"/>
          <w:tab w:val="clear" w:pos="1814"/>
          <w:tab w:val="clear" w:pos="2381"/>
          <w:tab w:val="clear" w:pos="2948"/>
          <w:tab w:val="clear" w:pos="3515"/>
        </w:tabs>
        <w:spacing w:after="240"/>
        <w:ind w:left="1247" w:firstLine="0"/>
      </w:pPr>
      <w:r w:rsidRPr="00E1048B">
        <w:t>Рабочая группа постановила поручить секретариату представить вышеупомянутую информацию до начала тридцать восьмого Совещания Сторон и направить этому Совещанию оба предложения по проектам решений для дальнейшего рассмотрения. Проекты решений изложены в разделах II.A и II.B приложения I к настоящему докладу</w:t>
      </w:r>
      <w:r w:rsidR="003311EA">
        <w:t>.</w:t>
      </w:r>
    </w:p>
    <w:p w14:paraId="049F68D7" w14:textId="784722C5" w:rsidR="0064468C" w:rsidRPr="004714DA" w:rsidRDefault="001B7250" w:rsidP="001B7250">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4714DA">
        <w:rPr>
          <w:bCs/>
          <w:lang w:val="ru-RU"/>
        </w:rPr>
        <w:t>VIII.</w:t>
      </w:r>
      <w:r w:rsidR="0064468C" w:rsidRPr="004714DA">
        <w:rPr>
          <w:lang w:val="ru-RU"/>
        </w:rPr>
        <w:tab/>
      </w:r>
      <w:r w:rsidR="0064468C" w:rsidRPr="004714DA">
        <w:rPr>
          <w:color w:val="000000" w:themeColor="text1"/>
          <w:shd w:val="clear" w:color="auto" w:fill="FFFFFF"/>
          <w:lang w:val="ru-RU"/>
        </w:rPr>
        <w:t>Ход подготовки к тридцать восьмому Совещанию Сторон, которое состоится в Кигали</w:t>
      </w:r>
    </w:p>
    <w:p w14:paraId="7285B813" w14:textId="796F3D5A"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Представляя этот пункт повестки дня, сопредседатель напомнила, что в своем решении</w:t>
      </w:r>
      <w:r w:rsidR="001B7250" w:rsidRPr="00E1048B">
        <w:t> </w:t>
      </w:r>
      <w:r w:rsidRPr="00E1048B">
        <w:t>XXXVII/22 тридцать седьмое Совещание Сторон постановило созвать тридцать восьмое Совещание Сторон в Кигали 2–6 ноября 2026 года, приурочив к нему семьдесят седьмое совещание Комитета по выполнению и совещание Бюро тридцать седьмого Совещания Сторон, а также другие связанные с этим мероприятия.</w:t>
      </w:r>
    </w:p>
    <w:p w14:paraId="0EF3A50B" w14:textId="164BFB30"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В решении XXXVII/5 тридцать седьмое Совещание Сторон предложило Сторонам представить секретариату информацию в отношении центров передового опыта в вопросах устойчивого охлаждения и испытательных центров в сфере энергоэффективности в связи с реализацией Кигалийской поправки. Информация, представленная 23 Сторонами и обобщенная секретариатом, размещена на его веб-сайте.</w:t>
      </w:r>
      <w:bookmarkStart w:id="20" w:name="_Hlk235091908"/>
      <w:bookmarkEnd w:id="20"/>
    </w:p>
    <w:p w14:paraId="340F5F74" w14:textId="15DBA034"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rPr>
          <w:bCs/>
        </w:rPr>
      </w:pPr>
      <w:r w:rsidRPr="00E1048B">
        <w:t>Представитель Руанды сообщила о ходе подготовки к тридцать восьмому Совещанию Сторон, принимать которое, по ее словам, большая честь для ее Стороны. Это совещание даст возможность отметить достижения Монреальского протокола и одновременно укрепить коллективную приверженность Сторон осуществлению Кигалийской поправки в связи с десятой годовщиной ее принятия. В рамках мероприятия 1 ноября состоится семинар</w:t>
      </w:r>
      <w:r w:rsidR="004D7DEF" w:rsidRPr="00E1048B">
        <w:noBreakHyphen/>
      </w:r>
      <w:r w:rsidRPr="00E1048B">
        <w:t xml:space="preserve">практикум, посвященный десятой годовщине, а также пройдет отраслевая выставка, на которой будут представлены практические технологии, программы и партнерства, способствующие устойчивому развитию систем охлаждения и холодовой цепи; оба мероприятия пройдут в Африканском центре передового опыта в области устойчивых систем охлаждения и холодовой цепи. </w:t>
      </w:r>
    </w:p>
    <w:p w14:paraId="4CCDB16B"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rPr>
          <w:bCs/>
        </w:rPr>
      </w:pPr>
      <w:r w:rsidRPr="00E1048B">
        <w:t>Секретариат готовит краткую информационную записку с изложением достижений, трудностей и будущих возможностей, связанных с первым десятилетием действия Кигалийской поправки; проект записки размещен на специальном веб-сайте совещания</w:t>
      </w:r>
      <w:r w:rsidRPr="00E1048B">
        <w:rPr>
          <w:rStyle w:val="FootnoteReference"/>
          <w:lang w:val="ru-RU"/>
        </w:rPr>
        <w:footnoteReference w:id="2"/>
      </w:r>
      <w:r w:rsidRPr="00E1048B">
        <w:t>. Сторонам и заинтересованным субъектам предлагается представить тематические исследования, посвященные достижениям последних 10 лет в рамках Кигалийской поправки, с целью стимулирования дальнейших масштабных целей на предстоящее десятилетие. Группа африканских государств готовит декларацию, призванную отметить Кигалийскую поправку, укрепить Многосторонний фонд, содействовать внедрению устойчивых и энергоэффективных систем охлаждения, а также укрепить потенциал в области осуществления.</w:t>
      </w:r>
    </w:p>
    <w:p w14:paraId="0A1C2C44"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rPr>
          <w:bCs/>
        </w:rPr>
      </w:pPr>
      <w:r w:rsidRPr="00E1048B">
        <w:t xml:space="preserve">Представитель Сенегала, выступавший от имени Группы африканских государств, подчеркнул важность предложения о принятии декларации в ознаменование десятилетия осуществления Кигалийской поправки. Он положительно оценил факт, что в тексте особое внимание уделено всеобщей ратификации и осуществлению Поправки, укреплению Многостороннего фонда, а также мерам по борьбе с незаконной торговлей, повышению энергоэффективности, внедрению устойчивых систем охлаждения и расширению доступа к недорогим климатически безопасным технологиям. Для Африки обеспечение устойчивого охлаждения является одновременно природоохранным приоритетом и необходимым условием развития, имеющим важнейшее значение для общественного здравоохранения, </w:t>
      </w:r>
      <w:r w:rsidRPr="00E1048B">
        <w:lastRenderedPageBreak/>
        <w:t>продовольственной безопасности, экономической устойчивости и адаптации к изменению климата. Он вновь подчеркнул важность обеспечения надлежащей и предсказуемой финансовой и технологической поддержки, с тем чтобы Стороны, действующие в рамках статьи 5, могли в полном объеме выполнить свои обязательства в рамках Кигалийской поправки. Он призвал все Стороны присоединиться к этой декларации.</w:t>
      </w:r>
    </w:p>
    <w:p w14:paraId="75DAF0BC"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rPr>
          <w:bCs/>
        </w:rPr>
      </w:pPr>
      <w:r w:rsidRPr="00E1048B">
        <w:t xml:space="preserve">Все выступившие представители поздравили Руанду с успешной подготовкой к совещанию и заявили, что с нетерпением ждут возможности вновь побывать там, где была принята Кигалийская поправка. Многие из них с теплотой вспоминали интенсивные переговоры, проходившие в тот период. </w:t>
      </w:r>
    </w:p>
    <w:p w14:paraId="6B5259CD"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spacing w:after="240"/>
        <w:ind w:left="1247" w:firstLine="0"/>
        <w:rPr>
          <w:bCs/>
        </w:rPr>
      </w:pPr>
      <w:r w:rsidRPr="00E1048B">
        <w:t>Отвечая на вопросы, представитель Руанды сообщила, что ее Сторона совместно с секретариатом готовит информационную записку об организационных вопросах, включая визы и организацию поездок. Правительство Руанды принимает все необходимые меры для того, чтобы ничто не препятствовало организации совещания. Она также обязалась направить Сторонам проект декларации и заявила, что будет взаимодействовать с ними в отношении его содержания.</w:t>
      </w:r>
    </w:p>
    <w:p w14:paraId="514BF0E7" w14:textId="6CA3E122" w:rsidR="0064468C" w:rsidRPr="00E1048B" w:rsidRDefault="004D7DEF" w:rsidP="004D7DEF">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E1048B">
        <w:rPr>
          <w:bCs/>
          <w:lang w:val="ru-RU"/>
        </w:rPr>
        <w:t>IX.</w:t>
      </w:r>
      <w:r w:rsidR="0064468C" w:rsidRPr="00E1048B">
        <w:rPr>
          <w:lang w:val="ru-RU"/>
        </w:rPr>
        <w:tab/>
        <w:t>Прочие вопросы</w:t>
      </w:r>
    </w:p>
    <w:p w14:paraId="6965A941" w14:textId="3E2814ED" w:rsidR="0064468C" w:rsidRPr="00E1048B" w:rsidRDefault="004D7DEF" w:rsidP="004D7DEF">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64468C" w:rsidRPr="00E1048B">
        <w:rPr>
          <w:bCs/>
          <w:lang w:val="ru-RU"/>
        </w:rPr>
        <w:t>A.</w:t>
      </w:r>
      <w:r w:rsidR="0064468C" w:rsidRPr="00E1048B">
        <w:rPr>
          <w:lang w:val="ru-RU"/>
        </w:rPr>
        <w:tab/>
      </w:r>
      <w:r w:rsidR="0064468C" w:rsidRPr="00E1048B">
        <w:rPr>
          <w:bCs/>
          <w:lang w:val="ru-RU"/>
        </w:rPr>
        <w:t>Участие государств Центральной Азии в Группе восточноевропейских государств</w:t>
      </w:r>
    </w:p>
    <w:p w14:paraId="7C1B0C8F"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Внося на рассмотрение этот подпункт, представитель Казахстана, выступая также от имени Кыргызстана, Таджикистана, Туркменистана и Узбекистана, внес на рассмотрение документ зала заседаний, содержащий проект решения о дальнейшем участии этих стран в Группе восточноевропейских государств. В соответствии с проектом решения тридцать восьмому Совещанию Сторон будет предложено призвать Стороны и впредь признавать государства Центральной Азии членами Группы восточноевропейских государств и взаимодействовать с ними в ее рамках, а также просить секретариат уведомить Стороны об этом решении. </w:t>
      </w:r>
    </w:p>
    <w:p w14:paraId="34BDC402" w14:textId="13E66391"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Напомнив, что на тридцать седьмом Совещании Сторон некоторые Стороны предложили исключить государства Центральной Азии из Группы восточноевропейских государств, он отметил, что для такого исключения нет правовых оснований и что оно противоречило бы также сложившейся практике в рамках Монреальского протокола, принципам Организации Объединенных Наций и международному праву. Ни одна Сторона никогда не заявляла официальных возражений против дальнейшего признания государств Центральной Азии членами этой Группы. Более того, непрерывное участие этих государств в работе Группы с 1991 года предполагает наличие приобретенных прав и законных ожиданий, которые заслуживают должного уважения в соответствии с международным правом. Любая инициатива по изменению состава региональных групп в рамках Монреальского протокола представляла бы собой явное нарушение равноправия государств </w:t>
      </w:r>
      <w:r w:rsidR="001D42DD" w:rsidRPr="00E1048B">
        <w:t>–</w:t>
      </w:r>
      <w:r w:rsidRPr="00E1048B">
        <w:t xml:space="preserve"> членов Организации Объединенных Наций и не соответствовала бы принципам справедливости, инклюзивности и консенсуса, которые на протяжении длительного времени направляли работу в рамках Монреальского протокола.</w:t>
      </w:r>
    </w:p>
    <w:p w14:paraId="6F155684"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Он подчеркнул, что проект решения не имеет целью создать прецедент, а призван исключительно обеспечить окончательное урегулирование этого вопроса.</w:t>
      </w:r>
    </w:p>
    <w:p w14:paraId="20A50555"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заявили о своей поддержке проекта решения. Один представитель отметил, что принятие этого решения укрепит Монреальский протокол, поскольку обеспечит дальнейшее и эффективное участие всех Сторон и подчеркнет важность принятия решений на основе консенсуса, справедливого участия и институциональной преемственности.</w:t>
      </w:r>
    </w:p>
    <w:p w14:paraId="75CA5F9F" w14:textId="006F27D3"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Несколько представителей отметили плодотворный и позитивный вклад государств Центральной Азии в работу Группы восточноевропейских государств, в том числе благодаря выдвижению их кандидатур для представления Группы в различных органах в рамках Монреальского протокола. Несколько представителей заявили, что исключение государств Центральной Азии из региональной группы без их согласия могло бы ограничить их возможности участвовать в выдвижении и избрании представителей в различные органы Монреальского протокола, что несовместимо с принципами суверенного равенства, инклюзивности и равной представленности всех государств. В этой связи ряд представителей обратили внимание на значительный вклад государств Центральной Азии в обеспечение того, чтобы восточноевропейские государства смогли достичь консенсуса в отношении недавнего </w:t>
      </w:r>
      <w:r w:rsidRPr="00E1048B">
        <w:lastRenderedPageBreak/>
        <w:t>выдвижения кандидатуры Азербайджана в состав Комитета по выполнению на срок до 31</w:t>
      </w:r>
      <w:r w:rsidR="001D42DD" w:rsidRPr="00E1048B">
        <w:t> </w:t>
      </w:r>
      <w:r w:rsidRPr="00E1048B">
        <w:t>декабря 2027 года.</w:t>
      </w:r>
    </w:p>
    <w:p w14:paraId="6FC35D7B"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заявил, что единственный уместный вопрос к тем, кто предлагает изменить состав Группы восточноевропейских государств, состоит в том, каким образом такое изменение будет способствовать более эффективному выполнению обязательств Сторон в рамках Монреальского протокола и Кигалийской поправки к нему. Какие-либо географические соображения применительно к составу Группы не имеют отношения к делу. Кроме того, некоторые представители предостерегли от политизации вопроса о региональной представленности. Несколько представителей высказали мнение о том, что любые изменения, затрагивающие участие государств в региональных группах, необходимо проводить на основе транспарентного диалога и консенсуса, а также с учетом интересов всех заинтересованных Сторон.</w:t>
      </w:r>
    </w:p>
    <w:p w14:paraId="34E6284D" w14:textId="4BD5DDE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обратила особое внимание на географическое положение регионов, охватываемых текущим членским составом Группы восточноевропейских государств, а также на давние исторические, экономические и экологические связи, включая тесные связи между регионами Центральной Азии и Южного Кавказа, и на общий опыт осуществления Монреальского протокола, что, по ее словам, говорит в пользу сохранения текущего состава Группы</w:t>
      </w:r>
      <w:r w:rsidR="001D42DD" w:rsidRPr="00E1048B">
        <w:t>.</w:t>
      </w:r>
    </w:p>
    <w:p w14:paraId="7CA4EC1C"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Некоторые представители подчеркнули, что государства Центральной Азии являются активными и конструктивными участниками Сети Монреальского протокола для Европы и Центральной Азии, которая обеспечивает прочную институциональную основу для сотрудничества в регионе, в частности между техническими экспертами. Это сотрудничество способствовало обмену экспертными знаниями, укрепило региональный потенциал и внесло значительный вклад в эффективное осуществление Монреальского протокола и Кигалийской поправки к нему во всем регионе.</w:t>
      </w:r>
    </w:p>
    <w:p w14:paraId="5E02DBB7" w14:textId="5E50466C"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Ряд других представителей, в том числе один, выступавший от имени группы Сторон, высказали мнение о том, что обсуждение состава региональных групп в Рабочей группе открытого состава является неуместным, равно как и принятие Совещанием Сторон какого</w:t>
      </w:r>
      <w:r w:rsidR="008813B0" w:rsidRPr="00E1048B">
        <w:noBreakHyphen/>
      </w:r>
      <w:r w:rsidRPr="00E1048B">
        <w:t>либо решения на этот счет. В системе Организации Объединенных Наций региональные группы действуют на неофициальной основе; каждая региональная группа должна сама определять свой членский состав, сроки проведения своих совещаний и порядок выдвижения кандидатур. Вместе с тем один представитель отметил, что, исходя из принципа справедливости, все Стороны должны принадлежать к какой-либо региональной группе и что Группе восточноевропейских государств и Группе азиатско-тихоокеанских государств следует продолжить консультации по вопросу об обеспечении включения государств Центральной Азии в одну из региональных групп в рамках Монреальского протокола.</w:t>
      </w:r>
    </w:p>
    <w:p w14:paraId="2EB3EAE6"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Некоторые представители, в том числе один, выступавший от имени группы Сторон, заявили, что решение Совещания Сторон о членском составе региональных групп не соответствовало бы обычаям и практике Организации Объединенных Наций и могло бы создать прецедент, чреватый непредвиденными последствиями для других региональных групп в рамках многосторонних природоохранных соглашений.</w:t>
      </w:r>
    </w:p>
    <w:p w14:paraId="4747573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пояснил, что ни одна Сторона никогда не пыталась изменить состав региональной группы в системе Организации Объединенных Наций. Он заявил, что его Сторона всегда старалась руководствоваться в своих действиях нейтральными рекомендациями секретариата. В этой связи он обратил внимание на записку секретариата, содержащую краткую справочную информацию о членском составе Группы восточноевропейских государств (UNEP/OzL.Pro.WG.1/48/INF/4/Rev.1–UNEP/OzL.Pro.ExMOP.6/INF/1/Rev.1), и отметил, что в этот документ включен полный перечень восточноевропейских государств.</w:t>
      </w:r>
    </w:p>
    <w:p w14:paraId="16E9B4C5"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подчеркнул, что состав региональных групп в рамках Генеральной Ассамблеи Организации Объединенных Наций не должен влиять на состав таких групп в рамках Монреальского протокола и Венской конвенции. Ряд представителей, также обратив внимание на свод информации, содержащийся в записке секретариата, заявили, что согласно одному из сделанных в нем выводов, у других многосторонних природоохранных соглашений и на других форумах существуют собственные классификации региональных групп и разные правила членства в их договорных органах: одни используют пять региональных групп Организации Объединенных Наций, другие – нет. С учетом этого при рассмотрении данного вопроса следует руководствоваться сложившейся практикой Монреальского протокола.</w:t>
      </w:r>
    </w:p>
    <w:p w14:paraId="1EC8B09A" w14:textId="43F26535"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lastRenderedPageBreak/>
        <w:t>Один представитель заявил, что обе точки зрения являются обоснованными: и та, согласно которой государства Центральной Азии исторически были активными членами Группы восточноевропейских государств в рамках Монреальского протокола и должны оставаться таковыми, и та, согласно которой эти государства расположены в Азии и на других форумах Организации Объединенных Наций входят в Группу азиатско-тихоокеанских государств, а значит, должны входить в эту Группу и в рамках Монреальского протокола. Он вновь подтвердил, что этот вопрос необходимо решать путем диалога и консультаций между заинтересованными Сторонами</w:t>
      </w:r>
      <w:r w:rsidR="00E26BBA">
        <w:t>.</w:t>
      </w:r>
    </w:p>
    <w:p w14:paraId="142BBEEB" w14:textId="7B31DD3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заявил, что его Сторона, не входящая в Группу восточноевропейских государств, готова оказать содействие в проведении текущих обсуждений по этому вопросу, если Группа обратится к ней с таким предложением. Другой представитель, выступая от имени группы Сторон, высказал мнение о том, что участие Сторон, не входящих в Группу, в обсуждениях в кулуарах текущего совещания было бы полезным. В Группе состоялись обстоятельные обсуждения, однако признаков изменения позиций не наблюдается</w:t>
      </w:r>
      <w:r w:rsidR="00F00B5C">
        <w:t>.</w:t>
      </w:r>
    </w:p>
    <w:p w14:paraId="6D47EEF9"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заявил, что решение о том, оставаться ли в той или иной региональной группе или перейти в другую группу, является суверенным решением государства, и все пять государств Центральной Азии четко заявили о своем желании остаться в Группе восточноевропейских государств. Поэтому дальнейшее обсуждение этого вопроса не требуется. В этой связи другой представитель заявил, что, учитывая важность суверенных прав государств-членов, представляется неправильным, чтобы региональная группа, которая в соответствии с международным правом имеет второстепенное значение по сравнению с государством-членом, могла отказать государству-члену в суверенном праве входить в выбранную им региональную группу.</w:t>
      </w:r>
    </w:p>
    <w:p w14:paraId="7BA7A9BC"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Несколько представителей предостерегли от того, чтобы допускать изменение членского состава Группы, поскольку это может создать прецедент для множества аналогичных изменений.</w:t>
      </w:r>
    </w:p>
    <w:p w14:paraId="6A27850F"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В ответ на вопрос одного из представителей старший специалист по правовым вопросам отметил, что секретариат не участвует в заседаниях региональных групп и не фиксирует информацию об их совещаниях. Каждая региональная группа сама определяет, в частности, какие государства входят в ее состав, а решения о приеме в региональную группу выносятся на основе консенсуса. Он пояснил, что Сторона не может быть принудительно выведена из состава региональной группы. В связи с этим ответом ряд представителей заявили, что государства Центральной Азии, очевидно, должны остаться членами Группы восточноевропейских государств и что вопрос следует считать закрытым.</w:t>
      </w:r>
    </w:p>
    <w:p w14:paraId="092882B8"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выступая от имени группы Сторон, высказался за возможность проведения дальнейших консультаций по этому вопросу. Один представитель предложил переименовать Группу восточноевропейских государств в Группу восточноевропейских, кавказских и центральноазиатских государств. </w:t>
      </w:r>
    </w:p>
    <w:p w14:paraId="722B8064"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Рабочая группа постановила, что члены Группы восточноевропейских государств и другие заинтересованные Стороны продолжат обсуждение в неофициальном порядке в кулуарах текущего совещания и что один из авторов документа зала заседаний доложит о достигнутом прогрессе на пленарном заседании. </w:t>
      </w:r>
    </w:p>
    <w:p w14:paraId="09E97B56"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Впоследствии представитель Армении</w:t>
      </w:r>
      <w:r w:rsidRPr="00E1048B">
        <w:rPr>
          <w:rStyle w:val="FootnoteReference"/>
          <w:lang w:val="ru-RU"/>
        </w:rPr>
        <w:footnoteReference w:id="3"/>
      </w:r>
      <w:r w:rsidRPr="00E1048B">
        <w:t>, докладывая об итогах неофициальных консультаций по этому вопросу, которые она координировала, сообщила, что, хотя в ходе этих консультаций был выдвинут ряд предложений, рассмотренных участвовавшими Сторонами, консенсуса ни по проекту решения, изложенному в документе зала заседаний, ни по урегулированию вопроса в целом достигнуто не было.</w:t>
      </w:r>
    </w:p>
    <w:p w14:paraId="5D2D4139"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Представитель Казахстана, выступая также от имени Кыргызстана, Таджикистана, Туркменистана и Узбекистана, вновь подтвердил приверженность этих государств продолжению сотрудничества со всеми Сторонами Монреальского протокола в духе взаимного уважения, инклюзивности и конструктивного диалога в соответствии с международным правом и принципами Организации Объединенных Наций. Кроме того, он вновь подтвердил намерение этих государств активно участвовать в работе в качестве членов Группы восточноевропейских государств. Он отметил, что, будучи авторами проекта решения, эти государства готовы снять его с дальнейшего рассмотрения, как только станет ясно, что устоявшаяся практика их членства в Группе восточноевропейских государств будет соблюдена.</w:t>
      </w:r>
    </w:p>
    <w:p w14:paraId="2C2BFD4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lastRenderedPageBreak/>
        <w:t>Несколько представителей, в том числе выступавшие от имени групп Сторон, выразили признательность за усилия всех участников неофициальных консультаций, которые в духе сотрудничества стремились найти решение, способное обеспечить консенсус, хотя, к сожалению, достичь его не удалось.</w:t>
      </w:r>
    </w:p>
    <w:p w14:paraId="2EA050E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Ряд представителей вновь подчеркнули важность соблюдения принципа суверенного равенства и равных прав всех Сторон, в том числе права каждой Стороны самостоятельно выбирать, к какой региональной группе она относится. Несколько представителей напомнили о позитивном вкладе, который государства Центральной Азии на протяжении многих лет вносят в работу Группы восточноевропейских государств, а также об исторических предпосылках и практических основаниях текущего состава этой группы.</w:t>
      </w:r>
    </w:p>
    <w:p w14:paraId="574C8C0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Представитель, выступавший от имени группы Сторон, вновь высказал мнение о том, что решения относительно членского состава той или иной региональной группы должны приниматься внутри самой этой группы и что любые изменения в членском составе требуют консенсуса в рамках группы. Он отметил, что, судя по текущему обсуждению, у него сложилось впечатление, что в рамках Группы восточноевропейских государств такого консенсуса достигнуто не было.</w:t>
      </w:r>
    </w:p>
    <w:p w14:paraId="2EA4C7C7"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выступавший от имени группы Сторон, выразил признательность за все выступления в ходе неофициальных обсуждений. Он отметил, что эти Стороны выдвинули конструктивное предложение относительно выдвижения кандидатур от Центральной Азии в качестве представителей государств Восточной Европы на основе консенсуса между восточноевропейскими и центральноазиатскими Сторонами. По их мнению, такое предложение является сбалансированным и позволяет учесть высказанные всеми поводы для обеспокоенности, что вполне соответствует духу сотрудничества и традициям, сложившимся в рамках «семьи» Монреальского протокола. К сожалению, это предложение не было принято. Несмотря на этот итог, представитель выразил признательность всем Сторонам, участвовавшим в обсуждениях. Другой представитель отметил, что это предложение было бы приемлемо для его Стороны при условии небольшого изменения формулировки, обеспечивающего, чтобы государства Центральной Азии пользовались теми же правами, что и все остальные участники Группы.</w:t>
      </w:r>
    </w:p>
    <w:p w14:paraId="0290F1F7" w14:textId="3EF7F262"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напомнил, что вопрос о членстве государств Центральной Азии в Группе восточноевропейских государств был поднят на тридцать седьмом Совещании Сторон одной из других Сторон, входящих в эту Группу, и отметил, что ему непонятно, почему несколько Сторон в составе Группы восточноевропейских государств в настоящее время придерживаются такой деструктивной позиции. В ответ на это заявление другой представитель </w:t>
      </w:r>
      <w:r w:rsidR="002D723C">
        <w:t>указал</w:t>
      </w:r>
      <w:r w:rsidRPr="00E1048B">
        <w:t xml:space="preserve">, что вынужден решительно отвергнуть несправедливое замечание одной из Сторон в адрес его Стороны, пояснив, что его Сторона никогда не стремилась изменить членский состав региональных групп Организации Объединенных Наций, а всегда тщательно учитывала в своих действиях нейтральные рекомендации секретариата и неизменно поддерживала дух сотрудничества. </w:t>
      </w:r>
    </w:p>
    <w:p w14:paraId="0D9F4DF3"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предложил изменить название Группы на «Группа восточноевропейских и центральноазиатских государств», поскольку это точнее отражало бы ее членский состав, позволило бы избежать любых недоразумений в будущем и не оказало бы негативного влияния на права ни одной из входящих в нее Сторон. Он напомнил, что прецедент такого переименования существует: в системе Организации Объединенных Наций Группа азиатских государств в 2011 году была переименована в Группу азиатско-тихоокеанских государств, с тем чтобы точнее отразить ее членский состав. Это изменение названия прошло без осложнений; в ходе обсуждения этого решения не упоминалось о вопросах, связанных с политизацией, и оно было произведено в интересах равенства между государствами и в духе здравого смысла. В связи с этим он не может не прийти к выводу о том, что нежелание некоторых Сторон признать суверенное право государств Центральной Азии оставаться членами Группы восточноевропейских государств либо рассмотреть вопрос о переименовании Группы свидетельствует о двойных стандартах и дискриминационном подходе. Соответственно, он просил старшего специалиста по правовым вопросам дать оценку сложившейся ситуации с правовой и дисциплинарной точек зрения. </w:t>
      </w:r>
    </w:p>
    <w:p w14:paraId="337E261E"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высказал мнение о том, что консультации по этому вопросу следует продолжить на будущих совещаниях. Однако некоторые представители заявили, что, с учетом данного ранее старшим специалистом по правовым вопросам разъяснения о том, что ни одна Сторона не вправе исключать другую Сторону из региональной группы, этот вопрос следует считать урегулированным и закрыть его рассмотрение.</w:t>
      </w:r>
    </w:p>
    <w:p w14:paraId="09891848"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lastRenderedPageBreak/>
        <w:t>Рабочая группа постановила включить этот вопрос в предварительную повестку дня тридцать восьмого Совещания Сторон.</w:t>
      </w:r>
    </w:p>
    <w:p w14:paraId="6B752B4A" w14:textId="52CE3374" w:rsidR="0064468C" w:rsidRPr="00E1048B" w:rsidRDefault="003202B4" w:rsidP="003202B4">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64468C" w:rsidRPr="00E1048B">
        <w:rPr>
          <w:bCs/>
          <w:lang w:val="ru-RU"/>
        </w:rPr>
        <w:t>B.</w:t>
      </w:r>
      <w:r w:rsidR="0064468C" w:rsidRPr="00E1048B">
        <w:rPr>
          <w:lang w:val="ru-RU"/>
        </w:rPr>
        <w:tab/>
      </w:r>
      <w:r w:rsidR="0064468C" w:rsidRPr="00E1048B">
        <w:rPr>
          <w:bCs/>
          <w:lang w:val="ru-RU"/>
        </w:rPr>
        <w:t>Закись азота</w:t>
      </w:r>
    </w:p>
    <w:p w14:paraId="090AAB60"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Представитель Лесото заявил, что его предложение обсудить закись азота обусловлено приложением I к Венской конвенции, в котором закись азота определена как озоноразрушающее вещество, а также четырехгодичным докладом об оценке Группы по научной оценке (2022 год), в котором отмечен весьма значительный рост уровней закиси азота, создающий угрозу для стратосферного озона. Тем не менее по итогам обсуждений, состоявшихся в кулуарах текущего совещания между членами Группы африканских государств, он снимает свое предложение, чтобы создать условия для проведения дальнейших консультаций с целью представления предложения на одном из будущих совещаний.</w:t>
      </w:r>
    </w:p>
    <w:p w14:paraId="795D2E28"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Многие представители призвали воздержаться от каких-либо решений, ведущих к расширению сферы охвата Монреальского протокола и к увеличению и без того крайне высокой рабочей нагрузки Сторон, действующих в рамках статьи 5, которые к тому же способны отвлечь ресурсы от усилий по поэтапному сокращению оборота ГФУ и поэтапному отказу от применения ГХФУ. Ресурсов и потенциала для выполнения этих задач и без того совершенно недостаточно. Один представитель заявил, что, хотя закись азота может оказывать воздействие на окружающую среду, ее основные источники связаны главным образом с сельским хозяйством и, следовательно, находятся вне сферы охвата Протокола. Ограничение применения закиси азота может отразиться на производстве удобрений и привести к росту затрат на сельскохозяйственное производство, что скажется на продовольственной безопасности и экономических возможностях стран. Он заявил, что никогда не сможет согласиться с предложениями, которые предусматривают принятие новых обязательств за пределами сферы охвата Монреальского протокола; такие вопросы могут решаться в рамках других многосторонних природоохранных соглашений. Другой представитель напомнил о существовании Конвенции о трансграничном загрязнении воздуха на большие расстояния и Протокола об ограничении выбросов окислов азота или их трансграничных потоков к этой Конвенции. Вместо того чтобы увеличивать нагрузку на экспертов Монреальского протокола, было бы целесообразнее использовать информацию, уже собранную экспертами в рамках других процессов. </w:t>
      </w:r>
    </w:p>
    <w:p w14:paraId="06C09BC9"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Другие представители, в том числе один, выступавший от имени группы Сторон, выразили признательность Лесото за постановку этого вопроса и подчеркнули важность применения научно обоснованного подхода, опирающегося на фактические данные, отслеживания новых возникающих вопросов и анализа того, как опыт, накопленный в рамках Монреальского протокола, может способствовать их решению. Представитель, выступавший от имени группы Сторон, напомнил, что вопрос о закиси азота, по всей видимости, будет освещен в следующем четырехгодичном докладе об оценке Группы по научной оценке, а значит, к тому моменту появится дополнительная информация.</w:t>
      </w:r>
    </w:p>
    <w:p w14:paraId="26252D30"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Один представитель заявил, что он рассчитывает на продолжение консультаций между представителями государств Африки с целью представления в будущем нового предложения.</w:t>
      </w:r>
    </w:p>
    <w:p w14:paraId="7B4342A1"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Рабочая группа завершила обсуждение этого подпункта при том понимании, что данный вопрос может быть включен в повестку дня будущих совещаний Рабочей группы открытого состава или одного из будущих совещаний Сторон в соответствии с правилами процедуры. </w:t>
      </w:r>
    </w:p>
    <w:p w14:paraId="5E602388" w14:textId="1C8474FB" w:rsidR="0064468C" w:rsidRPr="00E1048B" w:rsidRDefault="007A404E" w:rsidP="007A404E">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64468C" w:rsidRPr="00E1048B">
        <w:rPr>
          <w:bCs/>
          <w:lang w:val="ru-RU"/>
        </w:rPr>
        <w:t>C.</w:t>
      </w:r>
      <w:r w:rsidR="0064468C" w:rsidRPr="00E1048B">
        <w:rPr>
          <w:lang w:val="ru-RU"/>
        </w:rPr>
        <w:tab/>
      </w:r>
      <w:r w:rsidR="0064468C" w:rsidRPr="00E1048B">
        <w:rPr>
          <w:bCs/>
          <w:lang w:val="ru-RU"/>
        </w:rPr>
        <w:t>Осуществление пунктов 2 и 4 статьи 2J Монреальского протокола в отношении Азербайджана</w:t>
      </w:r>
    </w:p>
    <w:p w14:paraId="293FFACA"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Представляя этот подпункт, сопредседатель обратила внимание на добавление к записке секретариата, содержащее представление по вопросу рассмотрения осуществления пунктов 2 и 4 статьи 2J Монреальского протокола в отношении Азербайджана (UNEP/OzL.Pro.WG.1/48/2/Add.2), которое было распространено по запросу Азербайджана.</w:t>
      </w:r>
    </w:p>
    <w:p w14:paraId="1684DDD1"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Представитель Азербайджана внесла на рассмотрение документ зала заседаний, содержащий текст предлагаемого проекта решения. Она пояснила, что недавняя ратификация Азербайджаном Кигалийской поправки привела к появлению ряда практических вопросов осуществления, связанных с внедрением новых мер по регулированию ГФУ, которые необходимо осуществлять параллельно с действующими мерами по регулированию ГХФУ, направленными на их поэтапный вывод из обращения к 2030 году. К таким вопросам относятся, в частности, определение базового уровня ГФУ, разработка нормативно-правовой </w:t>
      </w:r>
      <w:r w:rsidRPr="00E1048B">
        <w:lastRenderedPageBreak/>
        <w:t xml:space="preserve">базы и систем лицензирования, планирование перехода в отдельных секторах и выбор технологий. </w:t>
      </w:r>
    </w:p>
    <w:p w14:paraId="023E6AE1"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Она отметила, что, по ее мнению, пункты 2 и 4 статьи 2J Монреальского протокола устанавливают дифференцированные механизмы выполнения обязательств по сокращению оборота ГФУ, которые призваны обеспечить плавный переход в период, пока Стороны выполняют свои обязательства по поэтапному выводу из обращения ГХФУ. На практике вопрос о применении этих положений рассматривался совещаниями Сторон в принимаемых ими решениях, включая решение XXVIII/2 двадцать восьмого Совещания Сторон. Азербайджан считал, что факторы, влияющие на осуществление в его конкретном случае, имеют отношение к механизмам, установленным в соответствии с пунктами 2 и 4 статьи 2J Монреальского протокола.</w:t>
      </w:r>
    </w:p>
    <w:p w14:paraId="2F96E5F3"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Ряд представителей выразили согласие с этим предложением. В то же время другие, не выражая прямого несогласия, просили представить более подробное обоснование. Они заявили, что готовы рассмотреть это предложение, но хотели бы получить дополнительную информацию о его обосновании.</w:t>
      </w:r>
    </w:p>
    <w:p w14:paraId="4B005533" w14:textId="71E86F99"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Один представитель заметил, что Стороны никогда не устанавливали критериев применения пунктов 2 и 4 статьи 2J; Стороны, желавшие применять их, заявляли об этом сами. Поэтому трудно судить о том, может ли и Азербайджан претендовать на несколько иную формулу расчета базового уровня и график поэтапного сокращения оборота, предусмотренные этими пунктами. Он отметил, что, хотя другие Стороны, к которым применяются эти пункты, находятся в положении, схожем с положением Азербайджана, </w:t>
      </w:r>
      <w:r w:rsidR="007A404E" w:rsidRPr="00E1048B">
        <w:t>–</w:t>
      </w:r>
      <w:r w:rsidRPr="00E1048B">
        <w:t xml:space="preserve"> а именно являются Сторонами, не действующими в соответствии со статьей 5, которые получили поддержку в осуществлении по линии Глобального экологического фонда, </w:t>
      </w:r>
      <w:r w:rsidR="007A404E" w:rsidRPr="00E1048B">
        <w:t>–</w:t>
      </w:r>
      <w:r w:rsidRPr="00E1048B">
        <w:t xml:space="preserve"> он не уверен, что само по себе это может служить достаточным обоснованием. </w:t>
      </w:r>
    </w:p>
    <w:p w14:paraId="66D15FAA"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 xml:space="preserve">Еще один представитель добавил, что у Сторон, находящихся в подобном положении, есть и другие способы обратиться за помощью, например запросить поддержку через Комитет по выполнению. Он также заметил, что, поскольку начиная с 2029 года графики поэтапного сокращения оборота ГФУ, предусмотренные пунктами 2 и 4, совпадают с графиками, предусмотренными в остальной части статьи 2J, не ясно, насколько существенным будет эффект от принятия данного решения. </w:t>
      </w:r>
    </w:p>
    <w:p w14:paraId="094FEA4E"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pPr>
      <w:r w:rsidRPr="00E1048B">
        <w:t>Сопредседатель просила Азербайджан представить дополнительную информацию тем представителям, которые ее запросили, с тем чтобы они глубже разобрались в ситуации. Рабочая группа могла бы вернуться к обсуждению этого вопроса на более позднем этапе.</w:t>
      </w:r>
    </w:p>
    <w:p w14:paraId="59DC7B3D"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spacing w:after="240"/>
        <w:ind w:left="1247" w:firstLine="0"/>
      </w:pPr>
      <w:r w:rsidRPr="00E1048B">
        <w:t>Впоследствии представитель Азербайджана сообщила, что она провела консультации с заинтересованными представителями, которые указали на необходимость получения дополнительных разъяснений и информации для более полного понимания представленного ее делегацией документа. В связи с этим Рабочая группа постановила возобновить обсуждение вопроса об осуществлении пунктов 2 и 4 статьи 2J Монреальского протокола в отношении Азербайджана на тридцать восьмом Совещании Сторон на основе проекта решения, изложенного в разделе II.C приложения I к настоящему докладу.</w:t>
      </w:r>
    </w:p>
    <w:p w14:paraId="7A70C93E" w14:textId="775A5E3E" w:rsidR="0064468C" w:rsidRPr="00E1048B" w:rsidRDefault="007A404E" w:rsidP="007A404E">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E1048B">
        <w:rPr>
          <w:bCs/>
          <w:lang w:val="ru-RU"/>
        </w:rPr>
        <w:t>X.</w:t>
      </w:r>
      <w:r w:rsidR="0064468C" w:rsidRPr="00E1048B">
        <w:rPr>
          <w:lang w:val="ru-RU"/>
        </w:rPr>
        <w:tab/>
      </w:r>
      <w:r w:rsidR="0064468C" w:rsidRPr="00E1048B">
        <w:rPr>
          <w:bCs/>
          <w:lang w:val="ru-RU"/>
        </w:rPr>
        <w:t>Принятие доклада о работе совещания</w:t>
      </w:r>
    </w:p>
    <w:p w14:paraId="53E559EA"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spacing w:after="240"/>
        <w:ind w:left="1247" w:firstLine="0"/>
      </w:pPr>
      <w:r w:rsidRPr="00E1048B">
        <w:t>Стороны приняли настоящий доклад на основе распространенного проекта доклада с внесенными в него устными поправками. Секретариату по озону было поручено подготовить итоговую редакцию доклада.</w:t>
      </w:r>
    </w:p>
    <w:p w14:paraId="20B752BB" w14:textId="3E19C7D2" w:rsidR="0064468C" w:rsidRPr="00E1048B" w:rsidRDefault="007A404E" w:rsidP="007A404E">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E1048B">
        <w:rPr>
          <w:bCs/>
          <w:lang w:val="ru-RU"/>
        </w:rPr>
        <w:t>XI.</w:t>
      </w:r>
      <w:r w:rsidR="0064468C" w:rsidRPr="00E1048B">
        <w:rPr>
          <w:lang w:val="ru-RU"/>
        </w:rPr>
        <w:tab/>
      </w:r>
      <w:r w:rsidR="0064468C" w:rsidRPr="00E1048B">
        <w:rPr>
          <w:bCs/>
          <w:lang w:val="ru-RU"/>
        </w:rPr>
        <w:t>Закрытие совещания</w:t>
      </w:r>
    </w:p>
    <w:p w14:paraId="33ED98EA" w14:textId="77777777" w:rsidR="0064468C" w:rsidRPr="00E1048B" w:rsidRDefault="0064468C" w:rsidP="00DF659D">
      <w:pPr>
        <w:pStyle w:val="Normalnumber"/>
        <w:numPr>
          <w:ilvl w:val="0"/>
          <w:numId w:val="4"/>
        </w:numPr>
        <w:tabs>
          <w:tab w:val="clear" w:pos="1247"/>
          <w:tab w:val="clear" w:pos="1814"/>
          <w:tab w:val="clear" w:pos="2381"/>
          <w:tab w:val="clear" w:pos="2948"/>
          <w:tab w:val="clear" w:pos="3515"/>
        </w:tabs>
        <w:ind w:left="1247" w:firstLine="0"/>
        <w:sectPr w:rsidR="0064468C" w:rsidRPr="00E1048B" w:rsidSect="0064468C">
          <w:headerReference w:type="even" r:id="rId9"/>
          <w:headerReference w:type="default" r:id="rId10"/>
          <w:footerReference w:type="even" r:id="rId11"/>
          <w:footerReference w:type="default" r:id="rId12"/>
          <w:headerReference w:type="first" r:id="rId13"/>
          <w:footerReference w:type="first" r:id="rId14"/>
          <w:pgSz w:w="11907" w:h="16840" w:code="9"/>
          <w:pgMar w:top="907" w:right="992" w:bottom="1418" w:left="1418" w:header="539" w:footer="975" w:gutter="0"/>
          <w:cols w:space="720"/>
          <w:titlePg/>
          <w:docGrid w:linePitch="360"/>
        </w:sectPr>
      </w:pPr>
      <w:r w:rsidRPr="00E1048B">
        <w:t>После традиционного обмена любезностями совещание было объявлено закрытым в 20:40 в пятницу, 17 июля 2026 года.</w:t>
      </w:r>
    </w:p>
    <w:p w14:paraId="2E9CF5F0" w14:textId="77777777" w:rsidR="0064468C" w:rsidRPr="00E1048B" w:rsidRDefault="0064468C" w:rsidP="00220957">
      <w:pPr>
        <w:pStyle w:val="ZZAnxheader"/>
        <w:tabs>
          <w:tab w:val="clear" w:pos="624"/>
          <w:tab w:val="clear" w:pos="1247"/>
          <w:tab w:val="clear" w:pos="1871"/>
          <w:tab w:val="clear" w:pos="2495"/>
          <w:tab w:val="clear" w:pos="3119"/>
          <w:tab w:val="clear" w:pos="3742"/>
          <w:tab w:val="clear" w:pos="4366"/>
          <w:tab w:val="clear" w:pos="4990"/>
        </w:tabs>
        <w:spacing w:after="240"/>
        <w:rPr>
          <w:lang w:val="ru-RU"/>
        </w:rPr>
      </w:pPr>
      <w:r w:rsidRPr="00E1048B">
        <w:rPr>
          <w:lang w:val="ru-RU"/>
        </w:rPr>
        <w:lastRenderedPageBreak/>
        <w:t>Приложение I</w:t>
      </w:r>
      <w:r w:rsidRPr="00E1048B">
        <w:rPr>
          <w:rStyle w:val="FootnoteReference"/>
          <w:b w:val="0"/>
          <w:bCs w:val="0"/>
          <w:sz w:val="28"/>
          <w:szCs w:val="22"/>
          <w:vertAlign w:val="baseline"/>
          <w:lang w:val="ru-RU"/>
        </w:rPr>
        <w:footnoteReference w:customMarkFollows="1" w:id="4"/>
        <w:t>*</w:t>
      </w:r>
    </w:p>
    <w:p w14:paraId="5693BED8" w14:textId="77777777" w:rsidR="0064468C" w:rsidRPr="00E1048B" w:rsidRDefault="0064468C" w:rsidP="00220957">
      <w:pPr>
        <w:pStyle w:val="Normalnumber"/>
        <w:tabs>
          <w:tab w:val="clear" w:pos="1247"/>
          <w:tab w:val="clear" w:pos="1814"/>
          <w:tab w:val="clear" w:pos="2381"/>
          <w:tab w:val="clear" w:pos="2948"/>
          <w:tab w:val="clear" w:pos="3515"/>
        </w:tabs>
        <w:ind w:left="1247"/>
        <w:rPr>
          <w:b/>
          <w:bCs/>
          <w:sz w:val="28"/>
          <w:szCs w:val="28"/>
        </w:rPr>
      </w:pPr>
      <w:r w:rsidRPr="00E1048B">
        <w:rPr>
          <w:b/>
          <w:bCs/>
          <w:sz w:val="28"/>
          <w:szCs w:val="28"/>
        </w:rPr>
        <w:t>Проекты решений и другие материалы для препровождения тридцать восьмому Совещанию Сторон</w:t>
      </w:r>
    </w:p>
    <w:p w14:paraId="7D0D4952" w14:textId="77777777" w:rsidR="0064468C" w:rsidRPr="00E1048B" w:rsidRDefault="0064468C" w:rsidP="00DF659D">
      <w:pPr>
        <w:pStyle w:val="NormalNonumber"/>
        <w:tabs>
          <w:tab w:val="clear" w:pos="624"/>
          <w:tab w:val="clear" w:pos="1247"/>
          <w:tab w:val="clear" w:pos="1871"/>
          <w:tab w:val="clear" w:pos="2495"/>
          <w:tab w:val="clear" w:pos="3119"/>
          <w:tab w:val="clear" w:pos="3742"/>
          <w:tab w:val="clear" w:pos="4366"/>
          <w:tab w:val="clear" w:pos="4990"/>
        </w:tabs>
        <w:spacing w:after="240"/>
        <w:rPr>
          <w:lang w:val="ru-RU"/>
        </w:rPr>
      </w:pPr>
      <w:r w:rsidRPr="00E1048B">
        <w:rPr>
          <w:lang w:val="ru-RU"/>
        </w:rPr>
        <w:t>Рабочая группа постановила препроводить тридцать восьмому Совещанию Сторон проект решения, содержащийся в разделе I, для возможного принятия, а также проекты решений, изложенные в разделе II, для дальнейшего рассмотрения, при том понимании, что проекты решений в разделе II не являются согласованным текстом и подлежат дальнейшим переговорам в полном объеме.</w:t>
      </w:r>
    </w:p>
    <w:p w14:paraId="01C2BB5D" w14:textId="7F3BD45E" w:rsidR="0064468C" w:rsidRPr="00E1048B" w:rsidRDefault="003879C6" w:rsidP="003879C6">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E1048B">
        <w:rPr>
          <w:bCs/>
          <w:lang w:val="ru-RU"/>
        </w:rPr>
        <w:t>I.</w:t>
      </w:r>
      <w:r w:rsidR="0064468C" w:rsidRPr="00E1048B">
        <w:rPr>
          <w:lang w:val="ru-RU"/>
        </w:rPr>
        <w:tab/>
      </w:r>
      <w:r w:rsidR="0064468C" w:rsidRPr="00E1048B">
        <w:rPr>
          <w:bCs/>
          <w:lang w:val="ru-RU"/>
        </w:rPr>
        <w:t>Проект решения для возможного принятия тридцать восьмым Совещанием Сторон</w:t>
      </w:r>
    </w:p>
    <w:p w14:paraId="269A99E8" w14:textId="46C00F05" w:rsidR="0064468C" w:rsidRPr="00E1048B" w:rsidRDefault="0064468C" w:rsidP="003879C6">
      <w:pPr>
        <w:pStyle w:val="CH2"/>
        <w:keepNext w:val="0"/>
        <w:keepLines w:val="0"/>
        <w:tabs>
          <w:tab w:val="clear" w:pos="851"/>
          <w:tab w:val="clear" w:pos="1247"/>
          <w:tab w:val="clear" w:pos="1871"/>
          <w:tab w:val="clear" w:pos="2495"/>
          <w:tab w:val="clear" w:pos="3119"/>
          <w:tab w:val="clear" w:pos="3742"/>
          <w:tab w:val="clear" w:pos="4366"/>
          <w:tab w:val="clear" w:pos="4990"/>
        </w:tabs>
        <w:ind w:right="284" w:firstLine="0"/>
        <w:rPr>
          <w:lang w:val="ru-RU"/>
        </w:rPr>
      </w:pPr>
      <w:r w:rsidRPr="00E1048B">
        <w:rPr>
          <w:lang w:val="ru-RU"/>
        </w:rPr>
        <w:tab/>
      </w:r>
      <w:r w:rsidRPr="00E1048B">
        <w:rPr>
          <w:bCs/>
          <w:lang w:val="ru-RU"/>
        </w:rPr>
        <w:t>Проект решения о технологиях уничтожения регулируемых веществ</w:t>
      </w:r>
    </w:p>
    <w:p w14:paraId="140F18D3" w14:textId="77777777" w:rsidR="0064468C" w:rsidRPr="00E1048B" w:rsidRDefault="0064468C" w:rsidP="00DF659D">
      <w:pPr>
        <w:tabs>
          <w:tab w:val="clear" w:pos="1247"/>
          <w:tab w:val="clear" w:pos="1814"/>
          <w:tab w:val="clear" w:pos="2381"/>
          <w:tab w:val="clear" w:pos="2948"/>
          <w:tab w:val="clear" w:pos="3515"/>
        </w:tabs>
        <w:spacing w:after="120"/>
        <w:ind w:left="1247" w:firstLine="624"/>
        <w:rPr>
          <w:i/>
          <w:iCs/>
        </w:rPr>
      </w:pPr>
      <w:r w:rsidRPr="00E1048B">
        <w:rPr>
          <w:i/>
          <w:iCs/>
        </w:rPr>
        <w:t>Тридцать восьмое Совещание Сторон,</w:t>
      </w:r>
    </w:p>
    <w:p w14:paraId="22382255" w14:textId="77777777" w:rsidR="0064468C" w:rsidRPr="00E1048B" w:rsidRDefault="0064468C" w:rsidP="00DF659D">
      <w:pPr>
        <w:tabs>
          <w:tab w:val="clear" w:pos="1247"/>
          <w:tab w:val="clear" w:pos="1814"/>
          <w:tab w:val="clear" w:pos="2381"/>
          <w:tab w:val="clear" w:pos="2948"/>
          <w:tab w:val="clear" w:pos="3515"/>
        </w:tabs>
        <w:spacing w:after="120"/>
        <w:ind w:left="1247" w:firstLine="624"/>
      </w:pPr>
      <w:r w:rsidRPr="00E1048B">
        <w:rPr>
          <w:i/>
          <w:iCs/>
        </w:rPr>
        <w:t>напоминая</w:t>
      </w:r>
      <w:r w:rsidRPr="00E1048B">
        <w:t>, что в решении IV/11 Группе по техническому обзору и экономической оценке поручается проводить оценку представленных новых технологий и готовить рекомендации для рассмотрения Сторонами Монреальского протокола по веществам, разрушающим озоновый слой, на их ежегодном совещании,</w:t>
      </w:r>
    </w:p>
    <w:p w14:paraId="5E89DBE3" w14:textId="77777777" w:rsidR="0064468C" w:rsidRPr="00E1048B" w:rsidRDefault="0064468C" w:rsidP="00DF659D">
      <w:pPr>
        <w:tabs>
          <w:tab w:val="clear" w:pos="1247"/>
          <w:tab w:val="clear" w:pos="1814"/>
          <w:tab w:val="clear" w:pos="2381"/>
          <w:tab w:val="clear" w:pos="2948"/>
          <w:tab w:val="clear" w:pos="3515"/>
        </w:tabs>
        <w:spacing w:after="120"/>
        <w:ind w:left="1247" w:firstLine="624"/>
      </w:pPr>
      <w:r w:rsidRPr="00E1048B">
        <w:rPr>
          <w:i/>
          <w:iCs/>
        </w:rPr>
        <w:t>с удовлетворением принимая к сведению</w:t>
      </w:r>
      <w:r w:rsidRPr="00E1048B">
        <w:t xml:space="preserve"> доклад о ходе работы (2026 год) Комитета по техническим вариантам замены медицинских видов применения и химических веществ Группы по техническому обзору и экономической оценке, в котором приводится оценка технологии уничтожения регулируемых веществ, представленной Канадой,</w:t>
      </w:r>
    </w:p>
    <w:p w14:paraId="69C57877" w14:textId="77777777" w:rsidR="0064468C" w:rsidRPr="00E1048B" w:rsidRDefault="0064468C" w:rsidP="00DF659D">
      <w:pPr>
        <w:tabs>
          <w:tab w:val="clear" w:pos="1247"/>
          <w:tab w:val="clear" w:pos="1814"/>
          <w:tab w:val="clear" w:pos="2381"/>
          <w:tab w:val="clear" w:pos="2948"/>
          <w:tab w:val="clear" w:pos="3515"/>
        </w:tabs>
        <w:spacing w:after="120"/>
        <w:ind w:left="1247" w:firstLine="624"/>
        <w:rPr>
          <w:i/>
          <w:iCs/>
        </w:rPr>
      </w:pPr>
      <w:r w:rsidRPr="00E1048B">
        <w:rPr>
          <w:i/>
          <w:iCs/>
        </w:rPr>
        <w:t>также с удовлетворением принимая к сведению</w:t>
      </w:r>
      <w:r w:rsidRPr="00E1048B">
        <w:t xml:space="preserve"> оценку Группой по техническому обзору и экономической оценке этой технологии уничтожения с точки зрения коэффициента эффективности уничтожения и данную ей рекомендацию о включении этой технологии в перечень технологий уничтожения, утвержденных Сторонами,</w:t>
      </w:r>
    </w:p>
    <w:p w14:paraId="57AB67BD" w14:textId="77777777" w:rsidR="0064468C" w:rsidRPr="00E1048B" w:rsidRDefault="0064468C" w:rsidP="00DF659D">
      <w:pPr>
        <w:tabs>
          <w:tab w:val="clear" w:pos="1247"/>
          <w:tab w:val="clear" w:pos="1814"/>
          <w:tab w:val="clear" w:pos="2381"/>
          <w:tab w:val="clear" w:pos="2948"/>
          <w:tab w:val="clear" w:pos="3515"/>
        </w:tabs>
        <w:spacing w:after="120"/>
        <w:ind w:left="1247" w:firstLine="624"/>
        <w:rPr>
          <w:bCs/>
          <w:i/>
          <w:iCs/>
        </w:rPr>
      </w:pPr>
      <w:r w:rsidRPr="00E1048B">
        <w:rPr>
          <w:i/>
          <w:iCs/>
        </w:rPr>
        <w:t>постановляет:</w:t>
      </w:r>
    </w:p>
    <w:p w14:paraId="65B796D3" w14:textId="5D08EEF0" w:rsidR="0064468C" w:rsidRPr="00E1048B" w:rsidRDefault="0064468C" w:rsidP="00DF659D">
      <w:pPr>
        <w:numPr>
          <w:ilvl w:val="0"/>
          <w:numId w:val="21"/>
        </w:numPr>
        <w:tabs>
          <w:tab w:val="clear" w:pos="1247"/>
          <w:tab w:val="clear" w:pos="1814"/>
          <w:tab w:val="clear" w:pos="2381"/>
          <w:tab w:val="clear" w:pos="2948"/>
          <w:tab w:val="clear" w:pos="3515"/>
        </w:tabs>
        <w:spacing w:after="120"/>
        <w:ind w:left="1247" w:firstLine="624"/>
      </w:pPr>
      <w:r w:rsidRPr="00F10774">
        <w:rPr>
          <w:szCs w:val="18"/>
        </w:rPr>
        <w:t>утвердить</w:t>
      </w:r>
      <w:r w:rsidRPr="00E1048B">
        <w:rPr>
          <w:szCs w:val="18"/>
        </w:rPr>
        <w:t xml:space="preserve"> нижеследующую технологию уничтожения, как указано в приложении к настоящему решению, для целей пункта 5 статьи 1 Монреальского протокола в качестве дополнения к технологиям, перечисленным в приложении VI к докладу четвертого Совещания Сторон</w:t>
      </w:r>
      <w:r w:rsidR="00A7562E" w:rsidRPr="00E1048B">
        <w:rPr>
          <w:szCs w:val="18"/>
          <w:vertAlign w:val="superscript"/>
        </w:rPr>
        <w:footnoteReference w:id="5"/>
      </w:r>
      <w:r w:rsidRPr="00E1048B">
        <w:rPr>
          <w:szCs w:val="18"/>
        </w:rPr>
        <w:t xml:space="preserve"> и измененным согласно решениям V/26, VII/35, XIV/6, XXIX/4, XXX/6 и XXXV/5, в отношении концентрированных источников регулируемых веществ из группы 1 приложения A, группы 1 приложения С и группы 1 приложения F: паровая плазменная дуга;</w:t>
      </w:r>
    </w:p>
    <w:p w14:paraId="4F21FC56" w14:textId="77777777" w:rsidR="0064468C" w:rsidRPr="00E1048B" w:rsidRDefault="0064468C" w:rsidP="00DF659D">
      <w:pPr>
        <w:numPr>
          <w:ilvl w:val="0"/>
          <w:numId w:val="21"/>
        </w:numPr>
        <w:tabs>
          <w:tab w:val="clear" w:pos="1247"/>
          <w:tab w:val="clear" w:pos="1814"/>
          <w:tab w:val="clear" w:pos="2381"/>
          <w:tab w:val="clear" w:pos="2948"/>
          <w:tab w:val="clear" w:pos="3515"/>
        </w:tabs>
        <w:spacing w:after="120"/>
        <w:ind w:left="1247" w:firstLine="624"/>
        <w:sectPr w:rsidR="0064468C" w:rsidRPr="00E1048B" w:rsidSect="0022095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code="9"/>
          <w:pgMar w:top="907" w:right="992" w:bottom="1418" w:left="1418" w:header="522" w:footer="975" w:gutter="0"/>
          <w:cols w:space="708"/>
          <w:docGrid w:linePitch="360"/>
        </w:sectPr>
      </w:pPr>
      <w:r w:rsidRPr="00F10774">
        <w:t>предложить</w:t>
      </w:r>
      <w:r w:rsidRPr="00E1048B">
        <w:t xml:space="preserve"> Сторонам продолжать представлять в секретариат по озону информацию, относящуюся к обзору технологий уничтожения.</w:t>
      </w:r>
    </w:p>
    <w:p w14:paraId="65DA475B" w14:textId="77777777" w:rsidR="0064468C" w:rsidRPr="00E1048B" w:rsidRDefault="0064468C" w:rsidP="00F174B8">
      <w:pPr>
        <w:pStyle w:val="ZZAnxheader"/>
        <w:tabs>
          <w:tab w:val="clear" w:pos="624"/>
          <w:tab w:val="clear" w:pos="1247"/>
          <w:tab w:val="clear" w:pos="1871"/>
          <w:tab w:val="clear" w:pos="2495"/>
          <w:tab w:val="clear" w:pos="3119"/>
          <w:tab w:val="clear" w:pos="3742"/>
          <w:tab w:val="clear" w:pos="4366"/>
          <w:tab w:val="clear" w:pos="4990"/>
        </w:tabs>
        <w:spacing w:after="240"/>
        <w:rPr>
          <w:lang w:val="ru-RU"/>
        </w:rPr>
      </w:pPr>
      <w:r w:rsidRPr="00E1048B">
        <w:rPr>
          <w:lang w:val="ru-RU"/>
        </w:rPr>
        <w:lastRenderedPageBreak/>
        <w:t>Добавление</w:t>
      </w:r>
    </w:p>
    <w:p w14:paraId="01F05F48" w14:textId="77777777" w:rsidR="0064468C" w:rsidRPr="00E1048B" w:rsidRDefault="0064468C" w:rsidP="003879C6">
      <w:pPr>
        <w:pStyle w:val="ZZAnxtitle"/>
        <w:tabs>
          <w:tab w:val="clear" w:pos="624"/>
          <w:tab w:val="clear" w:pos="1247"/>
          <w:tab w:val="clear" w:pos="1871"/>
          <w:tab w:val="clear" w:pos="2495"/>
          <w:tab w:val="clear" w:pos="3119"/>
          <w:tab w:val="clear" w:pos="3742"/>
          <w:tab w:val="clear" w:pos="4366"/>
          <w:tab w:val="clear" w:pos="4990"/>
        </w:tabs>
        <w:spacing w:before="0"/>
        <w:rPr>
          <w:lang w:val="ru-RU"/>
        </w:rPr>
      </w:pPr>
      <w:r w:rsidRPr="00E1048B">
        <w:rPr>
          <w:lang w:val="ru-RU"/>
        </w:rPr>
        <w:t>Технологии уничтожения и положение дел с их утверждением</w:t>
      </w:r>
    </w:p>
    <w:tbl>
      <w:tblPr>
        <w:tblW w:w="5000" w:type="pct"/>
        <w:jc w:val="right"/>
        <w:tblLayout w:type="fixed"/>
        <w:tblCellMar>
          <w:left w:w="57" w:type="dxa"/>
          <w:right w:w="57" w:type="dxa"/>
        </w:tblCellMar>
        <w:tblLook w:val="06A0" w:firstRow="1" w:lastRow="0" w:firstColumn="1" w:lastColumn="0" w:noHBand="1" w:noVBand="1"/>
      </w:tblPr>
      <w:tblGrid>
        <w:gridCol w:w="1668"/>
        <w:gridCol w:w="1144"/>
        <w:gridCol w:w="1144"/>
        <w:gridCol w:w="1168"/>
        <w:gridCol w:w="1366"/>
        <w:gridCol w:w="1216"/>
        <w:gridCol w:w="1168"/>
        <w:gridCol w:w="1168"/>
        <w:gridCol w:w="1168"/>
        <w:gridCol w:w="1168"/>
        <w:gridCol w:w="1025"/>
        <w:gridCol w:w="1025"/>
      </w:tblGrid>
      <w:tr w:rsidR="0064468C" w:rsidRPr="00E1048B" w14:paraId="279E295C" w14:textId="77777777" w:rsidTr="003879C6">
        <w:trPr>
          <w:trHeight w:val="302"/>
          <w:tblHeader/>
          <w:jc w:val="right"/>
        </w:trPr>
        <w:tc>
          <w:tcPr>
            <w:tcW w:w="1669" w:type="dxa"/>
            <w:vMerge w:val="restart"/>
            <w:tcBorders>
              <w:top w:val="single" w:sz="4" w:space="0" w:color="auto"/>
            </w:tcBorders>
            <w:tcMar>
              <w:left w:w="108" w:type="dxa"/>
              <w:right w:w="108" w:type="dxa"/>
            </w:tcMar>
            <w:vAlign w:val="center"/>
          </w:tcPr>
          <w:p w14:paraId="7D83EBE0"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Технология</w:t>
            </w:r>
          </w:p>
        </w:tc>
        <w:tc>
          <w:tcPr>
            <w:tcW w:w="12760" w:type="dxa"/>
            <w:gridSpan w:val="11"/>
            <w:tcBorders>
              <w:top w:val="single" w:sz="4" w:space="0" w:color="auto"/>
              <w:bottom w:val="single" w:sz="4" w:space="0" w:color="auto"/>
            </w:tcBorders>
            <w:tcMar>
              <w:left w:w="108" w:type="dxa"/>
              <w:right w:w="108" w:type="dxa"/>
            </w:tcMar>
            <w:vAlign w:val="center"/>
          </w:tcPr>
          <w:p w14:paraId="48FCDC59"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Применимость</w:t>
            </w:r>
          </w:p>
        </w:tc>
      </w:tr>
      <w:tr w:rsidR="0064468C" w:rsidRPr="00E1048B" w14:paraId="5FD5F36F" w14:textId="77777777" w:rsidTr="003879C6">
        <w:trPr>
          <w:trHeight w:val="300"/>
          <w:tblHeader/>
          <w:jc w:val="right"/>
        </w:trPr>
        <w:tc>
          <w:tcPr>
            <w:tcW w:w="1669" w:type="dxa"/>
            <w:vMerge/>
            <w:vAlign w:val="center"/>
          </w:tcPr>
          <w:p w14:paraId="79A57EE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p>
        </w:tc>
        <w:tc>
          <w:tcPr>
            <w:tcW w:w="10710" w:type="dxa"/>
            <w:gridSpan w:val="9"/>
            <w:tcBorders>
              <w:top w:val="single" w:sz="4" w:space="0" w:color="auto"/>
              <w:bottom w:val="single" w:sz="4" w:space="0" w:color="auto"/>
            </w:tcBorders>
            <w:tcMar>
              <w:left w:w="108" w:type="dxa"/>
              <w:right w:w="108" w:type="dxa"/>
            </w:tcMar>
            <w:vAlign w:val="center"/>
          </w:tcPr>
          <w:p w14:paraId="5D01F42D"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Концентрированные источники</w:t>
            </w:r>
          </w:p>
        </w:tc>
        <w:tc>
          <w:tcPr>
            <w:tcW w:w="2050" w:type="dxa"/>
            <w:gridSpan w:val="2"/>
            <w:tcBorders>
              <w:top w:val="single" w:sz="4" w:space="0" w:color="auto"/>
              <w:bottom w:val="single" w:sz="4" w:space="0" w:color="auto"/>
            </w:tcBorders>
            <w:tcMar>
              <w:left w:w="108" w:type="dxa"/>
              <w:right w:w="108" w:type="dxa"/>
            </w:tcMar>
            <w:vAlign w:val="center"/>
          </w:tcPr>
          <w:p w14:paraId="2F014C39"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Распределенные источники</w:t>
            </w:r>
          </w:p>
        </w:tc>
      </w:tr>
      <w:tr w:rsidR="0064468C" w:rsidRPr="00E1048B" w14:paraId="21B2F1D7" w14:textId="77777777" w:rsidTr="003879C6">
        <w:trPr>
          <w:trHeight w:val="300"/>
          <w:tblHeader/>
          <w:jc w:val="right"/>
        </w:trPr>
        <w:tc>
          <w:tcPr>
            <w:tcW w:w="1669" w:type="dxa"/>
            <w:vMerge/>
            <w:vAlign w:val="center"/>
          </w:tcPr>
          <w:p w14:paraId="2DE8C32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p>
        </w:tc>
        <w:tc>
          <w:tcPr>
            <w:tcW w:w="2288" w:type="dxa"/>
            <w:gridSpan w:val="2"/>
            <w:tcBorders>
              <w:top w:val="single" w:sz="4" w:space="0" w:color="auto"/>
              <w:bottom w:val="single" w:sz="4" w:space="0" w:color="auto"/>
            </w:tcBorders>
            <w:tcMar>
              <w:left w:w="108" w:type="dxa"/>
              <w:right w:w="108" w:type="dxa"/>
            </w:tcMar>
            <w:vAlign w:val="center"/>
          </w:tcPr>
          <w:p w14:paraId="5593F3EE"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Приложение А</w:t>
            </w:r>
          </w:p>
        </w:tc>
        <w:tc>
          <w:tcPr>
            <w:tcW w:w="3750" w:type="dxa"/>
            <w:gridSpan w:val="3"/>
            <w:tcBorders>
              <w:top w:val="single" w:sz="4" w:space="0" w:color="auto"/>
              <w:bottom w:val="single" w:sz="4" w:space="0" w:color="auto"/>
            </w:tcBorders>
            <w:tcMar>
              <w:left w:w="108" w:type="dxa"/>
              <w:right w:w="108" w:type="dxa"/>
            </w:tcMar>
            <w:vAlign w:val="center"/>
          </w:tcPr>
          <w:p w14:paraId="2801CADA"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Приложение В</w:t>
            </w:r>
          </w:p>
        </w:tc>
        <w:tc>
          <w:tcPr>
            <w:tcW w:w="1168" w:type="dxa"/>
            <w:tcBorders>
              <w:top w:val="single" w:sz="4" w:space="0" w:color="auto"/>
              <w:bottom w:val="single" w:sz="4" w:space="0" w:color="auto"/>
            </w:tcBorders>
            <w:tcMar>
              <w:left w:w="108" w:type="dxa"/>
              <w:right w:w="108" w:type="dxa"/>
            </w:tcMar>
            <w:vAlign w:val="center"/>
          </w:tcPr>
          <w:p w14:paraId="67CFDB6B"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Приложение C</w:t>
            </w:r>
          </w:p>
        </w:tc>
        <w:tc>
          <w:tcPr>
            <w:tcW w:w="1168" w:type="dxa"/>
            <w:tcBorders>
              <w:top w:val="single" w:sz="4" w:space="0" w:color="auto"/>
              <w:bottom w:val="single" w:sz="4" w:space="0" w:color="auto"/>
            </w:tcBorders>
            <w:tcMar>
              <w:left w:w="108" w:type="dxa"/>
              <w:right w:w="108" w:type="dxa"/>
            </w:tcMar>
            <w:vAlign w:val="center"/>
          </w:tcPr>
          <w:p w14:paraId="2C2189FD"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Приложение E</w:t>
            </w:r>
          </w:p>
        </w:tc>
        <w:tc>
          <w:tcPr>
            <w:tcW w:w="2336" w:type="dxa"/>
            <w:gridSpan w:val="2"/>
            <w:tcBorders>
              <w:top w:val="single" w:sz="4" w:space="0" w:color="auto"/>
              <w:bottom w:val="single" w:sz="4" w:space="0" w:color="auto"/>
            </w:tcBorders>
            <w:tcMar>
              <w:left w:w="108" w:type="dxa"/>
              <w:right w:w="108" w:type="dxa"/>
            </w:tcMar>
            <w:vAlign w:val="center"/>
          </w:tcPr>
          <w:p w14:paraId="1DB77AE4" w14:textId="77777777" w:rsidR="0064468C" w:rsidRPr="00E1048B" w:rsidRDefault="0064468C" w:rsidP="003879C6">
            <w:pPr>
              <w:tabs>
                <w:tab w:val="clear" w:pos="1247"/>
                <w:tab w:val="clear" w:pos="1814"/>
                <w:tab w:val="clear" w:pos="2381"/>
                <w:tab w:val="clear" w:pos="2948"/>
                <w:tab w:val="clear" w:pos="3515"/>
              </w:tabs>
              <w:spacing w:before="40" w:after="40"/>
              <w:jc w:val="center"/>
              <w:rPr>
                <w:i/>
                <w:iCs/>
                <w:sz w:val="16"/>
                <w:szCs w:val="16"/>
              </w:rPr>
            </w:pPr>
            <w:r w:rsidRPr="00E1048B">
              <w:rPr>
                <w:i/>
                <w:iCs/>
                <w:color w:val="000000"/>
                <w:sz w:val="16"/>
                <w:szCs w:val="16"/>
              </w:rPr>
              <w:t>Приложение F</w:t>
            </w:r>
          </w:p>
        </w:tc>
        <w:tc>
          <w:tcPr>
            <w:tcW w:w="1025" w:type="dxa"/>
            <w:tcBorders>
              <w:top w:val="single" w:sz="4" w:space="0" w:color="auto"/>
              <w:bottom w:val="single" w:sz="4" w:space="0" w:color="auto"/>
            </w:tcBorders>
            <w:tcMar>
              <w:left w:w="108" w:type="dxa"/>
              <w:right w:w="108" w:type="dxa"/>
            </w:tcMar>
            <w:vAlign w:val="center"/>
          </w:tcPr>
          <w:p w14:paraId="22F23759"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 xml:space="preserve"> </w:t>
            </w:r>
          </w:p>
        </w:tc>
        <w:tc>
          <w:tcPr>
            <w:tcW w:w="1025" w:type="dxa"/>
            <w:tcBorders>
              <w:top w:val="single" w:sz="4" w:space="0" w:color="auto"/>
              <w:bottom w:val="single" w:sz="4" w:space="0" w:color="auto"/>
            </w:tcBorders>
            <w:tcMar>
              <w:left w:w="108" w:type="dxa"/>
              <w:right w:w="108" w:type="dxa"/>
            </w:tcMar>
            <w:vAlign w:val="center"/>
          </w:tcPr>
          <w:p w14:paraId="414225DA" w14:textId="1B793FFC"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proofErr w:type="spellStart"/>
            <w:r w:rsidRPr="00E1048B">
              <w:rPr>
                <w:i/>
                <w:iCs/>
                <w:color w:val="000000"/>
                <w:sz w:val="16"/>
                <w:szCs w:val="16"/>
              </w:rPr>
              <w:t>Приложе</w:t>
            </w:r>
            <w:r w:rsidR="003879C6" w:rsidRPr="00E1048B">
              <w:rPr>
                <w:i/>
                <w:iCs/>
                <w:color w:val="000000"/>
                <w:sz w:val="16"/>
                <w:szCs w:val="16"/>
              </w:rPr>
              <w:t>-</w:t>
            </w:r>
            <w:r w:rsidRPr="00E1048B">
              <w:rPr>
                <w:i/>
                <w:iCs/>
                <w:color w:val="000000"/>
                <w:sz w:val="16"/>
                <w:szCs w:val="16"/>
              </w:rPr>
              <w:t>ние</w:t>
            </w:r>
            <w:proofErr w:type="spellEnd"/>
            <w:r w:rsidRPr="00E1048B">
              <w:rPr>
                <w:i/>
                <w:iCs/>
                <w:color w:val="000000"/>
                <w:sz w:val="16"/>
                <w:szCs w:val="16"/>
              </w:rPr>
              <w:t xml:space="preserve"> F</w:t>
            </w:r>
          </w:p>
        </w:tc>
      </w:tr>
      <w:tr w:rsidR="0064468C" w:rsidRPr="00E1048B" w14:paraId="032AB9F5" w14:textId="77777777" w:rsidTr="003879C6">
        <w:trPr>
          <w:trHeight w:val="300"/>
          <w:tblHeader/>
          <w:jc w:val="right"/>
        </w:trPr>
        <w:tc>
          <w:tcPr>
            <w:tcW w:w="1669" w:type="dxa"/>
            <w:vMerge/>
            <w:vAlign w:val="center"/>
          </w:tcPr>
          <w:p w14:paraId="68F4902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p>
        </w:tc>
        <w:tc>
          <w:tcPr>
            <w:tcW w:w="1144" w:type="dxa"/>
            <w:tcBorders>
              <w:top w:val="single" w:sz="4" w:space="0" w:color="auto"/>
              <w:bottom w:val="single" w:sz="4" w:space="0" w:color="auto"/>
            </w:tcBorders>
            <w:tcMar>
              <w:left w:w="108" w:type="dxa"/>
              <w:right w:w="108" w:type="dxa"/>
            </w:tcMar>
            <w:vAlign w:val="center"/>
          </w:tcPr>
          <w:p w14:paraId="094C3511"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1</w:t>
            </w:r>
          </w:p>
        </w:tc>
        <w:tc>
          <w:tcPr>
            <w:tcW w:w="1144" w:type="dxa"/>
            <w:tcBorders>
              <w:top w:val="single" w:sz="4" w:space="0" w:color="auto"/>
              <w:bottom w:val="single" w:sz="4" w:space="0" w:color="auto"/>
            </w:tcBorders>
            <w:tcMar>
              <w:left w:w="108" w:type="dxa"/>
              <w:right w:w="108" w:type="dxa"/>
            </w:tcMar>
            <w:vAlign w:val="center"/>
          </w:tcPr>
          <w:p w14:paraId="4B9C866C"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2</w:t>
            </w:r>
          </w:p>
        </w:tc>
        <w:tc>
          <w:tcPr>
            <w:tcW w:w="1168" w:type="dxa"/>
            <w:tcBorders>
              <w:top w:val="single" w:sz="4" w:space="0" w:color="auto"/>
              <w:bottom w:val="single" w:sz="4" w:space="0" w:color="auto"/>
            </w:tcBorders>
            <w:tcMar>
              <w:left w:w="108" w:type="dxa"/>
              <w:right w:w="108" w:type="dxa"/>
            </w:tcMar>
            <w:vAlign w:val="center"/>
          </w:tcPr>
          <w:p w14:paraId="4EDDAE62"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1</w:t>
            </w:r>
          </w:p>
        </w:tc>
        <w:tc>
          <w:tcPr>
            <w:tcW w:w="1366" w:type="dxa"/>
            <w:tcBorders>
              <w:top w:val="single" w:sz="4" w:space="0" w:color="auto"/>
              <w:bottom w:val="single" w:sz="4" w:space="0" w:color="auto"/>
            </w:tcBorders>
            <w:tcMar>
              <w:left w:w="108" w:type="dxa"/>
              <w:right w:w="108" w:type="dxa"/>
            </w:tcMar>
            <w:vAlign w:val="center"/>
          </w:tcPr>
          <w:p w14:paraId="2977B494"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2</w:t>
            </w:r>
          </w:p>
        </w:tc>
        <w:tc>
          <w:tcPr>
            <w:tcW w:w="1216" w:type="dxa"/>
            <w:tcBorders>
              <w:top w:val="single" w:sz="4" w:space="0" w:color="auto"/>
              <w:bottom w:val="single" w:sz="4" w:space="0" w:color="auto"/>
            </w:tcBorders>
            <w:tcMar>
              <w:left w:w="108" w:type="dxa"/>
              <w:right w:w="108" w:type="dxa"/>
            </w:tcMar>
            <w:vAlign w:val="center"/>
          </w:tcPr>
          <w:p w14:paraId="70575679"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3</w:t>
            </w:r>
          </w:p>
        </w:tc>
        <w:tc>
          <w:tcPr>
            <w:tcW w:w="1168" w:type="dxa"/>
            <w:tcBorders>
              <w:top w:val="single" w:sz="4" w:space="0" w:color="auto"/>
              <w:bottom w:val="single" w:sz="4" w:space="0" w:color="auto"/>
            </w:tcBorders>
            <w:tcMar>
              <w:left w:w="108" w:type="dxa"/>
              <w:right w:w="108" w:type="dxa"/>
            </w:tcMar>
            <w:vAlign w:val="center"/>
          </w:tcPr>
          <w:p w14:paraId="619D4F73"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1</w:t>
            </w:r>
          </w:p>
        </w:tc>
        <w:tc>
          <w:tcPr>
            <w:tcW w:w="1168" w:type="dxa"/>
            <w:tcBorders>
              <w:top w:val="single" w:sz="4" w:space="0" w:color="auto"/>
              <w:bottom w:val="single" w:sz="4" w:space="0" w:color="auto"/>
            </w:tcBorders>
            <w:tcMar>
              <w:left w:w="108" w:type="dxa"/>
              <w:right w:w="108" w:type="dxa"/>
            </w:tcMar>
            <w:vAlign w:val="center"/>
          </w:tcPr>
          <w:p w14:paraId="6AFDD367"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1</w:t>
            </w:r>
          </w:p>
        </w:tc>
        <w:tc>
          <w:tcPr>
            <w:tcW w:w="1168" w:type="dxa"/>
            <w:tcBorders>
              <w:top w:val="single" w:sz="4" w:space="0" w:color="auto"/>
              <w:bottom w:val="single" w:sz="4" w:space="0" w:color="auto"/>
            </w:tcBorders>
            <w:tcMar>
              <w:left w:w="108" w:type="dxa"/>
              <w:right w:w="108" w:type="dxa"/>
            </w:tcMar>
            <w:vAlign w:val="center"/>
          </w:tcPr>
          <w:p w14:paraId="26A41473"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1</w:t>
            </w:r>
          </w:p>
        </w:tc>
        <w:tc>
          <w:tcPr>
            <w:tcW w:w="1168" w:type="dxa"/>
            <w:tcBorders>
              <w:top w:val="single" w:sz="4" w:space="0" w:color="auto"/>
              <w:bottom w:val="single" w:sz="4" w:space="0" w:color="auto"/>
            </w:tcBorders>
            <w:tcMar>
              <w:left w:w="108" w:type="dxa"/>
              <w:right w:w="108" w:type="dxa"/>
            </w:tcMar>
            <w:vAlign w:val="center"/>
          </w:tcPr>
          <w:p w14:paraId="7FB14755"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2</w:t>
            </w:r>
          </w:p>
        </w:tc>
        <w:tc>
          <w:tcPr>
            <w:tcW w:w="1025" w:type="dxa"/>
            <w:tcBorders>
              <w:top w:val="single" w:sz="4" w:space="0" w:color="auto"/>
              <w:bottom w:val="single" w:sz="4" w:space="0" w:color="auto"/>
            </w:tcBorders>
            <w:tcMar>
              <w:left w:w="108" w:type="dxa"/>
              <w:right w:w="108" w:type="dxa"/>
            </w:tcMar>
            <w:vAlign w:val="center"/>
          </w:tcPr>
          <w:p w14:paraId="4F0A73A0"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 xml:space="preserve"> </w:t>
            </w:r>
          </w:p>
        </w:tc>
        <w:tc>
          <w:tcPr>
            <w:tcW w:w="1025" w:type="dxa"/>
            <w:tcBorders>
              <w:top w:val="single" w:sz="4" w:space="0" w:color="auto"/>
              <w:bottom w:val="single" w:sz="4" w:space="0" w:color="auto"/>
            </w:tcBorders>
            <w:tcMar>
              <w:left w:w="108" w:type="dxa"/>
              <w:right w:w="108" w:type="dxa"/>
            </w:tcMar>
            <w:vAlign w:val="center"/>
          </w:tcPr>
          <w:p w14:paraId="5F02A2C1"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Группа 1</w:t>
            </w:r>
          </w:p>
        </w:tc>
      </w:tr>
      <w:tr w:rsidR="0064468C" w:rsidRPr="00E1048B" w14:paraId="07B21CF8" w14:textId="77777777" w:rsidTr="003879C6">
        <w:trPr>
          <w:trHeight w:val="300"/>
          <w:tblHeader/>
          <w:jc w:val="right"/>
        </w:trPr>
        <w:tc>
          <w:tcPr>
            <w:tcW w:w="1669" w:type="dxa"/>
            <w:vMerge/>
            <w:tcBorders>
              <w:bottom w:val="single" w:sz="12" w:space="0" w:color="auto"/>
            </w:tcBorders>
            <w:vAlign w:val="center"/>
          </w:tcPr>
          <w:p w14:paraId="192C987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p>
        </w:tc>
        <w:tc>
          <w:tcPr>
            <w:tcW w:w="1144" w:type="dxa"/>
            <w:tcBorders>
              <w:top w:val="single" w:sz="4" w:space="0" w:color="auto"/>
              <w:bottom w:val="single" w:sz="12" w:space="0" w:color="auto"/>
            </w:tcBorders>
            <w:tcMar>
              <w:left w:w="108" w:type="dxa"/>
              <w:right w:w="108" w:type="dxa"/>
            </w:tcMar>
            <w:vAlign w:val="center"/>
          </w:tcPr>
          <w:p w14:paraId="5EE0CF83"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Первичные ХФУ</w:t>
            </w:r>
          </w:p>
        </w:tc>
        <w:tc>
          <w:tcPr>
            <w:tcW w:w="1144" w:type="dxa"/>
            <w:tcBorders>
              <w:top w:val="single" w:sz="4" w:space="0" w:color="auto"/>
              <w:bottom w:val="single" w:sz="12" w:space="0" w:color="auto"/>
            </w:tcBorders>
            <w:tcMar>
              <w:left w:w="108" w:type="dxa"/>
              <w:right w:w="108" w:type="dxa"/>
            </w:tcMar>
            <w:vAlign w:val="center"/>
          </w:tcPr>
          <w:p w14:paraId="7185C8BA"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proofErr w:type="spellStart"/>
            <w:r w:rsidRPr="00E1048B">
              <w:rPr>
                <w:i/>
                <w:iCs/>
                <w:color w:val="000000"/>
                <w:sz w:val="16"/>
                <w:szCs w:val="16"/>
              </w:rPr>
              <w:t>Галоны</w:t>
            </w:r>
            <w:proofErr w:type="spellEnd"/>
          </w:p>
        </w:tc>
        <w:tc>
          <w:tcPr>
            <w:tcW w:w="1168" w:type="dxa"/>
            <w:tcBorders>
              <w:top w:val="single" w:sz="4" w:space="0" w:color="auto"/>
              <w:bottom w:val="single" w:sz="12" w:space="0" w:color="auto"/>
            </w:tcBorders>
            <w:tcMar>
              <w:left w:w="108" w:type="dxa"/>
              <w:right w:w="108" w:type="dxa"/>
            </w:tcMar>
            <w:vAlign w:val="center"/>
          </w:tcPr>
          <w:p w14:paraId="3472763E"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Другие ХФУ</w:t>
            </w:r>
          </w:p>
        </w:tc>
        <w:tc>
          <w:tcPr>
            <w:tcW w:w="1366" w:type="dxa"/>
            <w:tcBorders>
              <w:top w:val="single" w:sz="4" w:space="0" w:color="auto"/>
              <w:bottom w:val="single" w:sz="12" w:space="0" w:color="auto"/>
            </w:tcBorders>
            <w:tcMar>
              <w:left w:w="108" w:type="dxa"/>
              <w:right w:w="108" w:type="dxa"/>
            </w:tcMar>
            <w:vAlign w:val="center"/>
          </w:tcPr>
          <w:p w14:paraId="262EE6F1" w14:textId="02404104"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proofErr w:type="spellStart"/>
            <w:proofErr w:type="gramStart"/>
            <w:r w:rsidRPr="00E1048B">
              <w:rPr>
                <w:i/>
                <w:iCs/>
                <w:color w:val="000000"/>
                <w:sz w:val="16"/>
                <w:szCs w:val="16"/>
              </w:rPr>
              <w:t>Тетрахлор</w:t>
            </w:r>
            <w:proofErr w:type="spellEnd"/>
            <w:r w:rsidR="003879C6" w:rsidRPr="00E1048B">
              <w:rPr>
                <w:i/>
                <w:iCs/>
                <w:color w:val="000000"/>
                <w:sz w:val="16"/>
                <w:szCs w:val="16"/>
              </w:rPr>
              <w:t>-</w:t>
            </w:r>
            <w:r w:rsidRPr="00E1048B">
              <w:rPr>
                <w:i/>
                <w:iCs/>
                <w:color w:val="000000"/>
                <w:sz w:val="16"/>
                <w:szCs w:val="16"/>
              </w:rPr>
              <w:t>метан</w:t>
            </w:r>
            <w:proofErr w:type="gramEnd"/>
          </w:p>
        </w:tc>
        <w:tc>
          <w:tcPr>
            <w:tcW w:w="1216" w:type="dxa"/>
            <w:tcBorders>
              <w:top w:val="single" w:sz="4" w:space="0" w:color="auto"/>
              <w:bottom w:val="single" w:sz="12" w:space="0" w:color="auto"/>
            </w:tcBorders>
            <w:tcMar>
              <w:left w:w="108" w:type="dxa"/>
              <w:right w:w="108" w:type="dxa"/>
            </w:tcMar>
            <w:vAlign w:val="center"/>
          </w:tcPr>
          <w:p w14:paraId="705E6ACA" w14:textId="3B9CCEDA"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proofErr w:type="spellStart"/>
            <w:r w:rsidRPr="00E1048B">
              <w:rPr>
                <w:i/>
                <w:iCs/>
                <w:color w:val="000000"/>
                <w:sz w:val="16"/>
                <w:szCs w:val="16"/>
              </w:rPr>
              <w:t>Метилхлоро</w:t>
            </w:r>
            <w:proofErr w:type="spellEnd"/>
            <w:r w:rsidR="003879C6" w:rsidRPr="00E1048B">
              <w:rPr>
                <w:i/>
                <w:iCs/>
                <w:color w:val="000000"/>
                <w:sz w:val="16"/>
                <w:szCs w:val="16"/>
              </w:rPr>
              <w:t>-</w:t>
            </w:r>
            <w:r w:rsidRPr="00E1048B">
              <w:rPr>
                <w:i/>
                <w:iCs/>
                <w:color w:val="000000"/>
                <w:sz w:val="16"/>
                <w:szCs w:val="16"/>
              </w:rPr>
              <w:t>форм</w:t>
            </w:r>
          </w:p>
        </w:tc>
        <w:tc>
          <w:tcPr>
            <w:tcW w:w="1168" w:type="dxa"/>
            <w:tcBorders>
              <w:top w:val="single" w:sz="4" w:space="0" w:color="auto"/>
              <w:bottom w:val="single" w:sz="12" w:space="0" w:color="auto"/>
            </w:tcBorders>
            <w:tcMar>
              <w:left w:w="108" w:type="dxa"/>
              <w:right w:w="108" w:type="dxa"/>
            </w:tcMar>
            <w:vAlign w:val="center"/>
          </w:tcPr>
          <w:p w14:paraId="7133ACE8"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ГХФУ</w:t>
            </w:r>
          </w:p>
        </w:tc>
        <w:tc>
          <w:tcPr>
            <w:tcW w:w="1168" w:type="dxa"/>
            <w:tcBorders>
              <w:top w:val="single" w:sz="4" w:space="0" w:color="auto"/>
              <w:bottom w:val="single" w:sz="12" w:space="0" w:color="auto"/>
            </w:tcBorders>
            <w:tcMar>
              <w:left w:w="108" w:type="dxa"/>
              <w:right w:w="108" w:type="dxa"/>
            </w:tcMar>
            <w:vAlign w:val="center"/>
          </w:tcPr>
          <w:p w14:paraId="667D4547"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Бромистый метил</w:t>
            </w:r>
          </w:p>
        </w:tc>
        <w:tc>
          <w:tcPr>
            <w:tcW w:w="1168" w:type="dxa"/>
            <w:tcBorders>
              <w:top w:val="single" w:sz="4" w:space="0" w:color="auto"/>
              <w:bottom w:val="single" w:sz="12" w:space="0" w:color="auto"/>
            </w:tcBorders>
            <w:tcMar>
              <w:left w:w="108" w:type="dxa"/>
              <w:right w:w="108" w:type="dxa"/>
            </w:tcMar>
            <w:vAlign w:val="center"/>
          </w:tcPr>
          <w:p w14:paraId="6ED79E84"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ГФУ</w:t>
            </w:r>
          </w:p>
        </w:tc>
        <w:tc>
          <w:tcPr>
            <w:tcW w:w="1168" w:type="dxa"/>
            <w:tcBorders>
              <w:top w:val="single" w:sz="4" w:space="0" w:color="auto"/>
              <w:bottom w:val="single" w:sz="12" w:space="0" w:color="auto"/>
            </w:tcBorders>
            <w:tcMar>
              <w:left w:w="108" w:type="dxa"/>
              <w:right w:w="108" w:type="dxa"/>
            </w:tcMar>
            <w:vAlign w:val="center"/>
          </w:tcPr>
          <w:p w14:paraId="60E9131B"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ГФУ-23</w:t>
            </w:r>
          </w:p>
        </w:tc>
        <w:tc>
          <w:tcPr>
            <w:tcW w:w="1025" w:type="dxa"/>
            <w:tcBorders>
              <w:top w:val="single" w:sz="4" w:space="0" w:color="auto"/>
              <w:bottom w:val="single" w:sz="12" w:space="0" w:color="auto"/>
            </w:tcBorders>
            <w:tcMar>
              <w:left w:w="108" w:type="dxa"/>
              <w:right w:w="108" w:type="dxa"/>
            </w:tcMar>
            <w:vAlign w:val="center"/>
          </w:tcPr>
          <w:p w14:paraId="688ED50A"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ОРВ</w:t>
            </w:r>
          </w:p>
        </w:tc>
        <w:tc>
          <w:tcPr>
            <w:tcW w:w="1025" w:type="dxa"/>
            <w:tcBorders>
              <w:top w:val="single" w:sz="4" w:space="0" w:color="auto"/>
              <w:bottom w:val="single" w:sz="12" w:space="0" w:color="auto"/>
            </w:tcBorders>
            <w:tcMar>
              <w:left w:w="108" w:type="dxa"/>
              <w:right w:w="108" w:type="dxa"/>
            </w:tcMar>
            <w:vAlign w:val="center"/>
          </w:tcPr>
          <w:p w14:paraId="4A8FBF7E" w14:textId="77777777" w:rsidR="0064468C" w:rsidRPr="00E1048B" w:rsidRDefault="0064468C" w:rsidP="003879C6">
            <w:pPr>
              <w:tabs>
                <w:tab w:val="clear" w:pos="1247"/>
                <w:tab w:val="clear" w:pos="1814"/>
                <w:tab w:val="clear" w:pos="2381"/>
                <w:tab w:val="clear" w:pos="2948"/>
                <w:tab w:val="clear" w:pos="3515"/>
              </w:tabs>
              <w:spacing w:before="40" w:after="40"/>
              <w:rPr>
                <w:i/>
                <w:iCs/>
                <w:sz w:val="16"/>
                <w:szCs w:val="16"/>
              </w:rPr>
            </w:pPr>
            <w:r w:rsidRPr="00E1048B">
              <w:rPr>
                <w:i/>
                <w:iCs/>
                <w:color w:val="000000"/>
                <w:sz w:val="16"/>
                <w:szCs w:val="16"/>
              </w:rPr>
              <w:t>ГФУ</w:t>
            </w:r>
          </w:p>
        </w:tc>
      </w:tr>
      <w:tr w:rsidR="0064468C" w:rsidRPr="00E1048B" w14:paraId="126CD093" w14:textId="77777777" w:rsidTr="003879C6">
        <w:trPr>
          <w:trHeight w:val="300"/>
          <w:jc w:val="right"/>
        </w:trPr>
        <w:tc>
          <w:tcPr>
            <w:tcW w:w="1669" w:type="dxa"/>
            <w:tcBorders>
              <w:top w:val="single" w:sz="12" w:space="0" w:color="auto"/>
            </w:tcBorders>
            <w:tcMar>
              <w:left w:w="108" w:type="dxa"/>
              <w:right w:w="108" w:type="dxa"/>
            </w:tcMar>
            <w:vAlign w:val="center"/>
          </w:tcPr>
          <w:p w14:paraId="570E018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КЭУ</w:t>
            </w:r>
          </w:p>
        </w:tc>
        <w:tc>
          <w:tcPr>
            <w:tcW w:w="1144" w:type="dxa"/>
            <w:tcBorders>
              <w:top w:val="single" w:sz="12" w:space="0" w:color="auto"/>
            </w:tcBorders>
            <w:tcMar>
              <w:left w:w="108" w:type="dxa"/>
              <w:right w:w="108" w:type="dxa"/>
            </w:tcMar>
            <w:vAlign w:val="center"/>
          </w:tcPr>
          <w:p w14:paraId="4F5E658C" w14:textId="7EDE430A"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144" w:type="dxa"/>
            <w:tcBorders>
              <w:top w:val="single" w:sz="12" w:space="0" w:color="auto"/>
            </w:tcBorders>
            <w:tcMar>
              <w:left w:w="108" w:type="dxa"/>
              <w:right w:w="108" w:type="dxa"/>
            </w:tcMar>
            <w:vAlign w:val="center"/>
          </w:tcPr>
          <w:p w14:paraId="736A9834" w14:textId="56398078"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168" w:type="dxa"/>
            <w:tcBorders>
              <w:top w:val="single" w:sz="12" w:space="0" w:color="auto"/>
            </w:tcBorders>
            <w:tcMar>
              <w:left w:w="108" w:type="dxa"/>
              <w:right w:w="108" w:type="dxa"/>
            </w:tcMar>
            <w:vAlign w:val="center"/>
          </w:tcPr>
          <w:p w14:paraId="5B5DF5C1" w14:textId="6C78DFB0"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366" w:type="dxa"/>
            <w:tcBorders>
              <w:top w:val="single" w:sz="12" w:space="0" w:color="auto"/>
            </w:tcBorders>
            <w:tcMar>
              <w:left w:w="108" w:type="dxa"/>
              <w:right w:w="108" w:type="dxa"/>
            </w:tcMar>
            <w:vAlign w:val="center"/>
          </w:tcPr>
          <w:p w14:paraId="3EA9D87C" w14:textId="1283C4A6"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216" w:type="dxa"/>
            <w:tcBorders>
              <w:top w:val="single" w:sz="12" w:space="0" w:color="auto"/>
            </w:tcBorders>
            <w:tcMar>
              <w:left w:w="108" w:type="dxa"/>
              <w:right w:w="108" w:type="dxa"/>
            </w:tcMar>
            <w:vAlign w:val="center"/>
          </w:tcPr>
          <w:p w14:paraId="14E2F20E" w14:textId="701A7094"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168" w:type="dxa"/>
            <w:tcBorders>
              <w:top w:val="single" w:sz="12" w:space="0" w:color="auto"/>
            </w:tcBorders>
            <w:tcMar>
              <w:left w:w="108" w:type="dxa"/>
              <w:right w:w="108" w:type="dxa"/>
            </w:tcMar>
            <w:vAlign w:val="center"/>
          </w:tcPr>
          <w:p w14:paraId="616CB0DE" w14:textId="78853F49"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168" w:type="dxa"/>
            <w:tcBorders>
              <w:top w:val="single" w:sz="12" w:space="0" w:color="auto"/>
            </w:tcBorders>
            <w:tcMar>
              <w:left w:w="108" w:type="dxa"/>
              <w:right w:w="108" w:type="dxa"/>
            </w:tcMar>
            <w:vAlign w:val="center"/>
          </w:tcPr>
          <w:p w14:paraId="21CA0DD1" w14:textId="318F4FB4"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168" w:type="dxa"/>
            <w:tcBorders>
              <w:top w:val="single" w:sz="12" w:space="0" w:color="auto"/>
            </w:tcBorders>
            <w:tcMar>
              <w:left w:w="108" w:type="dxa"/>
              <w:right w:w="108" w:type="dxa"/>
            </w:tcMar>
            <w:vAlign w:val="center"/>
          </w:tcPr>
          <w:p w14:paraId="5F80C43F" w14:textId="7C922121"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168" w:type="dxa"/>
            <w:tcBorders>
              <w:top w:val="single" w:sz="12" w:space="0" w:color="auto"/>
            </w:tcBorders>
            <w:tcMar>
              <w:left w:w="108" w:type="dxa"/>
              <w:right w:w="108" w:type="dxa"/>
            </w:tcMar>
            <w:vAlign w:val="center"/>
          </w:tcPr>
          <w:p w14:paraId="69F57D00" w14:textId="3C72238D"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99,99%</w:t>
            </w:r>
          </w:p>
        </w:tc>
        <w:tc>
          <w:tcPr>
            <w:tcW w:w="1025" w:type="dxa"/>
            <w:tcBorders>
              <w:top w:val="single" w:sz="12" w:space="0" w:color="auto"/>
            </w:tcBorders>
            <w:tcMar>
              <w:left w:w="108" w:type="dxa"/>
              <w:right w:w="108" w:type="dxa"/>
            </w:tcMar>
            <w:vAlign w:val="center"/>
          </w:tcPr>
          <w:p w14:paraId="09C95A38" w14:textId="1131A9BE"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95%</w:t>
            </w:r>
          </w:p>
        </w:tc>
        <w:tc>
          <w:tcPr>
            <w:tcW w:w="1025" w:type="dxa"/>
            <w:tcBorders>
              <w:top w:val="single" w:sz="12" w:space="0" w:color="auto"/>
            </w:tcBorders>
            <w:tcMar>
              <w:left w:w="108" w:type="dxa"/>
              <w:right w:w="108" w:type="dxa"/>
            </w:tcMar>
            <w:vAlign w:val="center"/>
          </w:tcPr>
          <w:p w14:paraId="0C96DB6E" w14:textId="095C39A0"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95%</w:t>
            </w:r>
          </w:p>
        </w:tc>
      </w:tr>
      <w:tr w:rsidR="0064468C" w:rsidRPr="00E1048B" w14:paraId="662B8BD1" w14:textId="77777777" w:rsidTr="003879C6">
        <w:trPr>
          <w:trHeight w:val="300"/>
          <w:jc w:val="right"/>
        </w:trPr>
        <w:tc>
          <w:tcPr>
            <w:tcW w:w="1669" w:type="dxa"/>
            <w:tcMar>
              <w:left w:w="108" w:type="dxa"/>
              <w:right w:w="108" w:type="dxa"/>
            </w:tcMar>
            <w:vAlign w:val="center"/>
          </w:tcPr>
          <w:p w14:paraId="738A410F" w14:textId="11EA2F60" w:rsidR="0064468C" w:rsidRPr="00E1048B" w:rsidRDefault="0064468C" w:rsidP="003879C6">
            <w:pPr>
              <w:tabs>
                <w:tab w:val="clear" w:pos="1247"/>
                <w:tab w:val="clear" w:pos="1814"/>
                <w:tab w:val="clear" w:pos="2381"/>
                <w:tab w:val="clear" w:pos="2948"/>
                <w:tab w:val="clear" w:pos="3515"/>
              </w:tabs>
              <w:spacing w:before="40" w:after="40"/>
              <w:rPr>
                <w:sz w:val="16"/>
                <w:szCs w:val="16"/>
              </w:rPr>
            </w:pPr>
            <w:proofErr w:type="spellStart"/>
            <w:proofErr w:type="gramStart"/>
            <w:r w:rsidRPr="00E1048B">
              <w:rPr>
                <w:color w:val="000000"/>
                <w:sz w:val="16"/>
                <w:szCs w:val="16"/>
              </w:rPr>
              <w:t>Цементообжига</w:t>
            </w:r>
            <w:proofErr w:type="spellEnd"/>
            <w:r w:rsidR="00A632E1">
              <w:rPr>
                <w:color w:val="000000"/>
                <w:sz w:val="16"/>
                <w:szCs w:val="16"/>
              </w:rPr>
              <w:t>-</w:t>
            </w:r>
            <w:r w:rsidRPr="00E1048B">
              <w:rPr>
                <w:color w:val="000000"/>
                <w:sz w:val="16"/>
                <w:szCs w:val="16"/>
              </w:rPr>
              <w:t>тельные</w:t>
            </w:r>
            <w:proofErr w:type="gramEnd"/>
            <w:r w:rsidRPr="00E1048B">
              <w:rPr>
                <w:color w:val="000000"/>
                <w:sz w:val="16"/>
                <w:szCs w:val="16"/>
              </w:rPr>
              <w:t xml:space="preserve"> печи</w:t>
            </w:r>
          </w:p>
        </w:tc>
        <w:tc>
          <w:tcPr>
            <w:tcW w:w="1144" w:type="dxa"/>
            <w:tcMar>
              <w:left w:w="108" w:type="dxa"/>
              <w:right w:w="108" w:type="dxa"/>
            </w:tcMar>
            <w:vAlign w:val="center"/>
          </w:tcPr>
          <w:p w14:paraId="19EEDC5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7B8844E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утверждена</w:t>
            </w:r>
          </w:p>
        </w:tc>
        <w:tc>
          <w:tcPr>
            <w:tcW w:w="1168" w:type="dxa"/>
            <w:tcMar>
              <w:left w:w="108" w:type="dxa"/>
              <w:right w:w="108" w:type="dxa"/>
            </w:tcMar>
            <w:vAlign w:val="center"/>
          </w:tcPr>
          <w:p w14:paraId="35C94F4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06F42C1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604C568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6B9F7F2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60DD273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1F378B4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30E80CF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51476E6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3C6412A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65648C07" w14:textId="77777777" w:rsidTr="003879C6">
        <w:trPr>
          <w:trHeight w:val="300"/>
          <w:jc w:val="right"/>
        </w:trPr>
        <w:tc>
          <w:tcPr>
            <w:tcW w:w="1669" w:type="dxa"/>
            <w:tcMar>
              <w:left w:w="108" w:type="dxa"/>
              <w:right w:w="108" w:type="dxa"/>
            </w:tcMar>
            <w:vAlign w:val="center"/>
          </w:tcPr>
          <w:p w14:paraId="2F9FCF4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Окисление в газовой среде / окисление дымом</w:t>
            </w:r>
          </w:p>
        </w:tc>
        <w:tc>
          <w:tcPr>
            <w:tcW w:w="1144" w:type="dxa"/>
            <w:tcMar>
              <w:left w:w="108" w:type="dxa"/>
              <w:right w:w="108" w:type="dxa"/>
            </w:tcMar>
            <w:vAlign w:val="center"/>
          </w:tcPr>
          <w:p w14:paraId="20DED3E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1F73C58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376D442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75DD496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455643E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197780A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189080E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7AAE1B1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0453621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0DE78AB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06C241D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1E56DE88" w14:textId="77777777" w:rsidTr="003879C6">
        <w:trPr>
          <w:trHeight w:val="300"/>
          <w:jc w:val="right"/>
        </w:trPr>
        <w:tc>
          <w:tcPr>
            <w:tcW w:w="1669" w:type="dxa"/>
            <w:tcMar>
              <w:left w:w="108" w:type="dxa"/>
              <w:right w:w="108" w:type="dxa"/>
            </w:tcMar>
            <w:vAlign w:val="center"/>
          </w:tcPr>
          <w:p w14:paraId="5D5CC7D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Сжигание со впрыском жидкости</w:t>
            </w:r>
          </w:p>
        </w:tc>
        <w:tc>
          <w:tcPr>
            <w:tcW w:w="1144" w:type="dxa"/>
            <w:tcMar>
              <w:left w:w="108" w:type="dxa"/>
              <w:right w:w="108" w:type="dxa"/>
            </w:tcMar>
            <w:vAlign w:val="center"/>
          </w:tcPr>
          <w:p w14:paraId="4B6BD1D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tcMar>
              <w:left w:w="108" w:type="dxa"/>
              <w:right w:w="108" w:type="dxa"/>
            </w:tcMar>
            <w:vAlign w:val="center"/>
          </w:tcPr>
          <w:p w14:paraId="025DB7D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6062765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3C61D8A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10C10CE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5918E76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2B71A94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4277698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7A19038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2CA8A8C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5D5EF12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5B4C35F8" w14:textId="77777777" w:rsidTr="003879C6">
        <w:trPr>
          <w:trHeight w:val="300"/>
          <w:jc w:val="right"/>
        </w:trPr>
        <w:tc>
          <w:tcPr>
            <w:tcW w:w="1669" w:type="dxa"/>
            <w:tcMar>
              <w:left w:w="108" w:type="dxa"/>
              <w:right w:w="108" w:type="dxa"/>
            </w:tcMar>
            <w:vAlign w:val="center"/>
          </w:tcPr>
          <w:p w14:paraId="05A3CE1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Сжигание твердых бытовых отходов</w:t>
            </w:r>
          </w:p>
        </w:tc>
        <w:tc>
          <w:tcPr>
            <w:tcW w:w="1144" w:type="dxa"/>
            <w:tcMar>
              <w:left w:w="108" w:type="dxa"/>
              <w:right w:w="108" w:type="dxa"/>
            </w:tcMar>
            <w:vAlign w:val="center"/>
          </w:tcPr>
          <w:p w14:paraId="782520A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144" w:type="dxa"/>
            <w:tcMar>
              <w:left w:w="108" w:type="dxa"/>
              <w:right w:w="108" w:type="dxa"/>
            </w:tcMar>
            <w:vAlign w:val="center"/>
          </w:tcPr>
          <w:p w14:paraId="4363065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168" w:type="dxa"/>
            <w:tcMar>
              <w:left w:w="108" w:type="dxa"/>
              <w:right w:w="108" w:type="dxa"/>
            </w:tcMar>
            <w:vAlign w:val="center"/>
          </w:tcPr>
          <w:p w14:paraId="48F6A5F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366" w:type="dxa"/>
            <w:tcMar>
              <w:left w:w="108" w:type="dxa"/>
              <w:right w:w="108" w:type="dxa"/>
            </w:tcMar>
            <w:vAlign w:val="center"/>
          </w:tcPr>
          <w:p w14:paraId="394B0D8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216" w:type="dxa"/>
            <w:tcMar>
              <w:left w:w="108" w:type="dxa"/>
              <w:right w:w="108" w:type="dxa"/>
            </w:tcMar>
            <w:vAlign w:val="center"/>
          </w:tcPr>
          <w:p w14:paraId="0F53422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168" w:type="dxa"/>
            <w:tcMar>
              <w:left w:w="108" w:type="dxa"/>
              <w:right w:w="108" w:type="dxa"/>
            </w:tcMar>
            <w:vAlign w:val="center"/>
          </w:tcPr>
          <w:p w14:paraId="081E601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168" w:type="dxa"/>
            <w:tcMar>
              <w:left w:w="108" w:type="dxa"/>
              <w:right w:w="108" w:type="dxa"/>
            </w:tcMar>
            <w:vAlign w:val="center"/>
          </w:tcPr>
          <w:p w14:paraId="105803A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168" w:type="dxa"/>
            <w:tcMar>
              <w:left w:w="108" w:type="dxa"/>
              <w:right w:w="108" w:type="dxa"/>
            </w:tcMar>
            <w:vAlign w:val="center"/>
          </w:tcPr>
          <w:p w14:paraId="1B900BB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168" w:type="dxa"/>
            <w:tcMar>
              <w:left w:w="108" w:type="dxa"/>
              <w:right w:w="108" w:type="dxa"/>
            </w:tcMar>
            <w:vAlign w:val="center"/>
          </w:tcPr>
          <w:p w14:paraId="001DFEE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19C82608" w14:textId="733FB10D" w:rsidR="0064468C" w:rsidRPr="00E1048B" w:rsidRDefault="0064468C" w:rsidP="003879C6">
            <w:pPr>
              <w:tabs>
                <w:tab w:val="clear" w:pos="1247"/>
                <w:tab w:val="clear" w:pos="1814"/>
                <w:tab w:val="clear" w:pos="2381"/>
                <w:tab w:val="clear" w:pos="2948"/>
                <w:tab w:val="clear" w:pos="3515"/>
              </w:tabs>
              <w:spacing w:before="40" w:after="40"/>
              <w:rPr>
                <w:sz w:val="16"/>
                <w:szCs w:val="16"/>
              </w:rPr>
            </w:pPr>
            <w:proofErr w:type="spellStart"/>
            <w:proofErr w:type="gramStart"/>
            <w:r w:rsidRPr="00E1048B">
              <w:rPr>
                <w:color w:val="000000"/>
                <w:sz w:val="16"/>
                <w:szCs w:val="16"/>
              </w:rPr>
              <w:t>Утвержде</w:t>
            </w:r>
            <w:proofErr w:type="spellEnd"/>
            <w:r w:rsidR="003879C6" w:rsidRPr="00E1048B">
              <w:rPr>
                <w:color w:val="000000"/>
                <w:sz w:val="16"/>
                <w:szCs w:val="16"/>
              </w:rPr>
              <w:t>-</w:t>
            </w:r>
            <w:r w:rsidRPr="00E1048B">
              <w:rPr>
                <w:color w:val="000000"/>
                <w:sz w:val="16"/>
                <w:szCs w:val="16"/>
              </w:rPr>
              <w:t>на</w:t>
            </w:r>
            <w:proofErr w:type="gramEnd"/>
          </w:p>
        </w:tc>
        <w:tc>
          <w:tcPr>
            <w:tcW w:w="1025" w:type="dxa"/>
            <w:tcMar>
              <w:left w:w="108" w:type="dxa"/>
              <w:right w:w="108" w:type="dxa"/>
            </w:tcMar>
            <w:vAlign w:val="center"/>
          </w:tcPr>
          <w:p w14:paraId="2E67B309" w14:textId="1CE4407D" w:rsidR="0064468C" w:rsidRPr="00E1048B" w:rsidRDefault="0064468C" w:rsidP="003879C6">
            <w:pPr>
              <w:tabs>
                <w:tab w:val="clear" w:pos="1247"/>
                <w:tab w:val="clear" w:pos="1814"/>
                <w:tab w:val="clear" w:pos="2381"/>
                <w:tab w:val="clear" w:pos="2948"/>
                <w:tab w:val="clear" w:pos="3515"/>
              </w:tabs>
              <w:spacing w:before="40" w:after="40"/>
              <w:rPr>
                <w:sz w:val="16"/>
                <w:szCs w:val="16"/>
              </w:rPr>
            </w:pPr>
            <w:proofErr w:type="spellStart"/>
            <w:proofErr w:type="gramStart"/>
            <w:r w:rsidRPr="00E1048B">
              <w:rPr>
                <w:color w:val="000000"/>
                <w:sz w:val="16"/>
                <w:szCs w:val="16"/>
              </w:rPr>
              <w:t>Утвержде</w:t>
            </w:r>
            <w:proofErr w:type="spellEnd"/>
            <w:r w:rsidR="003879C6" w:rsidRPr="00E1048B">
              <w:rPr>
                <w:color w:val="000000"/>
                <w:sz w:val="16"/>
                <w:szCs w:val="16"/>
              </w:rPr>
              <w:t>-</w:t>
            </w:r>
            <w:r w:rsidRPr="00E1048B">
              <w:rPr>
                <w:color w:val="000000"/>
                <w:sz w:val="16"/>
                <w:szCs w:val="16"/>
              </w:rPr>
              <w:t>на</w:t>
            </w:r>
            <w:proofErr w:type="gramEnd"/>
          </w:p>
        </w:tc>
      </w:tr>
      <w:tr w:rsidR="0064468C" w:rsidRPr="00E1048B" w14:paraId="2C86509A" w14:textId="77777777" w:rsidTr="003879C6">
        <w:trPr>
          <w:trHeight w:val="660"/>
          <w:jc w:val="right"/>
        </w:trPr>
        <w:tc>
          <w:tcPr>
            <w:tcW w:w="1669" w:type="dxa"/>
            <w:tcMar>
              <w:left w:w="108" w:type="dxa"/>
              <w:right w:w="108" w:type="dxa"/>
            </w:tcMar>
            <w:vAlign w:val="center"/>
          </w:tcPr>
          <w:p w14:paraId="15BF450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Пористый термический реактор</w:t>
            </w:r>
          </w:p>
        </w:tc>
        <w:tc>
          <w:tcPr>
            <w:tcW w:w="1144" w:type="dxa"/>
            <w:tcMar>
              <w:left w:w="108" w:type="dxa"/>
              <w:right w:w="108" w:type="dxa"/>
            </w:tcMar>
            <w:vAlign w:val="center"/>
          </w:tcPr>
          <w:p w14:paraId="65C7365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267D896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390D9C7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5A38963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47E68D2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72C2B3B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327642F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7DF2AC9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61D491B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32E730C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6A46786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635B3DD8" w14:textId="77777777" w:rsidTr="003879C6">
        <w:trPr>
          <w:trHeight w:val="300"/>
          <w:jc w:val="right"/>
        </w:trPr>
        <w:tc>
          <w:tcPr>
            <w:tcW w:w="1669" w:type="dxa"/>
            <w:tcMar>
              <w:left w:w="108" w:type="dxa"/>
              <w:right w:w="108" w:type="dxa"/>
            </w:tcMar>
            <w:vAlign w:val="center"/>
          </w:tcPr>
          <w:p w14:paraId="37CEF27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Крекинг в реакторе</w:t>
            </w:r>
          </w:p>
        </w:tc>
        <w:tc>
          <w:tcPr>
            <w:tcW w:w="1144" w:type="dxa"/>
            <w:tcMar>
              <w:left w:w="108" w:type="dxa"/>
              <w:right w:w="108" w:type="dxa"/>
            </w:tcMar>
            <w:vAlign w:val="center"/>
          </w:tcPr>
          <w:p w14:paraId="1938CD3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3325BF3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утверждена</w:t>
            </w:r>
          </w:p>
        </w:tc>
        <w:tc>
          <w:tcPr>
            <w:tcW w:w="1168" w:type="dxa"/>
            <w:tcMar>
              <w:left w:w="108" w:type="dxa"/>
              <w:right w:w="108" w:type="dxa"/>
            </w:tcMar>
            <w:vAlign w:val="center"/>
          </w:tcPr>
          <w:p w14:paraId="4A24E9E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052E561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5DA90D3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396CC98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1D7D068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606F6C5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2D9CFC0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7A7DAD5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4270257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7F8BC0C5" w14:textId="77777777" w:rsidTr="003879C6">
        <w:trPr>
          <w:trHeight w:val="300"/>
          <w:jc w:val="right"/>
        </w:trPr>
        <w:tc>
          <w:tcPr>
            <w:tcW w:w="1669" w:type="dxa"/>
            <w:tcMar>
              <w:left w:w="108" w:type="dxa"/>
              <w:right w:w="108" w:type="dxa"/>
            </w:tcMar>
            <w:vAlign w:val="center"/>
          </w:tcPr>
          <w:p w14:paraId="3E6076F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Сжигание во вращающейся печи</w:t>
            </w:r>
          </w:p>
        </w:tc>
        <w:tc>
          <w:tcPr>
            <w:tcW w:w="1144" w:type="dxa"/>
            <w:tcMar>
              <w:left w:w="108" w:type="dxa"/>
              <w:right w:w="108" w:type="dxa"/>
            </w:tcMar>
            <w:vAlign w:val="center"/>
          </w:tcPr>
          <w:p w14:paraId="15C0A00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tcMar>
              <w:left w:w="108" w:type="dxa"/>
              <w:right w:w="108" w:type="dxa"/>
            </w:tcMar>
            <w:vAlign w:val="center"/>
          </w:tcPr>
          <w:p w14:paraId="19C6D14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7B5864B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091DAAD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522F971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06C4A59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4111C0A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61190AA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18BB95A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6F68AC03" w14:textId="6A40B62C" w:rsidR="0064468C" w:rsidRPr="00E1048B" w:rsidRDefault="0064468C" w:rsidP="003879C6">
            <w:pPr>
              <w:tabs>
                <w:tab w:val="clear" w:pos="1247"/>
                <w:tab w:val="clear" w:pos="1814"/>
                <w:tab w:val="clear" w:pos="2381"/>
                <w:tab w:val="clear" w:pos="2948"/>
                <w:tab w:val="clear" w:pos="3515"/>
              </w:tabs>
              <w:spacing w:before="40" w:after="40"/>
              <w:rPr>
                <w:sz w:val="16"/>
                <w:szCs w:val="16"/>
              </w:rPr>
            </w:pPr>
            <w:proofErr w:type="spellStart"/>
            <w:proofErr w:type="gramStart"/>
            <w:r w:rsidRPr="00E1048B">
              <w:rPr>
                <w:color w:val="000000"/>
                <w:sz w:val="16"/>
                <w:szCs w:val="16"/>
              </w:rPr>
              <w:t>Утвержде</w:t>
            </w:r>
            <w:proofErr w:type="spellEnd"/>
            <w:r w:rsidR="003879C6" w:rsidRPr="00E1048B">
              <w:rPr>
                <w:color w:val="000000"/>
                <w:sz w:val="16"/>
                <w:szCs w:val="16"/>
              </w:rPr>
              <w:t>-</w:t>
            </w:r>
            <w:r w:rsidRPr="00E1048B">
              <w:rPr>
                <w:color w:val="000000"/>
                <w:sz w:val="16"/>
                <w:szCs w:val="16"/>
              </w:rPr>
              <w:t>на</w:t>
            </w:r>
            <w:proofErr w:type="gramEnd"/>
          </w:p>
        </w:tc>
        <w:tc>
          <w:tcPr>
            <w:tcW w:w="1025" w:type="dxa"/>
            <w:tcMar>
              <w:left w:w="108" w:type="dxa"/>
              <w:right w:w="108" w:type="dxa"/>
            </w:tcMar>
            <w:vAlign w:val="center"/>
          </w:tcPr>
          <w:p w14:paraId="1D9BDD76" w14:textId="63DF85FD" w:rsidR="0064468C" w:rsidRPr="00E1048B" w:rsidRDefault="0064468C" w:rsidP="003879C6">
            <w:pPr>
              <w:tabs>
                <w:tab w:val="clear" w:pos="1247"/>
                <w:tab w:val="clear" w:pos="1814"/>
                <w:tab w:val="clear" w:pos="2381"/>
                <w:tab w:val="clear" w:pos="2948"/>
                <w:tab w:val="clear" w:pos="3515"/>
              </w:tabs>
              <w:spacing w:before="40" w:after="40"/>
              <w:rPr>
                <w:sz w:val="16"/>
                <w:szCs w:val="16"/>
              </w:rPr>
            </w:pPr>
            <w:proofErr w:type="spellStart"/>
            <w:proofErr w:type="gramStart"/>
            <w:r w:rsidRPr="00E1048B">
              <w:rPr>
                <w:color w:val="000000"/>
                <w:sz w:val="16"/>
                <w:szCs w:val="16"/>
              </w:rPr>
              <w:t>Утвержде</w:t>
            </w:r>
            <w:proofErr w:type="spellEnd"/>
            <w:r w:rsidR="003879C6" w:rsidRPr="00E1048B">
              <w:rPr>
                <w:color w:val="000000"/>
                <w:sz w:val="16"/>
                <w:szCs w:val="16"/>
              </w:rPr>
              <w:t>-</w:t>
            </w:r>
            <w:r w:rsidRPr="00E1048B">
              <w:rPr>
                <w:color w:val="000000"/>
                <w:sz w:val="16"/>
                <w:szCs w:val="16"/>
              </w:rPr>
              <w:t>на</w:t>
            </w:r>
            <w:proofErr w:type="gramEnd"/>
          </w:p>
        </w:tc>
      </w:tr>
      <w:tr w:rsidR="0064468C" w:rsidRPr="00E1048B" w14:paraId="5A5238C9" w14:textId="77777777" w:rsidTr="003879C6">
        <w:trPr>
          <w:trHeight w:val="300"/>
          <w:jc w:val="right"/>
        </w:trPr>
        <w:tc>
          <w:tcPr>
            <w:tcW w:w="1669" w:type="dxa"/>
            <w:tcMar>
              <w:left w:w="108" w:type="dxa"/>
              <w:right w:w="108" w:type="dxa"/>
            </w:tcMar>
            <w:vAlign w:val="center"/>
          </w:tcPr>
          <w:p w14:paraId="2F6F3BA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Термический распад бромистого метила</w:t>
            </w:r>
          </w:p>
        </w:tc>
        <w:tc>
          <w:tcPr>
            <w:tcW w:w="1144" w:type="dxa"/>
            <w:shd w:val="clear" w:color="auto" w:fill="FAE2D5" w:themeFill="accent2" w:themeFillTint="33"/>
            <w:tcMar>
              <w:left w:w="108" w:type="dxa"/>
              <w:right w:w="108" w:type="dxa"/>
            </w:tcMar>
            <w:vAlign w:val="center"/>
          </w:tcPr>
          <w:p w14:paraId="595059B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44" w:type="dxa"/>
            <w:shd w:val="clear" w:color="auto" w:fill="FAE2D5" w:themeFill="accent2" w:themeFillTint="33"/>
            <w:tcMar>
              <w:left w:w="108" w:type="dxa"/>
              <w:right w:w="108" w:type="dxa"/>
            </w:tcMar>
            <w:vAlign w:val="center"/>
          </w:tcPr>
          <w:p w14:paraId="7A8DEE4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31FC351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366" w:type="dxa"/>
            <w:shd w:val="clear" w:color="auto" w:fill="FAE2D5" w:themeFill="accent2" w:themeFillTint="33"/>
            <w:tcMar>
              <w:left w:w="108" w:type="dxa"/>
              <w:right w:w="108" w:type="dxa"/>
            </w:tcMar>
            <w:vAlign w:val="center"/>
          </w:tcPr>
          <w:p w14:paraId="338CF4C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216" w:type="dxa"/>
            <w:shd w:val="clear" w:color="auto" w:fill="FAE2D5" w:themeFill="accent2" w:themeFillTint="33"/>
            <w:tcMar>
              <w:left w:w="108" w:type="dxa"/>
              <w:right w:w="108" w:type="dxa"/>
            </w:tcMar>
            <w:vAlign w:val="center"/>
          </w:tcPr>
          <w:p w14:paraId="4197CFE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780EFD8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sz w:val="16"/>
                <w:szCs w:val="16"/>
              </w:rPr>
              <w:t>Не определена</w:t>
            </w:r>
          </w:p>
        </w:tc>
        <w:tc>
          <w:tcPr>
            <w:tcW w:w="1168" w:type="dxa"/>
            <w:tcMar>
              <w:left w:w="108" w:type="dxa"/>
              <w:right w:w="108" w:type="dxa"/>
            </w:tcMar>
            <w:vAlign w:val="center"/>
          </w:tcPr>
          <w:p w14:paraId="7220D12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sz w:val="16"/>
                <w:szCs w:val="16"/>
              </w:rPr>
              <w:t>Утверждена</w:t>
            </w:r>
          </w:p>
        </w:tc>
        <w:tc>
          <w:tcPr>
            <w:tcW w:w="1168" w:type="dxa"/>
            <w:shd w:val="clear" w:color="auto" w:fill="FAE2D5" w:themeFill="accent2" w:themeFillTint="33"/>
            <w:tcMar>
              <w:left w:w="108" w:type="dxa"/>
              <w:right w:w="108" w:type="dxa"/>
            </w:tcMar>
            <w:vAlign w:val="center"/>
          </w:tcPr>
          <w:p w14:paraId="7004862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sz w:val="16"/>
                <w:szCs w:val="16"/>
              </w:rPr>
              <w:t>Не определена</w:t>
            </w:r>
          </w:p>
        </w:tc>
        <w:tc>
          <w:tcPr>
            <w:tcW w:w="1168" w:type="dxa"/>
            <w:shd w:val="clear" w:color="auto" w:fill="FAE2D5" w:themeFill="accent2" w:themeFillTint="33"/>
            <w:tcMar>
              <w:left w:w="108" w:type="dxa"/>
              <w:right w:w="108" w:type="dxa"/>
            </w:tcMar>
            <w:vAlign w:val="center"/>
          </w:tcPr>
          <w:p w14:paraId="789A8C6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sz w:val="16"/>
                <w:szCs w:val="16"/>
              </w:rPr>
              <w:t>Не определена</w:t>
            </w:r>
          </w:p>
        </w:tc>
        <w:tc>
          <w:tcPr>
            <w:tcW w:w="1025" w:type="dxa"/>
            <w:tcMar>
              <w:left w:w="108" w:type="dxa"/>
              <w:right w:w="108" w:type="dxa"/>
            </w:tcMar>
            <w:vAlign w:val="center"/>
          </w:tcPr>
          <w:p w14:paraId="5C096BB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sz w:val="16"/>
                <w:szCs w:val="16"/>
              </w:rPr>
              <w:t xml:space="preserve"> </w:t>
            </w:r>
          </w:p>
        </w:tc>
        <w:tc>
          <w:tcPr>
            <w:tcW w:w="1025" w:type="dxa"/>
            <w:tcMar>
              <w:left w:w="108" w:type="dxa"/>
              <w:right w:w="108" w:type="dxa"/>
            </w:tcMar>
            <w:vAlign w:val="center"/>
          </w:tcPr>
          <w:p w14:paraId="70752D2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sz w:val="16"/>
                <w:szCs w:val="16"/>
              </w:rPr>
              <w:t xml:space="preserve"> </w:t>
            </w:r>
          </w:p>
        </w:tc>
      </w:tr>
      <w:tr w:rsidR="0064468C" w:rsidRPr="00E1048B" w14:paraId="67EB333B" w14:textId="77777777" w:rsidTr="003879C6">
        <w:trPr>
          <w:trHeight w:val="300"/>
          <w:jc w:val="right"/>
        </w:trPr>
        <w:tc>
          <w:tcPr>
            <w:tcW w:w="1669" w:type="dxa"/>
            <w:tcMar>
              <w:left w:w="108" w:type="dxa"/>
              <w:right w:w="108" w:type="dxa"/>
            </w:tcMar>
            <w:vAlign w:val="center"/>
          </w:tcPr>
          <w:p w14:paraId="1F596E8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Аргоновая плазменная дуга</w:t>
            </w:r>
          </w:p>
        </w:tc>
        <w:tc>
          <w:tcPr>
            <w:tcW w:w="1144" w:type="dxa"/>
            <w:tcMar>
              <w:left w:w="108" w:type="dxa"/>
              <w:right w:w="108" w:type="dxa"/>
            </w:tcMar>
            <w:vAlign w:val="center"/>
          </w:tcPr>
          <w:p w14:paraId="44F2266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tcMar>
              <w:left w:w="108" w:type="dxa"/>
              <w:right w:w="108" w:type="dxa"/>
            </w:tcMar>
            <w:vAlign w:val="center"/>
          </w:tcPr>
          <w:p w14:paraId="18B7425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4977C03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1214FC6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4A24DFA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03A3EAE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4277310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719FB6B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1731BC5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6A13F7A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1B10A08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3E7772A2" w14:textId="77777777" w:rsidTr="003879C6">
        <w:trPr>
          <w:trHeight w:val="300"/>
          <w:jc w:val="right"/>
        </w:trPr>
        <w:tc>
          <w:tcPr>
            <w:tcW w:w="1669" w:type="dxa"/>
            <w:tcMar>
              <w:left w:w="108" w:type="dxa"/>
              <w:right w:w="108" w:type="dxa"/>
            </w:tcMar>
            <w:vAlign w:val="center"/>
          </w:tcPr>
          <w:p w14:paraId="4519569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Паровая плазменная дуга</w:t>
            </w:r>
          </w:p>
        </w:tc>
        <w:tc>
          <w:tcPr>
            <w:tcW w:w="1144" w:type="dxa"/>
            <w:tcMar>
              <w:left w:w="108" w:type="dxa"/>
              <w:right w:w="108" w:type="dxa"/>
            </w:tcMar>
            <w:vAlign w:val="center"/>
          </w:tcPr>
          <w:p w14:paraId="781CD2B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04CCEF8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450EE73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366" w:type="dxa"/>
            <w:shd w:val="clear" w:color="auto" w:fill="FAE2D5" w:themeFill="accent2" w:themeFillTint="33"/>
            <w:tcMar>
              <w:left w:w="108" w:type="dxa"/>
              <w:right w:w="108" w:type="dxa"/>
            </w:tcMar>
            <w:vAlign w:val="center"/>
          </w:tcPr>
          <w:p w14:paraId="67C9E20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216" w:type="dxa"/>
            <w:shd w:val="clear" w:color="auto" w:fill="FAE2D5" w:themeFill="accent2" w:themeFillTint="33"/>
            <w:tcMar>
              <w:left w:w="108" w:type="dxa"/>
              <w:right w:w="108" w:type="dxa"/>
            </w:tcMar>
            <w:vAlign w:val="center"/>
          </w:tcPr>
          <w:p w14:paraId="46F122B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2BCD060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736DA5B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507C4A6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4B3E5BD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3256BAA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44424C5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00889200" w14:textId="77777777" w:rsidTr="003879C6">
        <w:trPr>
          <w:trHeight w:val="300"/>
          <w:jc w:val="right"/>
        </w:trPr>
        <w:tc>
          <w:tcPr>
            <w:tcW w:w="1669" w:type="dxa"/>
            <w:tcMar>
              <w:left w:w="108" w:type="dxa"/>
              <w:right w:w="108" w:type="dxa"/>
            </w:tcMar>
            <w:vAlign w:val="center"/>
          </w:tcPr>
          <w:p w14:paraId="0775803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Индуктивно связанная радиочастотная плазма</w:t>
            </w:r>
          </w:p>
        </w:tc>
        <w:tc>
          <w:tcPr>
            <w:tcW w:w="1144" w:type="dxa"/>
            <w:tcMar>
              <w:left w:w="108" w:type="dxa"/>
              <w:right w:w="108" w:type="dxa"/>
            </w:tcMar>
            <w:vAlign w:val="center"/>
          </w:tcPr>
          <w:p w14:paraId="41C40C1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tcMar>
              <w:left w:w="108" w:type="dxa"/>
              <w:right w:w="108" w:type="dxa"/>
            </w:tcMar>
            <w:vAlign w:val="center"/>
          </w:tcPr>
          <w:p w14:paraId="1910362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1DFA5CA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28C1F88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3468BFF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31994DE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614E9BB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1FB7AA0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6403528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6E82839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1FFE798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06FAB9D7" w14:textId="77777777" w:rsidTr="003879C6">
        <w:trPr>
          <w:trHeight w:val="300"/>
          <w:jc w:val="right"/>
        </w:trPr>
        <w:tc>
          <w:tcPr>
            <w:tcW w:w="1669" w:type="dxa"/>
            <w:tcMar>
              <w:left w:w="108" w:type="dxa"/>
              <w:right w:w="108" w:type="dxa"/>
            </w:tcMar>
            <w:vAlign w:val="center"/>
          </w:tcPr>
          <w:p w14:paraId="1255C3B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Микроволновая плазма</w:t>
            </w:r>
          </w:p>
        </w:tc>
        <w:tc>
          <w:tcPr>
            <w:tcW w:w="1144" w:type="dxa"/>
            <w:tcMar>
              <w:left w:w="108" w:type="dxa"/>
              <w:right w:w="108" w:type="dxa"/>
            </w:tcMar>
            <w:vAlign w:val="center"/>
          </w:tcPr>
          <w:p w14:paraId="7F41584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08E3C41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24E67C0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392FD71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7B5AF44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6B59413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5A27F8D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4A82B89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13F1045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2040B5B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6D879F6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707357A6" w14:textId="77777777" w:rsidTr="003879C6">
        <w:trPr>
          <w:trHeight w:val="300"/>
          <w:jc w:val="right"/>
        </w:trPr>
        <w:tc>
          <w:tcPr>
            <w:tcW w:w="1669" w:type="dxa"/>
            <w:tcMar>
              <w:left w:w="108" w:type="dxa"/>
              <w:right w:w="108" w:type="dxa"/>
            </w:tcMar>
            <w:vAlign w:val="center"/>
          </w:tcPr>
          <w:p w14:paraId="5BB81FF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lastRenderedPageBreak/>
              <w:t>Азотная плазменная дуга</w:t>
            </w:r>
          </w:p>
        </w:tc>
        <w:tc>
          <w:tcPr>
            <w:tcW w:w="1144" w:type="dxa"/>
            <w:tcMar>
              <w:left w:w="108" w:type="dxa"/>
              <w:right w:w="108" w:type="dxa"/>
            </w:tcMar>
            <w:vAlign w:val="center"/>
          </w:tcPr>
          <w:p w14:paraId="41AFC6D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0F6BD3B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36A6C4E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36DC206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35D373B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0C0A459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011B6D3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143ACBC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2EA751A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63F35A6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09DFF98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5F861F42" w14:textId="77777777" w:rsidTr="003879C6">
        <w:trPr>
          <w:trHeight w:val="300"/>
          <w:jc w:val="right"/>
        </w:trPr>
        <w:tc>
          <w:tcPr>
            <w:tcW w:w="1669" w:type="dxa"/>
            <w:tcMar>
              <w:left w:w="108" w:type="dxa"/>
              <w:right w:w="108" w:type="dxa"/>
            </w:tcMar>
            <w:vAlign w:val="center"/>
          </w:tcPr>
          <w:p w14:paraId="13F6655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vertAlign w:val="subscript"/>
              </w:rPr>
            </w:pPr>
            <w:r w:rsidRPr="00E1048B">
              <w:rPr>
                <w:color w:val="000000"/>
                <w:sz w:val="16"/>
                <w:szCs w:val="16"/>
              </w:rPr>
              <w:t>Химическая реакция с H</w:t>
            </w:r>
            <w:r w:rsidRPr="00E1048B">
              <w:rPr>
                <w:color w:val="000000"/>
                <w:sz w:val="16"/>
                <w:szCs w:val="16"/>
                <w:vertAlign w:val="subscript"/>
              </w:rPr>
              <w:t>2</w:t>
            </w:r>
            <w:r w:rsidRPr="00E1048B">
              <w:rPr>
                <w:color w:val="000000"/>
                <w:sz w:val="16"/>
                <w:szCs w:val="16"/>
              </w:rPr>
              <w:t xml:space="preserve"> и CO</w:t>
            </w:r>
            <w:r w:rsidRPr="00E1048B">
              <w:rPr>
                <w:color w:val="000000"/>
                <w:sz w:val="16"/>
                <w:szCs w:val="16"/>
                <w:vertAlign w:val="subscript"/>
              </w:rPr>
              <w:t>2</w:t>
            </w:r>
          </w:p>
        </w:tc>
        <w:tc>
          <w:tcPr>
            <w:tcW w:w="1144" w:type="dxa"/>
            <w:tcMar>
              <w:left w:w="108" w:type="dxa"/>
              <w:right w:w="108" w:type="dxa"/>
            </w:tcMar>
            <w:vAlign w:val="center"/>
          </w:tcPr>
          <w:p w14:paraId="6E9A224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tcMar>
              <w:left w:w="108" w:type="dxa"/>
              <w:right w:w="108" w:type="dxa"/>
            </w:tcMar>
            <w:vAlign w:val="center"/>
          </w:tcPr>
          <w:p w14:paraId="2A20F02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4CAAE32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52D97C8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7C8C133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24C96D8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5E7BEAB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52E89FC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4145CC8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2DC495A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69AE51D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6D26E14E" w14:textId="77777777" w:rsidTr="003879C6">
        <w:trPr>
          <w:trHeight w:val="300"/>
          <w:jc w:val="right"/>
        </w:trPr>
        <w:tc>
          <w:tcPr>
            <w:tcW w:w="1669" w:type="dxa"/>
            <w:tcMar>
              <w:left w:w="108" w:type="dxa"/>
              <w:right w:w="108" w:type="dxa"/>
            </w:tcMar>
            <w:vAlign w:val="center"/>
          </w:tcPr>
          <w:p w14:paraId="376A20B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proofErr w:type="spellStart"/>
            <w:r w:rsidRPr="00E1048B">
              <w:rPr>
                <w:color w:val="000000"/>
                <w:sz w:val="16"/>
                <w:szCs w:val="16"/>
              </w:rPr>
              <w:t>Газофазное</w:t>
            </w:r>
            <w:proofErr w:type="spellEnd"/>
            <w:r w:rsidRPr="00E1048B">
              <w:rPr>
                <w:color w:val="000000"/>
                <w:sz w:val="16"/>
                <w:szCs w:val="16"/>
              </w:rPr>
              <w:t xml:space="preserve"> каталитическое </w:t>
            </w:r>
            <w:proofErr w:type="spellStart"/>
            <w:r w:rsidRPr="00E1048B">
              <w:rPr>
                <w:color w:val="000000"/>
                <w:sz w:val="16"/>
                <w:szCs w:val="16"/>
              </w:rPr>
              <w:t>дегалогенирование</w:t>
            </w:r>
            <w:proofErr w:type="spellEnd"/>
          </w:p>
        </w:tc>
        <w:tc>
          <w:tcPr>
            <w:tcW w:w="1144" w:type="dxa"/>
            <w:tcMar>
              <w:left w:w="108" w:type="dxa"/>
              <w:right w:w="108" w:type="dxa"/>
            </w:tcMar>
            <w:vAlign w:val="center"/>
          </w:tcPr>
          <w:p w14:paraId="7D76AC8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4CC4B36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3122FE2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267C536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0A97F28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023FFEA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6C19562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230B48A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02EEEC7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22F3254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64E981D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3BB24EA8" w14:textId="77777777" w:rsidTr="003879C6">
        <w:trPr>
          <w:trHeight w:val="300"/>
          <w:jc w:val="right"/>
        </w:trPr>
        <w:tc>
          <w:tcPr>
            <w:tcW w:w="1669" w:type="dxa"/>
            <w:tcMar>
              <w:left w:w="108" w:type="dxa"/>
              <w:right w:w="108" w:type="dxa"/>
            </w:tcMar>
            <w:vAlign w:val="center"/>
          </w:tcPr>
          <w:p w14:paraId="079E632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Реактор с перегретым паром</w:t>
            </w:r>
          </w:p>
        </w:tc>
        <w:tc>
          <w:tcPr>
            <w:tcW w:w="1144" w:type="dxa"/>
            <w:tcMar>
              <w:left w:w="108" w:type="dxa"/>
              <w:right w:w="108" w:type="dxa"/>
            </w:tcMar>
            <w:vAlign w:val="center"/>
          </w:tcPr>
          <w:p w14:paraId="624D8AC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shd w:val="clear" w:color="auto" w:fill="FAE2D5" w:themeFill="accent2" w:themeFillTint="33"/>
            <w:tcMar>
              <w:left w:w="108" w:type="dxa"/>
              <w:right w:w="108" w:type="dxa"/>
            </w:tcMar>
            <w:vAlign w:val="center"/>
          </w:tcPr>
          <w:p w14:paraId="53D1F16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3827A31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63A9521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71BE61C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2FB98541"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7B39DB9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Mar>
              <w:left w:w="108" w:type="dxa"/>
              <w:right w:w="108" w:type="dxa"/>
            </w:tcMar>
            <w:vAlign w:val="center"/>
          </w:tcPr>
          <w:p w14:paraId="75A9120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72268EE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025" w:type="dxa"/>
            <w:tcMar>
              <w:left w:w="108" w:type="dxa"/>
              <w:right w:w="108" w:type="dxa"/>
            </w:tcMar>
            <w:vAlign w:val="center"/>
          </w:tcPr>
          <w:p w14:paraId="4C4542C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1820C1A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265DDE8A" w14:textId="77777777" w:rsidTr="003879C6">
        <w:trPr>
          <w:trHeight w:val="300"/>
          <w:jc w:val="right"/>
        </w:trPr>
        <w:tc>
          <w:tcPr>
            <w:tcW w:w="1669" w:type="dxa"/>
            <w:tcMar>
              <w:left w:w="108" w:type="dxa"/>
              <w:right w:w="108" w:type="dxa"/>
            </w:tcMar>
            <w:vAlign w:val="center"/>
          </w:tcPr>
          <w:p w14:paraId="428049D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Термическая реакция с метаном</w:t>
            </w:r>
          </w:p>
        </w:tc>
        <w:tc>
          <w:tcPr>
            <w:tcW w:w="1144" w:type="dxa"/>
            <w:tcMar>
              <w:left w:w="108" w:type="dxa"/>
              <w:right w:w="108" w:type="dxa"/>
            </w:tcMar>
            <w:vAlign w:val="center"/>
          </w:tcPr>
          <w:p w14:paraId="4E9D898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44" w:type="dxa"/>
            <w:tcMar>
              <w:left w:w="108" w:type="dxa"/>
              <w:right w:w="108" w:type="dxa"/>
            </w:tcMar>
            <w:vAlign w:val="center"/>
          </w:tcPr>
          <w:p w14:paraId="0CB20ABD"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2552B07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366" w:type="dxa"/>
            <w:tcMar>
              <w:left w:w="108" w:type="dxa"/>
              <w:right w:w="108" w:type="dxa"/>
            </w:tcMar>
            <w:vAlign w:val="center"/>
          </w:tcPr>
          <w:p w14:paraId="70482A07"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216" w:type="dxa"/>
            <w:tcMar>
              <w:left w:w="108" w:type="dxa"/>
              <w:right w:w="108" w:type="dxa"/>
            </w:tcMar>
            <w:vAlign w:val="center"/>
          </w:tcPr>
          <w:p w14:paraId="1B815138"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Mar>
              <w:left w:w="108" w:type="dxa"/>
              <w:right w:w="108" w:type="dxa"/>
            </w:tcMar>
            <w:vAlign w:val="center"/>
          </w:tcPr>
          <w:p w14:paraId="4B15A2CA"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shd w:val="clear" w:color="auto" w:fill="FAE2D5" w:themeFill="accent2" w:themeFillTint="33"/>
            <w:tcMar>
              <w:left w:w="108" w:type="dxa"/>
              <w:right w:w="108" w:type="dxa"/>
            </w:tcMar>
            <w:vAlign w:val="center"/>
          </w:tcPr>
          <w:p w14:paraId="18130A3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2D7C5406"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shd w:val="clear" w:color="auto" w:fill="FAE2D5" w:themeFill="accent2" w:themeFillTint="33"/>
            <w:tcMar>
              <w:left w:w="108" w:type="dxa"/>
              <w:right w:w="108" w:type="dxa"/>
            </w:tcMar>
            <w:vAlign w:val="center"/>
          </w:tcPr>
          <w:p w14:paraId="15B034D0"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Mar>
              <w:left w:w="108" w:type="dxa"/>
              <w:right w:w="108" w:type="dxa"/>
            </w:tcMar>
            <w:vAlign w:val="center"/>
          </w:tcPr>
          <w:p w14:paraId="23E6BFB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Mar>
              <w:left w:w="108" w:type="dxa"/>
              <w:right w:w="108" w:type="dxa"/>
            </w:tcMar>
            <w:vAlign w:val="center"/>
          </w:tcPr>
          <w:p w14:paraId="6656ADFE"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r w:rsidR="0064468C" w:rsidRPr="00E1048B" w14:paraId="4883F7CB" w14:textId="77777777" w:rsidTr="003879C6">
        <w:trPr>
          <w:trHeight w:val="458"/>
          <w:jc w:val="right"/>
        </w:trPr>
        <w:tc>
          <w:tcPr>
            <w:tcW w:w="1669" w:type="dxa"/>
            <w:tcBorders>
              <w:bottom w:val="single" w:sz="12" w:space="0" w:color="auto"/>
            </w:tcBorders>
            <w:tcMar>
              <w:left w:w="108" w:type="dxa"/>
              <w:right w:w="108" w:type="dxa"/>
            </w:tcMar>
            <w:vAlign w:val="center"/>
          </w:tcPr>
          <w:p w14:paraId="7A2F11D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Термический распад бромистого метила</w:t>
            </w:r>
          </w:p>
        </w:tc>
        <w:tc>
          <w:tcPr>
            <w:tcW w:w="1144" w:type="dxa"/>
            <w:tcBorders>
              <w:bottom w:val="single" w:sz="12" w:space="0" w:color="auto"/>
            </w:tcBorders>
            <w:shd w:val="clear" w:color="auto" w:fill="FAE2D5"/>
            <w:tcMar>
              <w:left w:w="108" w:type="dxa"/>
              <w:right w:w="108" w:type="dxa"/>
            </w:tcMar>
            <w:vAlign w:val="center"/>
          </w:tcPr>
          <w:p w14:paraId="7ACD8B9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44" w:type="dxa"/>
            <w:tcBorders>
              <w:bottom w:val="single" w:sz="12" w:space="0" w:color="auto"/>
            </w:tcBorders>
            <w:shd w:val="clear" w:color="auto" w:fill="FAE2D5"/>
            <w:tcMar>
              <w:left w:w="108" w:type="dxa"/>
              <w:right w:w="108" w:type="dxa"/>
            </w:tcMar>
            <w:vAlign w:val="center"/>
          </w:tcPr>
          <w:p w14:paraId="3A725D74"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Borders>
              <w:bottom w:val="single" w:sz="12" w:space="0" w:color="auto"/>
            </w:tcBorders>
            <w:shd w:val="clear" w:color="auto" w:fill="FAE2D5"/>
            <w:tcMar>
              <w:left w:w="108" w:type="dxa"/>
              <w:right w:w="108" w:type="dxa"/>
            </w:tcMar>
            <w:vAlign w:val="center"/>
          </w:tcPr>
          <w:p w14:paraId="50780D5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366" w:type="dxa"/>
            <w:tcBorders>
              <w:bottom w:val="single" w:sz="12" w:space="0" w:color="auto"/>
            </w:tcBorders>
            <w:shd w:val="clear" w:color="auto" w:fill="FAE2D5"/>
            <w:tcMar>
              <w:left w:w="108" w:type="dxa"/>
              <w:right w:w="108" w:type="dxa"/>
            </w:tcMar>
            <w:vAlign w:val="center"/>
          </w:tcPr>
          <w:p w14:paraId="28A5D45F"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216" w:type="dxa"/>
            <w:tcBorders>
              <w:bottom w:val="single" w:sz="12" w:space="0" w:color="auto"/>
            </w:tcBorders>
            <w:shd w:val="clear" w:color="auto" w:fill="FAE2D5"/>
            <w:tcMar>
              <w:left w:w="108" w:type="dxa"/>
              <w:right w:w="108" w:type="dxa"/>
            </w:tcMar>
            <w:vAlign w:val="center"/>
          </w:tcPr>
          <w:p w14:paraId="7CD118B3"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Borders>
              <w:bottom w:val="single" w:sz="12" w:space="0" w:color="auto"/>
            </w:tcBorders>
            <w:shd w:val="clear" w:color="auto" w:fill="FAE2D5"/>
            <w:tcMar>
              <w:left w:w="108" w:type="dxa"/>
              <w:right w:w="108" w:type="dxa"/>
            </w:tcMar>
            <w:vAlign w:val="center"/>
          </w:tcPr>
          <w:p w14:paraId="7CAD833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Borders>
              <w:bottom w:val="single" w:sz="12" w:space="0" w:color="auto"/>
            </w:tcBorders>
            <w:tcMar>
              <w:left w:w="108" w:type="dxa"/>
              <w:right w:w="108" w:type="dxa"/>
            </w:tcMar>
            <w:vAlign w:val="center"/>
          </w:tcPr>
          <w:p w14:paraId="278F95F2"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Утверждена</w:t>
            </w:r>
          </w:p>
        </w:tc>
        <w:tc>
          <w:tcPr>
            <w:tcW w:w="1168" w:type="dxa"/>
            <w:tcBorders>
              <w:bottom w:val="single" w:sz="12" w:space="0" w:color="auto"/>
            </w:tcBorders>
            <w:shd w:val="clear" w:color="auto" w:fill="FAE2D5" w:themeFill="accent2" w:themeFillTint="33"/>
            <w:tcMar>
              <w:left w:w="108" w:type="dxa"/>
              <w:right w:w="108" w:type="dxa"/>
            </w:tcMar>
            <w:vAlign w:val="center"/>
          </w:tcPr>
          <w:p w14:paraId="4A782AF9"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168" w:type="dxa"/>
            <w:tcBorders>
              <w:bottom w:val="single" w:sz="12" w:space="0" w:color="auto"/>
            </w:tcBorders>
            <w:shd w:val="clear" w:color="auto" w:fill="FAE2D5" w:themeFill="accent2" w:themeFillTint="33"/>
            <w:tcMar>
              <w:left w:w="108" w:type="dxa"/>
              <w:right w:w="108" w:type="dxa"/>
            </w:tcMar>
            <w:vAlign w:val="center"/>
          </w:tcPr>
          <w:p w14:paraId="7F1565EC"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Не определена</w:t>
            </w:r>
          </w:p>
        </w:tc>
        <w:tc>
          <w:tcPr>
            <w:tcW w:w="1025" w:type="dxa"/>
            <w:tcBorders>
              <w:bottom w:val="single" w:sz="12" w:space="0" w:color="auto"/>
            </w:tcBorders>
            <w:tcMar>
              <w:left w:w="108" w:type="dxa"/>
              <w:right w:w="108" w:type="dxa"/>
            </w:tcMar>
            <w:vAlign w:val="center"/>
          </w:tcPr>
          <w:p w14:paraId="72F41C45"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c>
          <w:tcPr>
            <w:tcW w:w="1025" w:type="dxa"/>
            <w:tcBorders>
              <w:bottom w:val="single" w:sz="12" w:space="0" w:color="auto"/>
            </w:tcBorders>
            <w:tcMar>
              <w:left w:w="108" w:type="dxa"/>
              <w:right w:w="108" w:type="dxa"/>
            </w:tcMar>
            <w:vAlign w:val="center"/>
          </w:tcPr>
          <w:p w14:paraId="19ED87EB" w14:textId="77777777" w:rsidR="0064468C" w:rsidRPr="00E1048B" w:rsidRDefault="0064468C" w:rsidP="003879C6">
            <w:pPr>
              <w:tabs>
                <w:tab w:val="clear" w:pos="1247"/>
                <w:tab w:val="clear" w:pos="1814"/>
                <w:tab w:val="clear" w:pos="2381"/>
                <w:tab w:val="clear" w:pos="2948"/>
                <w:tab w:val="clear" w:pos="3515"/>
              </w:tabs>
              <w:spacing w:before="40" w:after="40"/>
              <w:rPr>
                <w:sz w:val="16"/>
                <w:szCs w:val="16"/>
              </w:rPr>
            </w:pPr>
            <w:r w:rsidRPr="00E1048B">
              <w:rPr>
                <w:color w:val="000000"/>
                <w:sz w:val="16"/>
                <w:szCs w:val="16"/>
              </w:rPr>
              <w:t xml:space="preserve"> </w:t>
            </w:r>
          </w:p>
        </w:tc>
      </w:tr>
    </w:tbl>
    <w:p w14:paraId="09C61425" w14:textId="77777777" w:rsidR="0064468C" w:rsidRPr="00E1048B" w:rsidRDefault="0064468C">
      <w:pPr>
        <w:tabs>
          <w:tab w:val="clear" w:pos="1814"/>
          <w:tab w:val="clear" w:pos="2381"/>
          <w:tab w:val="clear" w:pos="2948"/>
          <w:tab w:val="clear" w:pos="3515"/>
          <w:tab w:val="left" w:pos="624"/>
          <w:tab w:val="left" w:pos="1871"/>
          <w:tab w:val="left" w:pos="2495"/>
          <w:tab w:val="left" w:pos="3119"/>
          <w:tab w:val="left" w:pos="3742"/>
          <w:tab w:val="left" w:pos="4366"/>
          <w:tab w:val="left" w:pos="4990"/>
        </w:tabs>
        <w:sectPr w:rsidR="0064468C" w:rsidRPr="00E1048B" w:rsidSect="0064468C">
          <w:pgSz w:w="16838" w:h="11906" w:orient="landscape" w:code="9"/>
          <w:pgMar w:top="907" w:right="992" w:bottom="1418" w:left="1418" w:header="539" w:footer="975" w:gutter="0"/>
          <w:cols w:space="708"/>
          <w:docGrid w:linePitch="360"/>
        </w:sectPr>
      </w:pPr>
    </w:p>
    <w:p w14:paraId="0EFF8A6A" w14:textId="19FC0540" w:rsidR="0064468C" w:rsidRPr="00E1048B" w:rsidRDefault="003879C6" w:rsidP="003879C6">
      <w:pPr>
        <w:pStyle w:val="CH1"/>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lastRenderedPageBreak/>
        <w:tab/>
      </w:r>
      <w:r w:rsidR="0064468C" w:rsidRPr="00E1048B">
        <w:rPr>
          <w:bCs/>
          <w:lang w:val="ru-RU"/>
        </w:rPr>
        <w:t>II.</w:t>
      </w:r>
      <w:r w:rsidR="0064468C" w:rsidRPr="00E1048B">
        <w:rPr>
          <w:lang w:val="ru-RU"/>
        </w:rPr>
        <w:tab/>
      </w:r>
      <w:r w:rsidR="0064468C" w:rsidRPr="00E1048B">
        <w:rPr>
          <w:bCs/>
          <w:lang w:val="ru-RU"/>
        </w:rPr>
        <w:t>Проекты решений, рассмотренные Рабочей группой открытого состава на ее сорок восьмом совещании и препровожденные для рассмотрения тридцать восьмым Совещанием Сторон</w:t>
      </w:r>
    </w:p>
    <w:p w14:paraId="7C6DB61B" w14:textId="63C059B7" w:rsidR="0064468C" w:rsidRPr="00E1048B" w:rsidRDefault="003879C6" w:rsidP="003879C6">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64468C" w:rsidRPr="00E1048B">
        <w:rPr>
          <w:bCs/>
          <w:lang w:val="ru-RU"/>
        </w:rPr>
        <w:t>A.</w:t>
      </w:r>
      <w:r w:rsidR="0064468C" w:rsidRPr="00E1048B">
        <w:rPr>
          <w:lang w:val="ru-RU"/>
        </w:rPr>
        <w:tab/>
      </w:r>
      <w:r w:rsidR="0064468C" w:rsidRPr="00E1048B">
        <w:rPr>
          <w:bCs/>
          <w:lang w:val="ru-RU"/>
        </w:rPr>
        <w:t>Укрепление функционирования Монреальского протокола</w:t>
      </w:r>
    </w:p>
    <w:p w14:paraId="17F03374" w14:textId="01A96ECB" w:rsidR="0064468C" w:rsidRPr="00E1048B" w:rsidRDefault="0064468C" w:rsidP="00DF659D">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right="340" w:firstLine="0"/>
        <w:rPr>
          <w:lang w:val="ru-RU"/>
        </w:rPr>
      </w:pPr>
      <w:r w:rsidRPr="00E1048B">
        <w:rPr>
          <w:bCs/>
          <w:lang w:val="ru-RU"/>
        </w:rPr>
        <w:t>Представлен Камеруном от имени Группы африканских государств</w:t>
      </w:r>
    </w:p>
    <w:p w14:paraId="74F2B68A" w14:textId="77777777" w:rsidR="0064468C" w:rsidRPr="00E1048B" w:rsidRDefault="0064468C" w:rsidP="00DF659D">
      <w:pPr>
        <w:tabs>
          <w:tab w:val="clear" w:pos="1247"/>
          <w:tab w:val="clear" w:pos="1814"/>
          <w:tab w:val="clear" w:pos="2381"/>
          <w:tab w:val="clear" w:pos="2948"/>
          <w:tab w:val="clear" w:pos="3515"/>
        </w:tabs>
        <w:spacing w:after="120"/>
        <w:ind w:left="1247" w:firstLine="624"/>
        <w:rPr>
          <w:i/>
          <w:iCs/>
        </w:rPr>
      </w:pPr>
      <w:r w:rsidRPr="00E1048B">
        <w:tab/>
      </w:r>
      <w:r w:rsidRPr="00E1048B">
        <w:rPr>
          <w:i/>
          <w:iCs/>
        </w:rPr>
        <w:t>Тридцать восьмое Совещание Сторон,</w:t>
      </w:r>
    </w:p>
    <w:p w14:paraId="1E51BE53" w14:textId="77777777" w:rsidR="0064468C" w:rsidRPr="00E1048B" w:rsidRDefault="0064468C" w:rsidP="00DF659D">
      <w:pPr>
        <w:tabs>
          <w:tab w:val="clear" w:pos="1247"/>
          <w:tab w:val="clear" w:pos="1814"/>
          <w:tab w:val="clear" w:pos="2381"/>
          <w:tab w:val="clear" w:pos="2948"/>
          <w:tab w:val="clear" w:pos="3515"/>
        </w:tabs>
        <w:spacing w:after="120"/>
        <w:ind w:left="1247" w:firstLine="624"/>
        <w:rPr>
          <w:b/>
          <w:bCs/>
        </w:rPr>
      </w:pPr>
      <w:r w:rsidRPr="00E1048B">
        <w:rPr>
          <w:i/>
          <w:iCs/>
        </w:rPr>
        <w:t>ссылаясь</w:t>
      </w:r>
      <w:r w:rsidRPr="00E1048B">
        <w:t xml:space="preserve"> на решения XIV/7, XXXI/3, XXXIV/8, XXXV/12 и XXXVI/9,</w:t>
      </w:r>
    </w:p>
    <w:p w14:paraId="40FF4919" w14:textId="7A0A9E32" w:rsidR="0064468C" w:rsidRPr="00E1048B" w:rsidRDefault="0064468C" w:rsidP="00DF659D">
      <w:pPr>
        <w:tabs>
          <w:tab w:val="clear" w:pos="1247"/>
          <w:tab w:val="clear" w:pos="1814"/>
          <w:tab w:val="clear" w:pos="2381"/>
          <w:tab w:val="clear" w:pos="2948"/>
          <w:tab w:val="clear" w:pos="3515"/>
        </w:tabs>
        <w:spacing w:after="120"/>
        <w:ind w:left="1247" w:firstLine="624"/>
      </w:pPr>
      <w:r w:rsidRPr="00E1048B">
        <w:rPr>
          <w:i/>
          <w:iCs/>
          <w:szCs w:val="18"/>
        </w:rPr>
        <w:t>принимая во внимание</w:t>
      </w:r>
      <w:r w:rsidRPr="00E1048B">
        <w:rPr>
          <w:szCs w:val="18"/>
        </w:rPr>
        <w:t xml:space="preserve"> однодневное неофициальное совещание по вопросам содействия осуществлению Монреальского протокола по веществам, разрушающим озоновый слой, которое состоялось совместно с тридцать седьмым Совещанием Сторон, и ссылаясь на записку секретариата по озону об итогах этого неофициального совещания</w:t>
      </w:r>
      <w:r w:rsidR="0072621D" w:rsidRPr="0072621D">
        <w:rPr>
          <w:rStyle w:val="FootnoteReference"/>
          <w:lang w:val="ru-RU"/>
        </w:rPr>
        <w:footnoteReference w:customMarkFollows="1" w:id="6"/>
        <w:t>2</w:t>
      </w:r>
      <w:r w:rsidRPr="00E1048B">
        <w:rPr>
          <w:szCs w:val="18"/>
        </w:rPr>
        <w:t>,</w:t>
      </w:r>
    </w:p>
    <w:p w14:paraId="1CA420D9" w14:textId="77777777" w:rsidR="0064468C" w:rsidRPr="00E1048B" w:rsidRDefault="0064468C" w:rsidP="00DF659D">
      <w:pPr>
        <w:tabs>
          <w:tab w:val="clear" w:pos="1247"/>
          <w:tab w:val="clear" w:pos="1814"/>
          <w:tab w:val="clear" w:pos="2381"/>
          <w:tab w:val="clear" w:pos="2948"/>
          <w:tab w:val="clear" w:pos="3515"/>
        </w:tabs>
        <w:spacing w:after="120"/>
        <w:ind w:left="1871"/>
        <w:rPr>
          <w:b/>
          <w:bCs/>
          <w:i/>
          <w:iCs/>
        </w:rPr>
      </w:pPr>
      <w:r w:rsidRPr="00E1048B">
        <w:rPr>
          <w:i/>
          <w:iCs/>
        </w:rPr>
        <w:t>постановляет:</w:t>
      </w:r>
    </w:p>
    <w:p w14:paraId="5F8CD35C" w14:textId="77777777" w:rsidR="0064468C" w:rsidRPr="00E1048B" w:rsidRDefault="0064468C" w:rsidP="00DF659D">
      <w:pPr>
        <w:numPr>
          <w:ilvl w:val="0"/>
          <w:numId w:val="19"/>
        </w:numPr>
        <w:tabs>
          <w:tab w:val="clear" w:pos="1247"/>
          <w:tab w:val="clear" w:pos="1814"/>
          <w:tab w:val="clear" w:pos="2381"/>
          <w:tab w:val="clear" w:pos="2948"/>
          <w:tab w:val="clear" w:pos="3515"/>
        </w:tabs>
        <w:spacing w:after="120"/>
        <w:ind w:left="1247" w:firstLine="624"/>
      </w:pPr>
      <w:r w:rsidRPr="00E1048B">
        <w:rPr>
          <w:i/>
          <w:iCs/>
        </w:rPr>
        <w:t>поручить</w:t>
      </w:r>
      <w:r w:rsidRPr="00E1048B">
        <w:t xml:space="preserve"> секретариату по озону подготовить доклад об имеющихся инструментах, которые могут быть применены для улучшения отслеживания и мониторинга регулируемых веществ на всех этапах производственно-сбытовой деятельности, в том числе на площадках и платформах электронной торговли, для рассмотрения на сорок девятом совещании Рабочей группы открытого состава;</w:t>
      </w:r>
    </w:p>
    <w:p w14:paraId="389568E8" w14:textId="77777777" w:rsidR="0064468C" w:rsidRPr="00E1048B" w:rsidRDefault="0064468C" w:rsidP="00DF659D">
      <w:pPr>
        <w:numPr>
          <w:ilvl w:val="0"/>
          <w:numId w:val="19"/>
        </w:numPr>
        <w:tabs>
          <w:tab w:val="clear" w:pos="1247"/>
          <w:tab w:val="clear" w:pos="1814"/>
          <w:tab w:val="clear" w:pos="2381"/>
          <w:tab w:val="clear" w:pos="2948"/>
          <w:tab w:val="clear" w:pos="3515"/>
        </w:tabs>
        <w:spacing w:after="120"/>
        <w:ind w:left="1247" w:firstLine="624"/>
      </w:pPr>
      <w:r w:rsidRPr="00E1048B">
        <w:rPr>
          <w:i/>
          <w:iCs/>
        </w:rPr>
        <w:t xml:space="preserve">поручить также </w:t>
      </w:r>
      <w:r w:rsidRPr="00E1048B">
        <w:t>секретариату по озону разработать типовые регламенты в целях обеспечения согласованного подхода к выявлению незаконной торговли, рассмотрению дел, управлению конфискованным имуществом, представлению сведений и применению санкций для рассмотрения тридцать девятым Совещанием Сторон;</w:t>
      </w:r>
    </w:p>
    <w:p w14:paraId="56E6691E" w14:textId="47D682C1" w:rsidR="0064468C" w:rsidRPr="00E1048B" w:rsidRDefault="0064468C" w:rsidP="00DF659D">
      <w:pPr>
        <w:numPr>
          <w:ilvl w:val="0"/>
          <w:numId w:val="19"/>
        </w:numPr>
        <w:tabs>
          <w:tab w:val="clear" w:pos="1247"/>
          <w:tab w:val="clear" w:pos="1814"/>
          <w:tab w:val="clear" w:pos="2381"/>
          <w:tab w:val="clear" w:pos="2948"/>
          <w:tab w:val="clear" w:pos="3515"/>
        </w:tabs>
        <w:spacing w:after="120"/>
        <w:ind w:left="1247" w:firstLine="624"/>
      </w:pPr>
      <w:r w:rsidRPr="00E1048B">
        <w:rPr>
          <w:i/>
          <w:iCs/>
          <w:szCs w:val="18"/>
        </w:rPr>
        <w:t>поручить далее</w:t>
      </w:r>
      <w:r w:rsidRPr="00E1048B">
        <w:rPr>
          <w:szCs w:val="18"/>
        </w:rPr>
        <w:t xml:space="preserve"> секретариату по озону подготовить контрольный перечень, определяющий основные характеристики эффективных систем лицензирования, с учетом статьи 4B Монреальского протокола и соответствующих решений и докладов, включая краткое изложение информации</w:t>
      </w:r>
      <w:r w:rsidR="0072621D" w:rsidRPr="0072621D">
        <w:rPr>
          <w:rStyle w:val="FootnoteReference"/>
          <w:lang w:val="ru-RU"/>
        </w:rPr>
        <w:footnoteReference w:customMarkFollows="1" w:id="7"/>
        <w:t>3</w:t>
      </w:r>
      <w:r w:rsidR="002244EF">
        <w:rPr>
          <w:szCs w:val="18"/>
        </w:rPr>
        <w:t xml:space="preserve"> </w:t>
      </w:r>
      <w:r w:rsidRPr="00E1048B">
        <w:rPr>
          <w:szCs w:val="18"/>
        </w:rPr>
        <w:t>об общих характеристиках систем лицензирования, подготовленное во исполнение пункта 1 решения XXXVI/9, для рассмотрения тридцать девятым Совещанием Сторон;</w:t>
      </w:r>
    </w:p>
    <w:p w14:paraId="605B7FC2" w14:textId="77777777" w:rsidR="0064468C" w:rsidRPr="00E1048B" w:rsidRDefault="0064468C" w:rsidP="00DF659D">
      <w:pPr>
        <w:numPr>
          <w:ilvl w:val="0"/>
          <w:numId w:val="19"/>
        </w:numPr>
        <w:tabs>
          <w:tab w:val="clear" w:pos="1247"/>
          <w:tab w:val="clear" w:pos="1814"/>
          <w:tab w:val="clear" w:pos="2381"/>
          <w:tab w:val="clear" w:pos="2948"/>
          <w:tab w:val="clear" w:pos="3515"/>
        </w:tabs>
        <w:spacing w:after="120"/>
        <w:ind w:left="1247" w:firstLine="624"/>
      </w:pPr>
      <w:r w:rsidRPr="00E1048B">
        <w:rPr>
          <w:i/>
          <w:iCs/>
        </w:rPr>
        <w:t xml:space="preserve">поручить </w:t>
      </w:r>
      <w:r w:rsidRPr="00E1048B">
        <w:t>секретариату по озону изучить возможность и стоимость разработки программного обеспечения для лицензирования с открытым исходным кодом, которое может быть интегрировано в таможенные системы и системы «единого окна», для рассмотрения тридцать девятым Совещанием Сторон;</w:t>
      </w:r>
    </w:p>
    <w:p w14:paraId="314129D7" w14:textId="6DB7FBEE" w:rsidR="0064468C" w:rsidRPr="00E1048B" w:rsidRDefault="0064468C" w:rsidP="00DF659D">
      <w:pPr>
        <w:numPr>
          <w:ilvl w:val="0"/>
          <w:numId w:val="19"/>
        </w:numPr>
        <w:tabs>
          <w:tab w:val="clear" w:pos="1247"/>
          <w:tab w:val="clear" w:pos="1814"/>
          <w:tab w:val="clear" w:pos="2381"/>
          <w:tab w:val="clear" w:pos="2948"/>
          <w:tab w:val="clear" w:pos="3515"/>
        </w:tabs>
        <w:spacing w:after="120"/>
        <w:ind w:left="1247" w:firstLine="624"/>
      </w:pPr>
      <w:r w:rsidRPr="00E1048B">
        <w:rPr>
          <w:i/>
          <w:iCs/>
        </w:rPr>
        <w:t>поручить</w:t>
      </w:r>
      <w:r w:rsidRPr="00E1048B">
        <w:t xml:space="preserve"> Исполнительному комитету Многостороннего фонда для осуществления Монреальского протокола, в консультации с национальными должностными лицами по озону и Программой содействия соблюдению, а также, при необходимости, со Всемирной таможенной организацией, оценить дополнительные потребности в области подготовки кадров и создания потенциала в Сторонах, действующих в соответствии с пунктом</w:t>
      </w:r>
      <w:r w:rsidR="00235FB7">
        <w:t> </w:t>
      </w:r>
      <w:r w:rsidRPr="00E1048B">
        <w:t>1 статьи 5 Монреальского протокола, в отношении незаконной торговли, систем лицензирования и представления данных, для рассмотрения на сорок девятом совещании Рабочей группы открытого состава.</w:t>
      </w:r>
    </w:p>
    <w:p w14:paraId="2BEEFA51" w14:textId="2DED7BE0" w:rsidR="0064468C" w:rsidRPr="00E1048B" w:rsidRDefault="003879C6" w:rsidP="003879C6">
      <w:pPr>
        <w:pStyle w:val="CH2"/>
        <w:keepNext w:val="0"/>
        <w:keepLines w:val="0"/>
        <w:tabs>
          <w:tab w:val="clear" w:pos="1247"/>
          <w:tab w:val="clear" w:pos="1871"/>
          <w:tab w:val="clear" w:pos="2495"/>
          <w:tab w:val="clear" w:pos="3119"/>
          <w:tab w:val="clear" w:pos="3742"/>
          <w:tab w:val="clear" w:pos="4366"/>
          <w:tab w:val="clear" w:pos="4990"/>
        </w:tabs>
        <w:spacing w:before="0"/>
        <w:rPr>
          <w:lang w:val="ru-RU"/>
        </w:rPr>
      </w:pPr>
      <w:r w:rsidRPr="00E1048B">
        <w:rPr>
          <w:bCs/>
          <w:lang w:val="ru-RU"/>
        </w:rPr>
        <w:tab/>
      </w:r>
      <w:r w:rsidR="0064468C" w:rsidRPr="00E1048B">
        <w:rPr>
          <w:bCs/>
          <w:lang w:val="ru-RU"/>
        </w:rPr>
        <w:t>B.</w:t>
      </w:r>
      <w:r w:rsidR="0064468C" w:rsidRPr="00E1048B">
        <w:rPr>
          <w:lang w:val="ru-RU"/>
        </w:rPr>
        <w:tab/>
      </w:r>
      <w:r w:rsidR="0064468C" w:rsidRPr="00E1048B">
        <w:rPr>
          <w:bCs/>
          <w:lang w:val="ru-RU"/>
        </w:rPr>
        <w:t>Укрепление систем лицензирования и представления данных для предотвращения незаконной торговли</w:t>
      </w:r>
    </w:p>
    <w:p w14:paraId="0A05CDC5" w14:textId="62FDC90D" w:rsidR="0064468C" w:rsidRPr="00E1048B" w:rsidRDefault="0064468C" w:rsidP="003879C6">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right="284" w:firstLine="0"/>
        <w:rPr>
          <w:lang w:val="ru-RU"/>
        </w:rPr>
      </w:pPr>
      <w:r w:rsidRPr="00E1048B">
        <w:rPr>
          <w:lang w:val="ru-RU"/>
        </w:rPr>
        <w:tab/>
      </w:r>
      <w:r w:rsidRPr="00E1048B">
        <w:rPr>
          <w:bCs/>
          <w:lang w:val="ru-RU"/>
        </w:rPr>
        <w:t>Представлен Австралией, Европейским союзом, Канадой, Норвегией и Швейцарией</w:t>
      </w:r>
    </w:p>
    <w:p w14:paraId="1BB3B7F7" w14:textId="77777777" w:rsidR="0064468C" w:rsidRPr="00E1048B" w:rsidRDefault="0064468C" w:rsidP="007C6F75">
      <w:pPr>
        <w:tabs>
          <w:tab w:val="clear" w:pos="1247"/>
          <w:tab w:val="clear" w:pos="1814"/>
          <w:tab w:val="clear" w:pos="2381"/>
          <w:tab w:val="clear" w:pos="2948"/>
          <w:tab w:val="clear" w:pos="3515"/>
        </w:tabs>
        <w:spacing w:after="120"/>
        <w:ind w:left="1247" w:firstLine="624"/>
        <w:rPr>
          <w:i/>
          <w:iCs/>
        </w:rPr>
      </w:pPr>
      <w:r w:rsidRPr="00E1048B">
        <w:rPr>
          <w:i/>
          <w:iCs/>
        </w:rPr>
        <w:t>Тридцать восьмое Совещание Сторон,</w:t>
      </w:r>
    </w:p>
    <w:p w14:paraId="58A53773"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ссылаясь</w:t>
      </w:r>
      <w:r w:rsidRPr="00E1048B">
        <w:t xml:space="preserve"> на решения VII/9, IX/8, XIV/7, XVII/16, XIX/12, XXIV/12, XXX/12, XXXI/3, XXXIV/8, XXXV/12 и XXXVI/9,</w:t>
      </w:r>
    </w:p>
    <w:p w14:paraId="554D23DF"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ссылаясь также</w:t>
      </w:r>
      <w:r w:rsidRPr="00E1048B">
        <w:t xml:space="preserve"> на статью 4В Монреальского протокола по веществам, разрушающим озоновый слой, согласно которой требуется создание и внедрение Сторонами системы </w:t>
      </w:r>
      <w:r w:rsidRPr="00E1048B">
        <w:lastRenderedPageBreak/>
        <w:t>лицензирования импорта и экспорта новых, использованных, рециркулированных и утилизованных регулируемых веществ,</w:t>
      </w:r>
    </w:p>
    <w:p w14:paraId="0B660DD6"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 xml:space="preserve">признавая </w:t>
      </w:r>
      <w:r w:rsidRPr="00E1048B">
        <w:t>важность эффективных систем лицензирования импорта и экспорта для предотвращения незаконной торговли регулируемыми веществами и содействия соблюдению Монреальского протокола,</w:t>
      </w:r>
    </w:p>
    <w:p w14:paraId="652D8CD4"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признавая</w:t>
      </w:r>
      <w:r w:rsidRPr="00E1048B">
        <w:t>, что укрепление механизмов проверки и повышение качества и полноты информации об импорте и экспорте регулируемых веществ могут способствовать более эффективному осуществлению и обеспечению соблюдения Монреальского протокола,</w:t>
      </w:r>
    </w:p>
    <w:p w14:paraId="1F8082CD" w14:textId="13E704B1"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принимая к сведению</w:t>
      </w:r>
      <w:r w:rsidRPr="00E1048B">
        <w:t xml:space="preserve"> информацию, подготовленную секретариатом по озону об общих характеристиках систем лицензирования, в частности содержащуюся в документе UNEP</w:t>
      </w:r>
      <w:r w:rsidR="001869EF" w:rsidRPr="00236AE9">
        <w:t>/</w:t>
      </w:r>
      <w:r w:rsidRPr="00E1048B">
        <w:t>OzL.Pro.WG.1/47/4, а также о практике незаконной торговли и подходах, применяемых национальными органами для выявления и пресечения таких случаев, обобщенную в документе UNEP/OzL.Pro.WG.1/47/5 и обновленную в документе UNEP/OzL.Pro.WG.1/48/3,</w:t>
      </w:r>
    </w:p>
    <w:p w14:paraId="2026A786" w14:textId="4AE57D15"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принимая также к сведению</w:t>
      </w:r>
      <w:r w:rsidRPr="00E1048B">
        <w:t xml:space="preserve"> итоги однодневного </w:t>
      </w:r>
      <w:r w:rsidR="009B57E4" w:rsidRPr="00E1048B">
        <w:t>неофициального</w:t>
      </w:r>
      <w:r w:rsidRPr="00E1048B">
        <w:rPr>
          <w:b/>
          <w:bCs/>
        </w:rPr>
        <w:t xml:space="preserve"> </w:t>
      </w:r>
      <w:r w:rsidRPr="00E1048B">
        <w:t xml:space="preserve">резюме итогов совещания по вопросам содействия осуществлению Монреальского протокола, состоявшегося до начала тридцать седьмого Совещания Сторон, а также справочный информационный документ для данного совещания (UNEP/OzL.Pro.WG.1/45/5) и краткое изложение итогов совещания (UNEP/OzL.Pro.37/7), подготовленные секретариатом по озону, </w:t>
      </w:r>
    </w:p>
    <w:p w14:paraId="05F58A3D" w14:textId="332D24DA"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szCs w:val="18"/>
        </w:rPr>
        <w:t xml:space="preserve">принимая далее к сведению </w:t>
      </w:r>
      <w:r w:rsidRPr="00E1048B">
        <w:rPr>
          <w:szCs w:val="18"/>
        </w:rPr>
        <w:t>анализ секретариатом по озону связанных с соблюдением системных вопросов на основе случаев, рассмотренных Комитетом по выполнению в рамках процедуры, касающейся несоблюдения Монреальского протокола, изложенный в приложении</w:t>
      </w:r>
      <w:r w:rsidR="009B57E4" w:rsidRPr="00E1048B">
        <w:rPr>
          <w:szCs w:val="18"/>
        </w:rPr>
        <w:t> </w:t>
      </w:r>
      <w:r w:rsidRPr="00E1048B">
        <w:rPr>
          <w:szCs w:val="18"/>
        </w:rPr>
        <w:t>II к докладу</w:t>
      </w:r>
      <w:r w:rsidR="0072621D" w:rsidRPr="0072621D">
        <w:rPr>
          <w:rStyle w:val="FootnoteReference"/>
          <w:lang w:val="ru-RU"/>
        </w:rPr>
        <w:footnoteReference w:customMarkFollows="1" w:id="8"/>
        <w:t>4</w:t>
      </w:r>
      <w:r w:rsidRPr="00E1048B">
        <w:rPr>
          <w:szCs w:val="18"/>
        </w:rPr>
        <w:t xml:space="preserve"> о работе семьдесят четвертого совещания Комитета по выполнению,</w:t>
      </w:r>
    </w:p>
    <w:p w14:paraId="37C4EF5F"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напоминая</w:t>
      </w:r>
      <w:r w:rsidRPr="00E1048B">
        <w:t xml:space="preserve">, что в соответствии с решениями VII/9 и XXX/12 Стороны должны сообщать в секретариат по озону о странах назначения экспортируемых ими регулируемых веществ, при этом предоставление информации об источниках импорта является добровольным и многие Стороны этого не делают, </w:t>
      </w:r>
    </w:p>
    <w:p w14:paraId="191FE59B" w14:textId="77777777" w:rsidR="0064468C" w:rsidRPr="00E1048B" w:rsidRDefault="0064468C" w:rsidP="007C6F75">
      <w:pPr>
        <w:tabs>
          <w:tab w:val="clear" w:pos="1247"/>
          <w:tab w:val="clear" w:pos="1814"/>
          <w:tab w:val="clear" w:pos="2381"/>
          <w:tab w:val="clear" w:pos="2948"/>
          <w:tab w:val="clear" w:pos="3515"/>
        </w:tabs>
        <w:spacing w:after="120"/>
        <w:ind w:left="1247" w:firstLine="624"/>
        <w:rPr>
          <w:i/>
          <w:iCs/>
        </w:rPr>
      </w:pPr>
      <w:r w:rsidRPr="00E1048B">
        <w:rPr>
          <w:i/>
          <w:iCs/>
        </w:rPr>
        <w:t>постановляет:</w:t>
      </w:r>
    </w:p>
    <w:p w14:paraId="77B839D5"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rPr>
          <w:color w:val="000000" w:themeColor="text1"/>
        </w:rPr>
      </w:pPr>
      <w:r w:rsidRPr="00E1048B">
        <w:t>поручить секретариату по озону подготовить в информационных целях перечень основных характеристик систем лицензирования, основанный на статье 4B Монреальского протокола и соответствующих решениях Совещания Сторон, касающихся лицензирования;</w:t>
      </w:r>
    </w:p>
    <w:p w14:paraId="718F8801"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 xml:space="preserve">призвать Стороны, которые еще не сделали этого, как можно скорее проинформировать секретариат по озону о том, учитываются ли их системами лицензирования импорта и экспорта, созданными в соответствии со статьей 4B Монреальского протокола, использованные, рециркулированные и утилизованные регулируемые вещества в дополнение к новым регулируемым веществам; </w:t>
      </w:r>
    </w:p>
    <w:p w14:paraId="2A61704C"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призвать Стороны к тому, чтобы в их системах лицензирования импорта и экспорта учитывались, в соответствующих случаях, регулируемые вещества при трансграничной перевозке или реэкспорте с учетом разъяснений в отношении понятий «перегрузка» и «реэкспорт» в решениях IV/14 и IX/34;</w:t>
      </w:r>
    </w:p>
    <w:p w14:paraId="771DD6AB"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просить Стороны обеспечивать, чтобы их системами импорта и лицензирования осуществлялся контроль и точное отслеживание торговли регулируемыми веществами в зонах свободной торговли, и сообщать о любом таком импорте и экспорте в рамках представления сведений в соответствии со статьей 7 Монреальского протокола;</w:t>
      </w:r>
    </w:p>
    <w:p w14:paraId="4EC14DC4"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призвать национальные органы по озону и таможенных сотрудников Сторон рассматривать способы эффективного обмена данными для более тщательного отслеживания и мониторинга импорта регулируемых веществ, включая координацию баз данных;</w:t>
      </w:r>
    </w:p>
    <w:p w14:paraId="68D1248E"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rPr>
          <w:color w:val="000000" w:themeColor="text1"/>
        </w:rPr>
      </w:pPr>
      <w:r w:rsidRPr="00E1048B">
        <w:t>призвать Стороны укреплять методы проверки импорта и экспорта регулируемых веществ, в том числе, где это возможно и целесообразно, путем внедрения автоматизированных систем и стандартизированных процедур, обеспечивающих перекрестную сверку информации, сообщаемой субъектами, с таможенными данными;</w:t>
      </w:r>
    </w:p>
    <w:p w14:paraId="3A7438F2"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rPr>
          <w:color w:val="000000" w:themeColor="text1"/>
        </w:rPr>
      </w:pPr>
      <w:r w:rsidRPr="00E1048B">
        <w:t xml:space="preserve">напомнить Сторонам, действующим в соответствии с пунктом 1 статьи 5 Монреальского протокола, что они могут обращаться за помощью к Программе содействия </w:t>
      </w:r>
      <w:r w:rsidRPr="00E1048B">
        <w:lastRenderedPageBreak/>
        <w:t>соблюдению Программы Организации Объединенных Наций по окружающей среде по вопросам разработки и внедрения своих национальных систем лицензирования;</w:t>
      </w:r>
    </w:p>
    <w:p w14:paraId="17B98232" w14:textId="1F7C8C76"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 xml:space="preserve">просить Стороны указывать при представлении данных в соответствии со статьей 7 источники импорта регулируемых веществ и продолжать представлять сведения о пунктах назначения экспорта таких веществ, с тем чтобы помочь секретариату по озону выявлять расхождения между данными, которые одна Сторона указывает как импорт, </w:t>
      </w:r>
      <w:r w:rsidR="00E542D3" w:rsidRPr="00E1048B">
        <w:br/>
      </w:r>
      <w:r w:rsidRPr="00E1048B">
        <w:t>а другая – как экспорт, и наоборот;</w:t>
      </w:r>
    </w:p>
    <w:p w14:paraId="42C46951" w14:textId="77777777"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призвать Стороны пользоваться онлайновой системой представления сведений для данных, сообщаемых в соответствии со статьей 7;</w:t>
      </w:r>
    </w:p>
    <w:p w14:paraId="04092843" w14:textId="640C8E50"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поручить секретариату по озону предоставлять Сторонам информацию о тех Сторонах, которыми не представлены данные, требуемые в соответствии со статьей 7, до 30</w:t>
      </w:r>
      <w:r w:rsidR="007E60DD" w:rsidRPr="00E1048B">
        <w:t> </w:t>
      </w:r>
      <w:r w:rsidRPr="00E1048B">
        <w:t>сентября каждого года;</w:t>
      </w:r>
    </w:p>
    <w:p w14:paraId="6E5A5207" w14:textId="3495311F" w:rsidR="0064468C" w:rsidRPr="00E1048B" w:rsidRDefault="0064468C" w:rsidP="007C6F75">
      <w:pPr>
        <w:numPr>
          <w:ilvl w:val="0"/>
          <w:numId w:val="20"/>
        </w:numPr>
        <w:tabs>
          <w:tab w:val="clear" w:pos="1247"/>
          <w:tab w:val="clear" w:pos="1814"/>
          <w:tab w:val="clear" w:pos="2381"/>
          <w:tab w:val="clear" w:pos="2948"/>
          <w:tab w:val="clear" w:pos="3515"/>
        </w:tabs>
        <w:spacing w:after="120"/>
        <w:ind w:firstLine="624"/>
      </w:pPr>
      <w:r w:rsidRPr="00E1048B">
        <w:t>поручить также секретариату по озону взаимодействовать с секретариатом Многостороннего фонда для осуществления Монреальского протокола по вопросу о возможных вариантах обеспечения скоординированного подхода к представлению данных</w:t>
      </w:r>
      <w:r w:rsidR="002D723C">
        <w:t xml:space="preserve"> </w:t>
      </w:r>
      <w:r w:rsidRPr="00E1048B">
        <w:t>в соответствии со статьей 7, а также данных страновых программ.</w:t>
      </w:r>
    </w:p>
    <w:p w14:paraId="1A09BF85" w14:textId="08AE1306" w:rsidR="0064468C" w:rsidRPr="00E1048B" w:rsidRDefault="007E60DD" w:rsidP="007E60DD">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bCs/>
          <w:lang w:val="ru-RU"/>
        </w:rPr>
        <w:tab/>
      </w:r>
      <w:r w:rsidR="0064468C" w:rsidRPr="00E1048B">
        <w:rPr>
          <w:bCs/>
          <w:lang w:val="ru-RU"/>
        </w:rPr>
        <w:t>C.</w:t>
      </w:r>
      <w:r w:rsidR="0064468C" w:rsidRPr="00E1048B">
        <w:rPr>
          <w:lang w:val="ru-RU"/>
        </w:rPr>
        <w:tab/>
      </w:r>
      <w:r w:rsidR="0064468C" w:rsidRPr="00E1048B">
        <w:rPr>
          <w:bCs/>
          <w:lang w:val="ru-RU"/>
        </w:rPr>
        <w:t>Рассмотрение осуществления пунктов 2 и 4 статьи 2J Монреальского протокола в отношении Азербайджана</w:t>
      </w:r>
    </w:p>
    <w:p w14:paraId="0305173B" w14:textId="1E7E3DD6" w:rsidR="0064468C" w:rsidRPr="00E1048B" w:rsidRDefault="0064468C" w:rsidP="007E60DD">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left="2494"/>
        <w:rPr>
          <w:lang w:val="ru-RU"/>
        </w:rPr>
      </w:pPr>
      <w:r w:rsidRPr="00E1048B">
        <w:rPr>
          <w:bCs/>
          <w:lang w:val="ru-RU"/>
        </w:rPr>
        <w:t>Представлен Азербайджаном</w:t>
      </w:r>
    </w:p>
    <w:p w14:paraId="7558D19A"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Тридцать восьмое Совещание Сторон,</w:t>
      </w:r>
    </w:p>
    <w:p w14:paraId="6B6DF05D"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принимая к сведению</w:t>
      </w:r>
      <w:r w:rsidRPr="00E1048B">
        <w:t xml:space="preserve"> ратификацию Азербайджаном Кигалийской поправки к Монреальскому протоколу по веществам, разрушающим озоновый слой, которая вступила в силу для Азербайджана 22 февраля 2026 года,</w:t>
      </w:r>
    </w:p>
    <w:p w14:paraId="73AB1472"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отмечая</w:t>
      </w:r>
      <w:r w:rsidRPr="00E1048B">
        <w:t>, что Кигалийская поправка вступила в силу для Азербайджана на этапе, когда система поэтапного сокращения в соответствии со статьей 2J уже функционировала,</w:t>
      </w:r>
    </w:p>
    <w:p w14:paraId="053C5294"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признавая</w:t>
      </w:r>
      <w:r w:rsidRPr="00E1048B">
        <w:t>, что статьей 2J Монреальского протокола устанавливаются пошаговые дифференцированные этапы сокращения оборота гидрофторуглеродов, в том числе в соответствии с пунктами 2 и 4 статьи 2J,</w:t>
      </w:r>
    </w:p>
    <w:p w14:paraId="7638A04D"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rPr>
          <w:i/>
          <w:iCs/>
        </w:rPr>
        <w:t>ссылаясь</w:t>
      </w:r>
      <w:r w:rsidRPr="00E1048B">
        <w:t xml:space="preserve"> на пункт 1 решения XXVIII/2, в котором Совещание Сторон рассмотрело вопрос о применении пунктов 2 и 4 статьи 2J к отдельным Сторонам, </w:t>
      </w:r>
    </w:p>
    <w:p w14:paraId="756A8E13" w14:textId="77777777" w:rsidR="0064468C" w:rsidRPr="00E1048B" w:rsidRDefault="0064468C" w:rsidP="007C6F75">
      <w:pPr>
        <w:tabs>
          <w:tab w:val="clear" w:pos="1247"/>
          <w:tab w:val="clear" w:pos="1814"/>
          <w:tab w:val="clear" w:pos="2381"/>
          <w:tab w:val="clear" w:pos="2948"/>
          <w:tab w:val="clear" w:pos="3515"/>
        </w:tabs>
        <w:spacing w:after="120"/>
        <w:ind w:left="1247" w:firstLine="624"/>
        <w:rPr>
          <w:bCs/>
          <w:iCs/>
        </w:rPr>
      </w:pPr>
      <w:r w:rsidRPr="00E1048B">
        <w:rPr>
          <w:i/>
          <w:iCs/>
        </w:rPr>
        <w:t xml:space="preserve">принимая во внимание </w:t>
      </w:r>
      <w:r w:rsidRPr="00E1048B">
        <w:t xml:space="preserve">национальные условия осуществления в Азербайджане, включая последовательность мер регулирования и применение дифференцированных этапов сокращения оборота, установленных в соответствии со статьей 2J, </w:t>
      </w:r>
    </w:p>
    <w:p w14:paraId="13D96285" w14:textId="77777777" w:rsidR="0064468C" w:rsidRPr="00E1048B" w:rsidRDefault="0064468C" w:rsidP="007C6F75">
      <w:pPr>
        <w:tabs>
          <w:tab w:val="clear" w:pos="1247"/>
          <w:tab w:val="clear" w:pos="1814"/>
          <w:tab w:val="clear" w:pos="2381"/>
          <w:tab w:val="clear" w:pos="2948"/>
          <w:tab w:val="clear" w:pos="3515"/>
        </w:tabs>
        <w:spacing w:after="120"/>
        <w:ind w:left="1247" w:firstLine="624"/>
        <w:rPr>
          <w:bCs/>
          <w:i/>
          <w:iCs/>
        </w:rPr>
      </w:pPr>
      <w:r w:rsidRPr="00E1048B">
        <w:rPr>
          <w:i/>
          <w:iCs/>
        </w:rPr>
        <w:t>постановляет:</w:t>
      </w:r>
      <w:r w:rsidRPr="00E1048B">
        <w:t xml:space="preserve"> </w:t>
      </w:r>
    </w:p>
    <w:p w14:paraId="15A54649" w14:textId="77777777" w:rsidR="0064468C" w:rsidRPr="00E1048B" w:rsidRDefault="0064468C" w:rsidP="007C6F75">
      <w:pPr>
        <w:tabs>
          <w:tab w:val="clear" w:pos="1247"/>
          <w:tab w:val="clear" w:pos="1814"/>
          <w:tab w:val="clear" w:pos="2381"/>
          <w:tab w:val="clear" w:pos="2948"/>
          <w:tab w:val="clear" w:pos="3515"/>
        </w:tabs>
        <w:spacing w:after="120"/>
        <w:ind w:left="1247" w:firstLine="624"/>
      </w:pPr>
      <w:r w:rsidRPr="00E1048B">
        <w:t>подтвердить, что графики поэтапного сокращения оборота, изложенные в пунктах 2 и 4 статьи 2J Монреальского протокола, применяются к Азербайджану.</w:t>
      </w:r>
    </w:p>
    <w:p w14:paraId="00861A51" w14:textId="77777777" w:rsidR="0064468C" w:rsidRPr="00E1048B" w:rsidRDefault="0064468C">
      <w:pPr>
        <w:tabs>
          <w:tab w:val="clear" w:pos="1247"/>
          <w:tab w:val="clear" w:pos="1814"/>
          <w:tab w:val="clear" w:pos="2381"/>
          <w:tab w:val="clear" w:pos="2948"/>
          <w:tab w:val="clear" w:pos="3515"/>
        </w:tabs>
      </w:pPr>
      <w:r w:rsidRPr="00E1048B">
        <w:br w:type="page"/>
      </w:r>
    </w:p>
    <w:p w14:paraId="31BFB1BA" w14:textId="77777777" w:rsidR="008C4D2B" w:rsidRPr="00E1048B" w:rsidRDefault="008C4D2B" w:rsidP="008C4D2B">
      <w:pPr>
        <w:pStyle w:val="ZZAnxheader"/>
        <w:tabs>
          <w:tab w:val="clear" w:pos="624"/>
          <w:tab w:val="clear" w:pos="1247"/>
          <w:tab w:val="clear" w:pos="1871"/>
          <w:tab w:val="clear" w:pos="2495"/>
          <w:tab w:val="clear" w:pos="3119"/>
          <w:tab w:val="clear" w:pos="3742"/>
          <w:tab w:val="clear" w:pos="4366"/>
          <w:tab w:val="clear" w:pos="4990"/>
        </w:tabs>
        <w:spacing w:after="240"/>
        <w:rPr>
          <w:lang w:val="ru-RU"/>
        </w:rPr>
      </w:pPr>
      <w:r w:rsidRPr="00E1048B">
        <w:rPr>
          <w:lang w:val="ru-RU"/>
        </w:rPr>
        <w:lastRenderedPageBreak/>
        <w:t>Приложение II</w:t>
      </w:r>
      <w:r w:rsidRPr="00E1048B">
        <w:rPr>
          <w:b w:val="0"/>
          <w:bCs w:val="0"/>
          <w:lang w:val="ru-RU"/>
        </w:rPr>
        <w:footnoteReference w:customMarkFollows="1" w:id="9"/>
        <w:t>*</w:t>
      </w:r>
    </w:p>
    <w:p w14:paraId="2211FD6C" w14:textId="77777777" w:rsidR="008C4D2B" w:rsidRPr="00E1048B" w:rsidRDefault="008C4D2B" w:rsidP="008C4D2B">
      <w:pPr>
        <w:pStyle w:val="ZZAnxtitle"/>
        <w:spacing w:before="0"/>
        <w:ind w:right="567"/>
        <w:rPr>
          <w:lang w:val="ru-RU"/>
        </w:rPr>
      </w:pPr>
      <w:r w:rsidRPr="00E1048B">
        <w:rPr>
          <w:lang w:val="ru-RU"/>
        </w:rPr>
        <w:t xml:space="preserve">Прочие итоги работы контактных групп, представленные Рабочей группе </w:t>
      </w:r>
    </w:p>
    <w:p w14:paraId="2733CB56" w14:textId="77777777" w:rsidR="008C4D2B" w:rsidRPr="00E1048B" w:rsidRDefault="008C4D2B" w:rsidP="008C4D2B">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A.</w:t>
      </w:r>
      <w:r w:rsidRPr="00E1048B">
        <w:rPr>
          <w:lang w:val="ru-RU"/>
        </w:rPr>
        <w:tab/>
      </w:r>
      <w:r w:rsidRPr="00E1048B">
        <w:rPr>
          <w:bCs/>
          <w:lang w:val="ru-RU"/>
        </w:rPr>
        <w:t xml:space="preserve">Предложения </w:t>
      </w:r>
      <w:r>
        <w:rPr>
          <w:bCs/>
          <w:lang w:val="ru-RU"/>
        </w:rPr>
        <w:t>для</w:t>
      </w:r>
      <w:r w:rsidRPr="00E1048B">
        <w:rPr>
          <w:bCs/>
          <w:lang w:val="ru-RU"/>
        </w:rPr>
        <w:t xml:space="preserve"> до</w:t>
      </w:r>
      <w:r>
        <w:rPr>
          <w:bCs/>
          <w:lang w:val="ru-RU"/>
        </w:rPr>
        <w:t>бавочного</w:t>
      </w:r>
      <w:r w:rsidRPr="00E1048B">
        <w:rPr>
          <w:bCs/>
          <w:lang w:val="ru-RU"/>
        </w:rPr>
        <w:t xml:space="preserve"> анализа в дополнительно</w:t>
      </w:r>
      <w:r>
        <w:rPr>
          <w:bCs/>
          <w:lang w:val="ru-RU"/>
        </w:rPr>
        <w:t>м</w:t>
      </w:r>
      <w:r w:rsidRPr="00E1048B">
        <w:rPr>
          <w:bCs/>
          <w:lang w:val="ru-RU"/>
        </w:rPr>
        <w:t xml:space="preserve"> доклад</w:t>
      </w:r>
      <w:r>
        <w:rPr>
          <w:bCs/>
          <w:lang w:val="ru-RU"/>
        </w:rPr>
        <w:t>е</w:t>
      </w:r>
      <w:r w:rsidRPr="00E1048B">
        <w:rPr>
          <w:bCs/>
          <w:lang w:val="ru-RU"/>
        </w:rPr>
        <w:t xml:space="preserve"> о пополнении Многостороннего фонда </w:t>
      </w:r>
      <w:r>
        <w:rPr>
          <w:bCs/>
          <w:lang w:val="ru-RU"/>
        </w:rPr>
        <w:t>для</w:t>
      </w:r>
      <w:r w:rsidRPr="00E1048B">
        <w:rPr>
          <w:bCs/>
          <w:lang w:val="ru-RU"/>
        </w:rPr>
        <w:t xml:space="preserve"> осуществлени</w:t>
      </w:r>
      <w:r>
        <w:rPr>
          <w:bCs/>
          <w:lang w:val="ru-RU"/>
        </w:rPr>
        <w:t>я</w:t>
      </w:r>
      <w:r w:rsidRPr="00E1048B">
        <w:rPr>
          <w:bCs/>
          <w:lang w:val="ru-RU"/>
        </w:rPr>
        <w:t xml:space="preserve"> Монреальского протокола на период 2027–2029 годов </w:t>
      </w:r>
    </w:p>
    <w:p w14:paraId="090C7770" w14:textId="77777777" w:rsidR="008C4D2B" w:rsidRPr="00E1048B" w:rsidRDefault="008C4D2B" w:rsidP="008C4D2B">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left="2494" w:right="284"/>
        <w:rPr>
          <w:lang w:val="ru-RU"/>
        </w:rPr>
      </w:pPr>
      <w:r w:rsidRPr="00E1048B">
        <w:rPr>
          <w:lang w:val="ru-RU"/>
        </w:rPr>
        <w:t>Итоги работы контактной группы</w:t>
      </w:r>
    </w:p>
    <w:p w14:paraId="3E4ECB52" w14:textId="77777777" w:rsidR="008C4D2B" w:rsidRPr="00E1048B" w:rsidRDefault="008C4D2B" w:rsidP="008C4D2B">
      <w:pPr>
        <w:pStyle w:val="CH5"/>
        <w:keepNext w:val="0"/>
        <w:keepLines w:val="0"/>
        <w:tabs>
          <w:tab w:val="clear" w:pos="851"/>
          <w:tab w:val="clear" w:pos="1247"/>
          <w:tab w:val="clear" w:pos="1871"/>
          <w:tab w:val="clear" w:pos="2495"/>
          <w:tab w:val="clear" w:pos="3119"/>
          <w:tab w:val="clear" w:pos="3742"/>
          <w:tab w:val="clear" w:pos="4082"/>
          <w:tab w:val="clear" w:pos="4366"/>
          <w:tab w:val="clear" w:pos="4990"/>
        </w:tabs>
        <w:ind w:left="2494" w:right="284"/>
        <w:rPr>
          <w:i/>
          <w:iCs/>
          <w:lang w:val="ru-RU"/>
        </w:rPr>
      </w:pPr>
      <w:r>
        <w:rPr>
          <w:lang w:val="ru-RU"/>
        </w:rPr>
        <w:t>М</w:t>
      </w:r>
      <w:r w:rsidRPr="00E1048B">
        <w:rPr>
          <w:lang w:val="ru-RU"/>
        </w:rPr>
        <w:t>ОП – О</w:t>
      </w:r>
      <w:r>
        <w:rPr>
          <w:lang w:val="ru-RU"/>
        </w:rPr>
        <w:t>М</w:t>
      </w:r>
      <w:r w:rsidRPr="00E1048B">
        <w:rPr>
          <w:lang w:val="ru-RU"/>
        </w:rPr>
        <w:t>ОП</w:t>
      </w:r>
    </w:p>
    <w:p w14:paraId="6FDAD523" w14:textId="77777777" w:rsidR="008C4D2B" w:rsidRPr="00E1048B" w:rsidRDefault="008C4D2B" w:rsidP="008C4D2B">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Ссылаясь на ТЗ, содержащееся в решении XXXVII/6, поручить ЦГП пред</w:t>
      </w:r>
      <w:r>
        <w:rPr>
          <w:lang w:val="ru-RU"/>
        </w:rPr>
        <w:t>усмотреть</w:t>
      </w:r>
      <w:r w:rsidRPr="00E1048B">
        <w:rPr>
          <w:lang w:val="ru-RU"/>
        </w:rPr>
        <w:t xml:space="preserve"> сценарий с максимальными значениями применительно к возможному увеличению расчетного объема финансирования в таблицах распределения ресурсов в главе 3 для стран</w:t>
      </w:r>
      <w:r>
        <w:rPr>
          <w:lang w:val="ru-RU"/>
        </w:rPr>
        <w:t xml:space="preserve"> с</w:t>
      </w:r>
      <w:r w:rsidRPr="00E1048B">
        <w:rPr>
          <w:lang w:val="ru-RU"/>
        </w:rPr>
        <w:t xml:space="preserve"> </w:t>
      </w:r>
      <w:r>
        <w:rPr>
          <w:lang w:val="ru-RU"/>
        </w:rPr>
        <w:t>М</w:t>
      </w:r>
      <w:r w:rsidRPr="00E1048B">
        <w:rPr>
          <w:lang w:val="ru-RU"/>
        </w:rPr>
        <w:t xml:space="preserve">ОП и </w:t>
      </w:r>
      <w:r>
        <w:rPr>
          <w:lang w:val="ru-RU"/>
        </w:rPr>
        <w:t xml:space="preserve">с </w:t>
      </w:r>
      <w:r w:rsidRPr="00E1048B">
        <w:rPr>
          <w:lang w:val="ru-RU"/>
        </w:rPr>
        <w:t>О</w:t>
      </w:r>
      <w:r>
        <w:rPr>
          <w:lang w:val="ru-RU"/>
        </w:rPr>
        <w:t>М</w:t>
      </w:r>
      <w:r w:rsidRPr="00E1048B">
        <w:rPr>
          <w:lang w:val="ru-RU"/>
        </w:rPr>
        <w:t xml:space="preserve">ОП </w:t>
      </w:r>
      <w:r>
        <w:rPr>
          <w:lang w:val="ru-RU"/>
        </w:rPr>
        <w:t>для</w:t>
      </w:r>
      <w:r w:rsidRPr="00E1048B">
        <w:rPr>
          <w:lang w:val="ru-RU"/>
        </w:rPr>
        <w:t xml:space="preserve"> этап</w:t>
      </w:r>
      <w:r>
        <w:rPr>
          <w:lang w:val="ru-RU"/>
        </w:rPr>
        <w:t>а</w:t>
      </w:r>
      <w:r w:rsidRPr="00E1048B">
        <w:rPr>
          <w:lang w:val="ru-RU"/>
        </w:rPr>
        <w:t xml:space="preserve"> II их ПВК, в консультации с секретариатом МФ и с учетом способности этих стран освоить </w:t>
      </w:r>
      <w:r>
        <w:rPr>
          <w:lang w:val="ru-RU"/>
        </w:rPr>
        <w:t>увеличенные объемы средств</w:t>
      </w:r>
      <w:r w:rsidRPr="00E1048B">
        <w:rPr>
          <w:lang w:val="ru-RU"/>
        </w:rPr>
        <w:t>.</w:t>
      </w:r>
    </w:p>
    <w:p w14:paraId="392FA371" w14:textId="77777777" w:rsidR="008C4D2B" w:rsidRPr="00E1048B" w:rsidRDefault="008C4D2B" w:rsidP="008C4D2B">
      <w:pPr>
        <w:pStyle w:val="CH4"/>
        <w:keepNext w:val="0"/>
        <w:keepLines w:val="0"/>
        <w:tabs>
          <w:tab w:val="clear" w:pos="851"/>
          <w:tab w:val="clear" w:pos="1247"/>
          <w:tab w:val="clear" w:pos="1871"/>
          <w:tab w:val="clear" w:pos="2495"/>
          <w:tab w:val="clear" w:pos="3119"/>
          <w:tab w:val="clear" w:pos="3742"/>
          <w:tab w:val="clear" w:pos="4366"/>
          <w:tab w:val="clear" w:pos="4990"/>
        </w:tabs>
        <w:spacing w:before="0"/>
        <w:ind w:firstLine="0"/>
        <w:rPr>
          <w:color w:val="000000" w:themeColor="text1"/>
          <w:lang w:val="ru-RU"/>
        </w:rPr>
      </w:pPr>
      <w:r w:rsidRPr="00E1048B">
        <w:rPr>
          <w:lang w:val="ru-RU"/>
        </w:rPr>
        <w:t>Сценарии и методологические вопросы</w:t>
      </w:r>
      <w:r w:rsidRPr="00E1048B">
        <w:rPr>
          <w:color w:val="000000" w:themeColor="text1"/>
          <w:lang w:val="ru-RU"/>
        </w:rPr>
        <w:t xml:space="preserve"> </w:t>
      </w:r>
    </w:p>
    <w:p w14:paraId="739DE61D" w14:textId="78754F2E" w:rsidR="008C4D2B" w:rsidRPr="00E1048B" w:rsidRDefault="008C4D2B" w:rsidP="008C4D2B">
      <w:pPr>
        <w:pStyle w:val="NormalNonumber"/>
        <w:numPr>
          <w:ilvl w:val="0"/>
          <w:numId w:val="22"/>
        </w:numPr>
        <w:tabs>
          <w:tab w:val="clear" w:pos="624"/>
          <w:tab w:val="clear" w:pos="1247"/>
          <w:tab w:val="clear" w:pos="1871"/>
          <w:tab w:val="clear" w:pos="2495"/>
          <w:tab w:val="clear" w:pos="3119"/>
          <w:tab w:val="clear" w:pos="3742"/>
          <w:tab w:val="clear" w:pos="4366"/>
          <w:tab w:val="clear" w:pos="4990"/>
        </w:tabs>
        <w:ind w:left="1871" w:hanging="624"/>
        <w:rPr>
          <w:lang w:val="ru-RU"/>
        </w:rPr>
      </w:pPr>
      <w:r w:rsidRPr="00E1048B">
        <w:rPr>
          <w:lang w:val="ru-RU"/>
        </w:rPr>
        <w:t xml:space="preserve">При оценке потребностей в финансировании </w:t>
      </w:r>
      <w:r>
        <w:rPr>
          <w:lang w:val="ru-RU"/>
        </w:rPr>
        <w:t xml:space="preserve">для </w:t>
      </w:r>
      <w:r w:rsidRPr="00E1048B">
        <w:rPr>
          <w:lang w:val="ru-RU"/>
        </w:rPr>
        <w:t xml:space="preserve">ПРПГ и ПВК применять коэффициенты </w:t>
      </w:r>
      <w:r>
        <w:rPr>
          <w:lang w:val="ru-RU"/>
        </w:rPr>
        <w:t>З</w:t>
      </w:r>
      <w:r w:rsidRPr="00E1048B">
        <w:rPr>
          <w:lang w:val="ru-RU"/>
        </w:rPr>
        <w:t xml:space="preserve">Э </w:t>
      </w:r>
      <w:r>
        <w:rPr>
          <w:lang w:val="ru-RU"/>
        </w:rPr>
        <w:t>согласно</w:t>
      </w:r>
      <w:r w:rsidRPr="00E1048B">
        <w:rPr>
          <w:lang w:val="ru-RU"/>
        </w:rPr>
        <w:t xml:space="preserve"> сценариям: первый – на основе исторических показателей</w:t>
      </w:r>
      <w:r w:rsidR="00A95C06">
        <w:rPr>
          <w:lang w:val="ru-RU"/>
        </w:rPr>
        <w:t> </w:t>
      </w:r>
      <w:r>
        <w:rPr>
          <w:lang w:val="ru-RU"/>
        </w:rPr>
        <w:t>З</w:t>
      </w:r>
      <w:r w:rsidRPr="00E1048B">
        <w:rPr>
          <w:lang w:val="ru-RU"/>
        </w:rPr>
        <w:t xml:space="preserve">Э; второй – на основе коэффициентов </w:t>
      </w:r>
      <w:r>
        <w:rPr>
          <w:lang w:val="ru-RU"/>
        </w:rPr>
        <w:t>З</w:t>
      </w:r>
      <w:r w:rsidRPr="00E1048B">
        <w:rPr>
          <w:lang w:val="ru-RU"/>
        </w:rPr>
        <w:t>Э для каждой Стороны</w:t>
      </w:r>
      <w:r>
        <w:rPr>
          <w:lang w:val="ru-RU"/>
        </w:rPr>
        <w:t>, действующей в рамках статьи 5,</w:t>
      </w:r>
      <w:r w:rsidRPr="00E1048B">
        <w:rPr>
          <w:lang w:val="ru-RU"/>
        </w:rPr>
        <w:t xml:space="preserve"> за последние 6 лет; и третий – на основе средних объемов финансирования для каждой Стороны</w:t>
      </w:r>
      <w:r>
        <w:rPr>
          <w:lang w:val="ru-RU"/>
        </w:rPr>
        <w:t>, действующей в рамках статьи 5,</w:t>
      </w:r>
      <w:r w:rsidRPr="00E1048B">
        <w:rPr>
          <w:lang w:val="ru-RU"/>
        </w:rPr>
        <w:t xml:space="preserve"> за последние 6 лет</w:t>
      </w:r>
    </w:p>
    <w:p w14:paraId="0B91CBFE" w14:textId="77777777" w:rsidR="008C4D2B" w:rsidRPr="00E1048B" w:rsidRDefault="008C4D2B" w:rsidP="008C4D2B">
      <w:pPr>
        <w:pStyle w:val="NormalNonumber"/>
        <w:numPr>
          <w:ilvl w:val="0"/>
          <w:numId w:val="22"/>
        </w:numPr>
        <w:tabs>
          <w:tab w:val="clear" w:pos="624"/>
          <w:tab w:val="clear" w:pos="1247"/>
          <w:tab w:val="clear" w:pos="1871"/>
          <w:tab w:val="clear" w:pos="2495"/>
          <w:tab w:val="clear" w:pos="3119"/>
          <w:tab w:val="clear" w:pos="3742"/>
          <w:tab w:val="clear" w:pos="4366"/>
          <w:tab w:val="clear" w:pos="4990"/>
        </w:tabs>
        <w:ind w:left="1871" w:hanging="624"/>
        <w:rPr>
          <w:lang w:val="ru-RU"/>
        </w:rPr>
      </w:pPr>
      <w:r w:rsidRPr="00E1048B">
        <w:rPr>
          <w:lang w:val="ru-RU"/>
        </w:rPr>
        <w:t xml:space="preserve">Поручить Группе представить пересмотренные диапазоны финансирования с альтернативными сценариями, </w:t>
      </w:r>
      <w:r>
        <w:rPr>
          <w:lang w:val="ru-RU"/>
        </w:rPr>
        <w:t xml:space="preserve">в которых оценивается </w:t>
      </w:r>
      <w:r w:rsidRPr="00E1048B">
        <w:rPr>
          <w:lang w:val="ru-RU"/>
        </w:rPr>
        <w:t>влияние следующих факторов:</w:t>
      </w:r>
    </w:p>
    <w:p w14:paraId="734B80A6" w14:textId="77777777" w:rsidR="008C4D2B" w:rsidRPr="00E1048B" w:rsidRDefault="008C4D2B" w:rsidP="008C4D2B">
      <w:pPr>
        <w:pStyle w:val="NormalNonumber"/>
        <w:numPr>
          <w:ilvl w:val="0"/>
          <w:numId w:val="23"/>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сценарий с минимальными значениями, основанный на последних представленных данных о потреблении ГХФУ и ГФУ, и сценарий с максимальными значениями, основанный на установленных базовых уровнях ГФУ и оставшемся объеме потребления ГХФУ, на которое может быть выделено финансирование;</w:t>
      </w:r>
    </w:p>
    <w:p w14:paraId="3293550B" w14:textId="77777777" w:rsidR="008C4D2B" w:rsidRPr="00E1048B" w:rsidRDefault="008C4D2B" w:rsidP="008C4D2B">
      <w:pPr>
        <w:pStyle w:val="NormalNonumber"/>
        <w:numPr>
          <w:ilvl w:val="0"/>
          <w:numId w:val="23"/>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 xml:space="preserve">реалистичные сроки осуществления проектов, например изменение графика </w:t>
      </w:r>
      <w:r>
        <w:rPr>
          <w:lang w:val="ru-RU"/>
        </w:rPr>
        <w:t xml:space="preserve">А </w:t>
      </w:r>
      <w:r w:rsidRPr="00E1048B">
        <w:rPr>
          <w:lang w:val="ru-RU"/>
        </w:rPr>
        <w:t>распределения ресурсов для этапа II ПВК</w:t>
      </w:r>
      <w:r>
        <w:rPr>
          <w:lang w:val="ru-RU"/>
        </w:rPr>
        <w:t xml:space="preserve"> и</w:t>
      </w:r>
      <w:r w:rsidRPr="00E1048B">
        <w:rPr>
          <w:lang w:val="ru-RU"/>
        </w:rPr>
        <w:t xml:space="preserve"> учет темпов ратификации Кигалийской поправки государствами, </w:t>
      </w:r>
      <w:r>
        <w:rPr>
          <w:lang w:val="ru-RU"/>
        </w:rPr>
        <w:t xml:space="preserve">еще </w:t>
      </w:r>
      <w:r w:rsidRPr="00E1048B">
        <w:rPr>
          <w:lang w:val="ru-RU"/>
        </w:rPr>
        <w:t>не являющимися ее Сторонами;</w:t>
      </w:r>
    </w:p>
    <w:p w14:paraId="593260D5" w14:textId="77777777" w:rsidR="008C4D2B" w:rsidRPr="00E1048B" w:rsidRDefault="008C4D2B" w:rsidP="008C4D2B">
      <w:pPr>
        <w:pStyle w:val="NormalNonumber"/>
        <w:numPr>
          <w:ilvl w:val="0"/>
          <w:numId w:val="23"/>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 xml:space="preserve">сценарии сокращения выбросов ГФУ-23, учитывающие текущие эксплуатационные расходы и ДЭР </w:t>
      </w:r>
      <w:r>
        <w:rPr>
          <w:lang w:val="ru-RU"/>
        </w:rPr>
        <w:t>для</w:t>
      </w:r>
      <w:r w:rsidRPr="00E1048B">
        <w:rPr>
          <w:lang w:val="ru-RU"/>
        </w:rPr>
        <w:t xml:space="preserve"> утвержденны</w:t>
      </w:r>
      <w:r>
        <w:rPr>
          <w:lang w:val="ru-RU"/>
        </w:rPr>
        <w:t>х</w:t>
      </w:r>
      <w:r w:rsidRPr="00E1048B">
        <w:rPr>
          <w:lang w:val="ru-RU"/>
        </w:rPr>
        <w:t xml:space="preserve"> проект</w:t>
      </w:r>
      <w:r>
        <w:rPr>
          <w:lang w:val="ru-RU"/>
        </w:rPr>
        <w:t>ов</w:t>
      </w:r>
      <w:r w:rsidRPr="00E1048B">
        <w:rPr>
          <w:lang w:val="ru-RU"/>
        </w:rPr>
        <w:t xml:space="preserve"> МФ; </w:t>
      </w:r>
    </w:p>
    <w:p w14:paraId="7CB9C369" w14:textId="77777777" w:rsidR="008C4D2B" w:rsidRPr="00E1048B" w:rsidRDefault="008C4D2B" w:rsidP="008C4D2B">
      <w:pPr>
        <w:pStyle w:val="NormalNonumber"/>
        <w:numPr>
          <w:ilvl w:val="0"/>
          <w:numId w:val="23"/>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 xml:space="preserve">сценарий с минимальными показателями </w:t>
      </w:r>
      <w:r>
        <w:rPr>
          <w:lang w:val="ru-RU"/>
        </w:rPr>
        <w:t>ЭЭ</w:t>
      </w:r>
      <w:r w:rsidRPr="00E1048B">
        <w:rPr>
          <w:lang w:val="ru-RU"/>
        </w:rPr>
        <w:t xml:space="preserve"> (решение 94/60), основанный на проектах, включенных в план деятельности МФ, и сценарий с максимальными значениями, отражающий полное освоение остающихся средств в рамках механизма финансирования, предусмотренного решением 94/60, направленного на содействие повышению </w:t>
      </w:r>
      <w:r>
        <w:rPr>
          <w:lang w:val="ru-RU"/>
        </w:rPr>
        <w:t>ЭЭ</w:t>
      </w:r>
      <w:r w:rsidRPr="00E1048B">
        <w:rPr>
          <w:lang w:val="ru-RU"/>
        </w:rPr>
        <w:t xml:space="preserve"> в контексте поэтапного сокращения оборота ГФУ в ходе следующего трехгодичного периода;</w:t>
      </w:r>
    </w:p>
    <w:p w14:paraId="7D8A92E5" w14:textId="77777777" w:rsidR="008C4D2B" w:rsidRPr="00E1048B" w:rsidRDefault="008C4D2B" w:rsidP="008C4D2B">
      <w:pPr>
        <w:pStyle w:val="NormalNonumber"/>
        <w:numPr>
          <w:ilvl w:val="0"/>
          <w:numId w:val="23"/>
        </w:numPr>
        <w:tabs>
          <w:tab w:val="clear" w:pos="624"/>
          <w:tab w:val="clear" w:pos="1247"/>
          <w:tab w:val="clear" w:pos="1871"/>
          <w:tab w:val="clear" w:pos="2495"/>
          <w:tab w:val="clear" w:pos="3119"/>
          <w:tab w:val="clear" w:pos="3742"/>
          <w:tab w:val="clear" w:pos="4366"/>
          <w:tab w:val="clear" w:pos="4990"/>
        </w:tabs>
        <w:ind w:left="2552" w:hanging="624"/>
        <w:rPr>
          <w:lang w:val="ru-RU"/>
        </w:rPr>
      </w:pPr>
      <w:r w:rsidRPr="00E1048B">
        <w:rPr>
          <w:lang w:val="ru-RU"/>
        </w:rPr>
        <w:t>надлежащее отражение распределения финанс</w:t>
      </w:r>
      <w:r>
        <w:rPr>
          <w:lang w:val="ru-RU"/>
        </w:rPr>
        <w:t xml:space="preserve">овых средств </w:t>
      </w:r>
      <w:r w:rsidRPr="00E1048B">
        <w:rPr>
          <w:lang w:val="ru-RU"/>
        </w:rPr>
        <w:t>между странами с разными уровнями потребления в целях удовлетворения потребностей Сторон</w:t>
      </w:r>
      <w:r w:rsidRPr="003A176E">
        <w:rPr>
          <w:lang w:val="ru-RU"/>
        </w:rPr>
        <w:t>, действующей в рамках статьи 5,</w:t>
      </w:r>
      <w:r w:rsidRPr="00E1048B">
        <w:rPr>
          <w:lang w:val="ru-RU"/>
        </w:rPr>
        <w:t xml:space="preserve"> для обеспечения соблюдения.</w:t>
      </w:r>
    </w:p>
    <w:p w14:paraId="48324FDB" w14:textId="77777777" w:rsidR="008C4D2B" w:rsidRPr="00E1048B" w:rsidRDefault="008C4D2B" w:rsidP="008C4D2B">
      <w:pPr>
        <w:pStyle w:val="CH4"/>
        <w:keepNext w:val="0"/>
        <w:keepLines w:val="0"/>
        <w:tabs>
          <w:tab w:val="clear" w:pos="851"/>
          <w:tab w:val="clear" w:pos="1247"/>
          <w:tab w:val="clear" w:pos="1871"/>
          <w:tab w:val="clear" w:pos="2495"/>
          <w:tab w:val="clear" w:pos="3119"/>
          <w:tab w:val="clear" w:pos="3742"/>
          <w:tab w:val="clear" w:pos="4366"/>
          <w:tab w:val="clear" w:pos="4990"/>
        </w:tabs>
        <w:spacing w:before="0"/>
        <w:ind w:left="2494"/>
        <w:rPr>
          <w:b w:val="0"/>
          <w:bCs/>
          <w:color w:val="000000" w:themeColor="text1"/>
          <w:lang w:val="ru-RU"/>
        </w:rPr>
      </w:pPr>
      <w:r w:rsidRPr="00E1048B">
        <w:rPr>
          <w:lang w:val="ru-RU"/>
        </w:rPr>
        <w:t>Решение ИК-98</w:t>
      </w:r>
    </w:p>
    <w:p w14:paraId="4D2E575B" w14:textId="127A3A4C" w:rsidR="008C4D2B" w:rsidRPr="00E1048B" w:rsidRDefault="008C4D2B" w:rsidP="008C4D2B">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Скорректировать все элементы потребностей в финансировании с учетом соответствующих решений, принятых на 98-м совещании Исполнительного комитета, и внести любые дополнительные необходимые обновления для точного отражения сумм в утвержденных ПРПГ и ПВК</w:t>
      </w:r>
      <w:r>
        <w:rPr>
          <w:lang w:val="ru-RU"/>
        </w:rPr>
        <w:t>.</w:t>
      </w:r>
    </w:p>
    <w:p w14:paraId="05DA0CE3" w14:textId="77777777" w:rsidR="008C4D2B" w:rsidRPr="00E1048B" w:rsidRDefault="008C4D2B" w:rsidP="008C4D2B">
      <w:pPr>
        <w:pStyle w:val="CH4"/>
        <w:keepNext w:val="0"/>
        <w:keepLines w:val="0"/>
        <w:tabs>
          <w:tab w:val="clear" w:pos="851"/>
          <w:tab w:val="clear" w:pos="1247"/>
          <w:tab w:val="clear" w:pos="1871"/>
          <w:tab w:val="clear" w:pos="2495"/>
          <w:tab w:val="clear" w:pos="3119"/>
          <w:tab w:val="clear" w:pos="3742"/>
          <w:tab w:val="clear" w:pos="4366"/>
          <w:tab w:val="clear" w:pos="4990"/>
        </w:tabs>
        <w:spacing w:before="0"/>
        <w:ind w:firstLine="0"/>
        <w:rPr>
          <w:b w:val="0"/>
          <w:bCs/>
          <w:color w:val="000000" w:themeColor="text1"/>
          <w:lang w:val="ru-RU"/>
        </w:rPr>
      </w:pPr>
      <w:r w:rsidRPr="00E1048B">
        <w:rPr>
          <w:lang w:val="ru-RU"/>
        </w:rPr>
        <w:t>РЖЦХ</w:t>
      </w:r>
    </w:p>
    <w:p w14:paraId="192D173D" w14:textId="77777777" w:rsidR="008C4D2B" w:rsidRPr="00E1048B" w:rsidRDefault="008C4D2B" w:rsidP="008C4D2B">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 xml:space="preserve">Включить смету расходов </w:t>
      </w:r>
      <w:r>
        <w:rPr>
          <w:lang w:val="ru-RU"/>
        </w:rPr>
        <w:t>для</w:t>
      </w:r>
      <w:r w:rsidRPr="00E1048B">
        <w:rPr>
          <w:lang w:val="ru-RU"/>
        </w:rPr>
        <w:t xml:space="preserve"> сценари</w:t>
      </w:r>
      <w:r>
        <w:rPr>
          <w:lang w:val="ru-RU"/>
        </w:rPr>
        <w:t>я</w:t>
      </w:r>
      <w:r w:rsidRPr="00E1048B">
        <w:rPr>
          <w:lang w:val="ru-RU"/>
        </w:rPr>
        <w:t xml:space="preserve"> с максимальными значениями применительно к возможному механизму финансирования, который будет рассмотрен на 100-м совещании ИК </w:t>
      </w:r>
      <w:r w:rsidRPr="00E1048B">
        <w:rPr>
          <w:lang w:val="ru-RU"/>
        </w:rPr>
        <w:lastRenderedPageBreak/>
        <w:t>для период</w:t>
      </w:r>
      <w:r>
        <w:rPr>
          <w:lang w:val="ru-RU"/>
        </w:rPr>
        <w:t>а</w:t>
      </w:r>
      <w:r w:rsidRPr="00E1048B">
        <w:rPr>
          <w:lang w:val="ru-RU"/>
        </w:rPr>
        <w:t xml:space="preserve"> 2027–2029 годов в поддержку осуществления национальных планов, разработанных во исполнение решения 91/66, с учетом того, что мероприятия по </w:t>
      </w:r>
      <w:r>
        <w:rPr>
          <w:lang w:val="ru-RU"/>
        </w:rPr>
        <w:t>утилизации</w:t>
      </w:r>
      <w:r w:rsidRPr="00E1048B">
        <w:rPr>
          <w:lang w:val="ru-RU"/>
        </w:rPr>
        <w:t xml:space="preserve">, рециркуляции и </w:t>
      </w:r>
      <w:r>
        <w:rPr>
          <w:lang w:val="ru-RU"/>
        </w:rPr>
        <w:t>восстановлению</w:t>
      </w:r>
      <w:r w:rsidRPr="00E1048B">
        <w:rPr>
          <w:lang w:val="ru-RU"/>
        </w:rPr>
        <w:t xml:space="preserve"> хладагентов финансируются также в рамках ПРПГ и ПВК.</w:t>
      </w:r>
    </w:p>
    <w:p w14:paraId="71E15088" w14:textId="77777777" w:rsidR="008C4D2B" w:rsidRPr="00E1048B" w:rsidRDefault="008C4D2B" w:rsidP="008C4D2B">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B.</w:t>
      </w:r>
      <w:r w:rsidRPr="00E1048B">
        <w:rPr>
          <w:lang w:val="ru-RU"/>
        </w:rPr>
        <w:tab/>
        <w:t>Обеспечение устойчивости деятельности в рамках Монреальского протокола: сценарии, варианты и сметы расходов (UNEP/OzL.Pro.WG.1/48/4 и UNEP/OzL.Pro.WG.1/48/4/Add.1)</w:t>
      </w:r>
    </w:p>
    <w:p w14:paraId="6BDB5549" w14:textId="77777777" w:rsidR="008C4D2B" w:rsidRPr="00E1048B" w:rsidRDefault="008C4D2B" w:rsidP="008C4D2B">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right="284" w:firstLine="0"/>
        <w:rPr>
          <w:lang w:val="ru-RU"/>
        </w:rPr>
      </w:pPr>
      <w:r w:rsidRPr="00E1048B">
        <w:rPr>
          <w:lang w:val="ru-RU"/>
        </w:rPr>
        <w:t>Свод вопросов, заданных Сторонами в ходе обсуждений в контактной группе, состоявшихся 14, 16 и 17 июля 2026 года</w:t>
      </w:r>
    </w:p>
    <w:p w14:paraId="5863B04D" w14:textId="77777777" w:rsidR="008C4D2B" w:rsidRPr="00E1048B" w:rsidRDefault="008C4D2B" w:rsidP="008C4D2B">
      <w:pPr>
        <w:pStyle w:val="NormalNonumber"/>
        <w:tabs>
          <w:tab w:val="clear" w:pos="624"/>
          <w:tab w:val="clear" w:pos="1247"/>
          <w:tab w:val="clear" w:pos="1871"/>
          <w:tab w:val="clear" w:pos="2495"/>
          <w:tab w:val="clear" w:pos="3119"/>
          <w:tab w:val="clear" w:pos="3742"/>
          <w:tab w:val="clear" w:pos="4366"/>
          <w:tab w:val="clear" w:pos="4990"/>
        </w:tabs>
        <w:rPr>
          <w:lang w:val="ru-RU"/>
        </w:rPr>
      </w:pPr>
      <w:r w:rsidRPr="00E1048B">
        <w:rPr>
          <w:lang w:val="ru-RU"/>
        </w:rPr>
        <w:t>Дополнительные вопросы могут быть направлены в секретариат (</w:t>
      </w:r>
      <w:hyperlink r:id="rId21" w:history="1">
        <w:r w:rsidRPr="00A90D0D">
          <w:rPr>
            <w:rStyle w:val="Hyperlink"/>
            <w:color w:val="0000FF"/>
            <w:u w:val="none"/>
            <w:lang w:val="ru-RU"/>
          </w:rPr>
          <w:t>mea-ozoneinfo@un.org</w:t>
        </w:r>
      </w:hyperlink>
      <w:r w:rsidRPr="00E1048B">
        <w:rPr>
          <w:color w:val="0000FF"/>
          <w:lang w:val="ru-RU"/>
        </w:rPr>
        <w:t xml:space="preserve"> </w:t>
      </w:r>
      <w:r w:rsidRPr="00E1048B">
        <w:rPr>
          <w:lang w:val="ru-RU"/>
        </w:rPr>
        <w:t xml:space="preserve">с копией на </w:t>
      </w:r>
      <w:hyperlink r:id="rId22" w:history="1">
        <w:r w:rsidRPr="00E3759E">
          <w:rPr>
            <w:rStyle w:val="Hyperlink"/>
            <w:color w:val="0000FF"/>
            <w:u w:val="none"/>
            <w:lang w:val="ru-RU"/>
          </w:rPr>
          <w:t>meg.seki@un.org</w:t>
        </w:r>
      </w:hyperlink>
      <w:r w:rsidRPr="00E1048B">
        <w:rPr>
          <w:lang w:val="ru-RU"/>
        </w:rPr>
        <w:t xml:space="preserve"> и </w:t>
      </w:r>
      <w:hyperlink r:id="rId23" w:history="1">
        <w:r w:rsidRPr="00E3759E">
          <w:rPr>
            <w:rStyle w:val="Hyperlink"/>
            <w:color w:val="0000FF"/>
            <w:u w:val="none"/>
            <w:lang w:val="ru-RU"/>
          </w:rPr>
          <w:t>sandeep.bhambra@un.org</w:t>
        </w:r>
      </w:hyperlink>
      <w:r w:rsidRPr="00E1048B">
        <w:rPr>
          <w:lang w:val="ru-RU"/>
        </w:rPr>
        <w:t>) до 31 августа 2026 года.</w:t>
      </w:r>
    </w:p>
    <w:p w14:paraId="036F71A3"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Обоснование представленного документа, в том числе в контексте инициативы «ООН</w:t>
      </w:r>
      <w:r w:rsidRPr="00E1048B">
        <w:rPr>
          <w:lang w:val="ru-RU"/>
        </w:rPr>
        <w:noBreakHyphen/>
        <w:t>80», посредством представления заключительного доклада о комплексе мероприятий 27 в рамках инициативы «ООН-80».</w:t>
      </w:r>
    </w:p>
    <w:p w14:paraId="656730C3"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Каким образом были получены эти сценарии? Рассматривались ли дополнительные сценарии и, если да, почему они не были включены в документ UNEP/OzL.Pro.WG.1/48/4?</w:t>
      </w:r>
    </w:p>
    <w:p w14:paraId="42C68BAC"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Проанализировать влияние этих сценариев на осуществление и соблюдение Кигалийской поправки.</w:t>
      </w:r>
    </w:p>
    <w:p w14:paraId="55E90F5D"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Дополнительная информация, в частности сметы расходов на использование искусственного интеллекта и проведение совещаний в онлайновом режиме для дальнейшего обоснования пунктов 39 и 41 документа UNEP/OzL.Pro.WG.1/48/4.</w:t>
      </w:r>
    </w:p>
    <w:p w14:paraId="68FF405E"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Последствия принятия сценария с точки зрения расходов, качества, работы по оценке и соблюдения.</w:t>
      </w:r>
    </w:p>
    <w:p w14:paraId="23555155"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Экономия средств в случае проведения совещаний Комитета по выполнению в течение только одного дня, в онлайновом режиме и без устного перевода.</w:t>
      </w:r>
    </w:p>
    <w:p w14:paraId="1B1DF509"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Экономия средств в случае проведения РГОС в течение 3 или 4 дней.</w:t>
      </w:r>
    </w:p>
    <w:p w14:paraId="674E14DD"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Предложения по организации повестки дня совещаний (РГОС и СС) таким образом, чтобы обеспечить экономию расходов на устный перевод.</w:t>
      </w:r>
    </w:p>
    <w:p w14:paraId="39833DC6"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 xml:space="preserve">Объединить таблицы 3 и 4 документа UNEP/OzL.Pro.WG.1/48/4/Add.1. [Примечание: в 2025 году совещание целевой группы </w:t>
      </w:r>
      <w:proofErr w:type="spellStart"/>
      <w:r w:rsidRPr="00E1048B">
        <w:rPr>
          <w:lang w:val="ru-RU"/>
        </w:rPr>
        <w:t>Группы</w:t>
      </w:r>
      <w:proofErr w:type="spellEnd"/>
      <w:r w:rsidRPr="00E1048B">
        <w:rPr>
          <w:lang w:val="ru-RU"/>
        </w:rPr>
        <w:t xml:space="preserve"> по техническому обзору и экономической оценке по вопросу о пополнении не проводилось.]</w:t>
      </w:r>
    </w:p>
    <w:p w14:paraId="7AE5A673"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Представить варианты экономии средств при сценарии сохранения текущего положения дел.</w:t>
      </w:r>
    </w:p>
    <w:p w14:paraId="572F7B98"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Влияние периодичности работы и совещаний групп по оценке на качество оценок. Подлежит рассмотрению совместно с ГТОЭО.</w:t>
      </w:r>
    </w:p>
    <w:p w14:paraId="53A54CC3"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Сторонам необходимо продумать программу работы на следующее десятилетие и то, каким образом эти сценарии могут способствовать ее выполнению.</w:t>
      </w:r>
    </w:p>
    <w:p w14:paraId="077EA6D1" w14:textId="77777777"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Были ли в истории работы секретариата периоды, когда периодичность совещаний сокращалась, и как это отражалось на работе?</w:t>
      </w:r>
    </w:p>
    <w:p w14:paraId="20D24877" w14:textId="10BB0DFD" w:rsidR="008C4D2B" w:rsidRPr="00E1048B" w:rsidRDefault="008C4D2B" w:rsidP="008C4D2B">
      <w:pPr>
        <w:pStyle w:val="Normal-pool"/>
        <w:numPr>
          <w:ilvl w:val="0"/>
          <w:numId w:val="24"/>
        </w:numPr>
        <w:tabs>
          <w:tab w:val="clear" w:pos="624"/>
          <w:tab w:val="clear" w:pos="1247"/>
          <w:tab w:val="clear" w:pos="1871"/>
          <w:tab w:val="clear" w:pos="2495"/>
          <w:tab w:val="clear" w:pos="3119"/>
          <w:tab w:val="clear" w:pos="3742"/>
          <w:tab w:val="clear" w:pos="4366"/>
          <w:tab w:val="clear" w:pos="4990"/>
        </w:tabs>
        <w:spacing w:after="120"/>
        <w:ind w:left="1871" w:hanging="624"/>
        <w:rPr>
          <w:lang w:val="ru-RU"/>
        </w:rPr>
      </w:pPr>
      <w:r w:rsidRPr="00E1048B">
        <w:rPr>
          <w:lang w:val="ru-RU"/>
        </w:rPr>
        <w:t>Возможность изучения других источников финансирования секретариата, например по линии благотворительных организаций или частного сектора [посредством параллельных мероприятий и выставок]</w:t>
      </w:r>
      <w:r w:rsidR="001869EF">
        <w:rPr>
          <w:lang w:val="ru-RU"/>
        </w:rPr>
        <w:t>.</w:t>
      </w:r>
    </w:p>
    <w:p w14:paraId="1F568586" w14:textId="77777777" w:rsidR="0064468C" w:rsidRPr="00E1048B" w:rsidRDefault="0064468C" w:rsidP="008C4D2B">
      <w:pPr>
        <w:pStyle w:val="Normal-pool"/>
        <w:tabs>
          <w:tab w:val="clear" w:pos="624"/>
          <w:tab w:val="clear" w:pos="1247"/>
          <w:tab w:val="clear" w:pos="1871"/>
          <w:tab w:val="clear" w:pos="2495"/>
          <w:tab w:val="clear" w:pos="3119"/>
          <w:tab w:val="clear" w:pos="3742"/>
          <w:tab w:val="clear" w:pos="4366"/>
          <w:tab w:val="clear" w:pos="4990"/>
        </w:tabs>
        <w:rPr>
          <w:lang w:val="ru-RU"/>
        </w:rPr>
      </w:pPr>
    </w:p>
    <w:p w14:paraId="554D255E" w14:textId="77777777" w:rsidR="0064468C" w:rsidRPr="00E1048B" w:rsidRDefault="0064468C" w:rsidP="0008328F">
      <w:pPr>
        <w:pStyle w:val="Normal-pool"/>
        <w:rPr>
          <w:lang w:val="ru-RU"/>
        </w:rPr>
      </w:pPr>
      <w:r w:rsidRPr="00E1048B">
        <w:rPr>
          <w:lang w:val="ru-RU"/>
        </w:rPr>
        <w:br w:type="page"/>
      </w:r>
    </w:p>
    <w:p w14:paraId="0B9F7020" w14:textId="77777777" w:rsidR="0064468C" w:rsidRPr="00206D9C" w:rsidRDefault="0064468C" w:rsidP="008F7057">
      <w:pPr>
        <w:pStyle w:val="ZZAnxheader"/>
        <w:tabs>
          <w:tab w:val="clear" w:pos="624"/>
          <w:tab w:val="clear" w:pos="1247"/>
          <w:tab w:val="clear" w:pos="1871"/>
          <w:tab w:val="clear" w:pos="2495"/>
          <w:tab w:val="clear" w:pos="3119"/>
          <w:tab w:val="clear" w:pos="3742"/>
          <w:tab w:val="clear" w:pos="4366"/>
          <w:tab w:val="clear" w:pos="4990"/>
        </w:tabs>
        <w:spacing w:after="240"/>
        <w:rPr>
          <w:lang w:val="ru-RU"/>
        </w:rPr>
      </w:pPr>
      <w:r w:rsidRPr="00206D9C">
        <w:rPr>
          <w:lang w:val="ru-RU"/>
        </w:rPr>
        <w:lastRenderedPageBreak/>
        <w:t>Приложение III</w:t>
      </w:r>
      <w:r w:rsidRPr="00206D9C">
        <w:rPr>
          <w:rStyle w:val="FootnoteReference"/>
          <w:b w:val="0"/>
          <w:sz w:val="28"/>
          <w:szCs w:val="22"/>
          <w:vertAlign w:val="baseline"/>
          <w:lang w:val="ru-RU"/>
        </w:rPr>
        <w:footnoteReference w:customMarkFollows="1" w:id="10"/>
        <w:t>*</w:t>
      </w:r>
    </w:p>
    <w:p w14:paraId="7E9D4174" w14:textId="7004B6E3" w:rsidR="0064468C" w:rsidRPr="00E1048B" w:rsidRDefault="0064468C" w:rsidP="008F7057">
      <w:pPr>
        <w:pStyle w:val="ZZAnxtitle"/>
        <w:tabs>
          <w:tab w:val="clear" w:pos="624"/>
          <w:tab w:val="clear" w:pos="1247"/>
          <w:tab w:val="clear" w:pos="1871"/>
          <w:tab w:val="clear" w:pos="2495"/>
          <w:tab w:val="clear" w:pos="3119"/>
          <w:tab w:val="clear" w:pos="3742"/>
          <w:tab w:val="clear" w:pos="4366"/>
          <w:tab w:val="clear" w:pos="4990"/>
        </w:tabs>
        <w:spacing w:before="0"/>
        <w:ind w:right="567"/>
        <w:rPr>
          <w:lang w:val="ru-RU"/>
        </w:rPr>
      </w:pPr>
      <w:r w:rsidRPr="00206D9C">
        <w:rPr>
          <w:lang w:val="ru-RU"/>
        </w:rPr>
        <w:t xml:space="preserve">Краткое изложение доклада Группы по техническому обзору и экономической оценке о пополнении Многостороннего фонда для осуществления Монреальского протокола </w:t>
      </w:r>
      <w:r w:rsidR="004561C9" w:rsidRPr="00F21D83">
        <w:rPr>
          <w:color w:val="333333"/>
          <w:sz w:val="26"/>
          <w:shd w:val="clear" w:color="auto" w:fill="FFFFFF"/>
          <w:lang w:val="ru-RU"/>
        </w:rPr>
        <w:t>в период с 2027 по 2029 год</w:t>
      </w:r>
      <w:r w:rsidR="004561C9" w:rsidRPr="00206D9C" w:rsidDel="004561C9">
        <w:rPr>
          <w:lang w:val="ru-RU"/>
        </w:rPr>
        <w:t xml:space="preserve"> </w:t>
      </w:r>
      <w:r w:rsidRPr="00206D9C">
        <w:rPr>
          <w:lang w:val="ru-RU"/>
        </w:rPr>
        <w:t>(решение XXXVII/6)</w:t>
      </w:r>
    </w:p>
    <w:p w14:paraId="71E50A6E" w14:textId="2C64922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Белла </w:t>
      </w:r>
      <w:proofErr w:type="spellStart"/>
      <w:r w:rsidRPr="00E1048B">
        <w:rPr>
          <w:lang w:val="ru-RU"/>
        </w:rPr>
        <w:t>Маранион</w:t>
      </w:r>
      <w:proofErr w:type="spellEnd"/>
      <w:r w:rsidRPr="00E1048B">
        <w:rPr>
          <w:lang w:val="ru-RU"/>
        </w:rPr>
        <w:t xml:space="preserve">, сопредседатель целевой группы по вопросу о пополнении ГТОЭО (ЦГП), начала сообщение от имени своего сопредседателя </w:t>
      </w:r>
      <w:proofErr w:type="spellStart"/>
      <w:r w:rsidRPr="00E1048B">
        <w:rPr>
          <w:lang w:val="ru-RU"/>
        </w:rPr>
        <w:t>Суэли</w:t>
      </w:r>
      <w:proofErr w:type="spellEnd"/>
      <w:r w:rsidRPr="00E1048B">
        <w:rPr>
          <w:lang w:val="ru-RU"/>
        </w:rPr>
        <w:t xml:space="preserve"> Карвалью и ЦГП. Она подробно остановилась на мандате, содержащемся в решении XXXVII/6, в котором ГТОЭО было поручено подготовить доклад о соответствующем уровне пополнения Многостороннего фонда для осуществления Монреальского протокола (МФ) на трехгодичный период 2027</w:t>
      </w:r>
      <w:r w:rsidR="00345F0C" w:rsidRPr="00E1048B">
        <w:rPr>
          <w:lang w:val="ru-RU"/>
        </w:rPr>
        <w:noBreakHyphen/>
      </w:r>
      <w:r w:rsidRPr="00E1048B">
        <w:rPr>
          <w:lang w:val="ru-RU"/>
        </w:rPr>
        <w:t>2029</w:t>
      </w:r>
      <w:r w:rsidR="00345F0C" w:rsidRPr="00E1048B">
        <w:rPr>
          <w:lang w:val="ru-RU"/>
        </w:rPr>
        <w:t> </w:t>
      </w:r>
      <w:r w:rsidRPr="00E1048B">
        <w:rPr>
          <w:lang w:val="ru-RU"/>
        </w:rPr>
        <w:t xml:space="preserve">годов. Она проанализировала основные части решения, в котором содержится техническое задание (ТЗ) для ГТОЭО, включая, в частности, следующее: ГТОЭО следует учитывать все меры регулирования и соответствующие решения, согласованные Сторонами Монреальского протокола и Исполнительным комитетом МФ (ИК), в том числе решения, связанные с решением XXVIII/2, и решения совещаний Сторон (СС) вплоть до СС-37 включительно и ИК вплоть до ИК-98 включительно, в той мере, в какой эти решения повлекут за собой расходы МФ в период 2027–2029 годов; особые потребности стран с </w:t>
      </w:r>
      <w:r w:rsidR="002D723C">
        <w:rPr>
          <w:lang w:val="ru-RU"/>
        </w:rPr>
        <w:t>малы</w:t>
      </w:r>
      <w:r w:rsidR="002D723C" w:rsidRPr="00E1048B">
        <w:rPr>
          <w:lang w:val="ru-RU"/>
        </w:rPr>
        <w:t xml:space="preserve">м </w:t>
      </w:r>
      <w:r w:rsidRPr="00E1048B">
        <w:rPr>
          <w:lang w:val="ru-RU"/>
        </w:rPr>
        <w:t>объемом потребления (</w:t>
      </w:r>
      <w:r w:rsidR="002D723C">
        <w:rPr>
          <w:lang w:val="ru-RU"/>
        </w:rPr>
        <w:t>М</w:t>
      </w:r>
      <w:r w:rsidRPr="00E1048B">
        <w:rPr>
          <w:lang w:val="ru-RU"/>
        </w:rPr>
        <w:t xml:space="preserve">ОП) и стран с очень </w:t>
      </w:r>
      <w:r w:rsidR="002D723C">
        <w:rPr>
          <w:lang w:val="ru-RU"/>
        </w:rPr>
        <w:t>малым</w:t>
      </w:r>
      <w:r w:rsidR="002D723C" w:rsidRPr="00E1048B">
        <w:rPr>
          <w:lang w:val="ru-RU"/>
        </w:rPr>
        <w:t xml:space="preserve"> </w:t>
      </w:r>
      <w:r w:rsidRPr="00E1048B">
        <w:rPr>
          <w:lang w:val="ru-RU"/>
        </w:rPr>
        <w:t>объемом потребления (О</w:t>
      </w:r>
      <w:r w:rsidR="002D723C">
        <w:rPr>
          <w:lang w:val="ru-RU"/>
        </w:rPr>
        <w:t>М</w:t>
      </w:r>
      <w:r w:rsidRPr="00E1048B">
        <w:rPr>
          <w:lang w:val="ru-RU"/>
        </w:rPr>
        <w:t xml:space="preserve">ОП) с учетом соответствующих решений ИК, касающихся этих стран; необходимость выделения ресурсов, позволяющих всем Сторонам, действующим в рамках статьи 5 (С5), обеспечить соблюдение показателей сокращения и расширенных обязательств в рамках утвержденных планов регулирования поэтапного вывода из обращения ГХФУ (ПРПГ) и планов выполнения Кигалийской поправки (ПВК); интеграцию цифровых технологий и инструментов в секторе обслуживания; сценарий выделения ресурсов для финансирования в поддержку ограниченного числа экспериментальных проектов по усилению регионального атмосферного мониторинга; четко изложенную методику на основе соблюдения, которая опирается на план деятельности МФ, но не зависит от него и в которой применяется ряд показателей </w:t>
      </w:r>
      <w:r w:rsidR="003A214A">
        <w:rPr>
          <w:lang w:val="ru-RU"/>
        </w:rPr>
        <w:t>затрато</w:t>
      </w:r>
      <w:r w:rsidRPr="00E1048B">
        <w:rPr>
          <w:lang w:val="ru-RU"/>
        </w:rPr>
        <w:t>эффективности (</w:t>
      </w:r>
      <w:r w:rsidR="003A214A">
        <w:rPr>
          <w:lang w:val="ru-RU"/>
        </w:rPr>
        <w:t>З</w:t>
      </w:r>
      <w:r w:rsidRPr="00E1048B">
        <w:rPr>
          <w:lang w:val="ru-RU"/>
        </w:rPr>
        <w:t xml:space="preserve">Э) для производственных секторов, определенных на основе накопленного опыта, а не только на пороговых значениях </w:t>
      </w:r>
      <w:r w:rsidR="003A214A">
        <w:rPr>
          <w:lang w:val="ru-RU"/>
        </w:rPr>
        <w:t>З</w:t>
      </w:r>
      <w:r w:rsidR="003A214A" w:rsidRPr="00E1048B">
        <w:rPr>
          <w:lang w:val="ru-RU"/>
        </w:rPr>
        <w:t>Э</w:t>
      </w:r>
      <w:r w:rsidRPr="00E1048B">
        <w:rPr>
          <w:lang w:val="ru-RU"/>
        </w:rPr>
        <w:t>, утвержденных ИК; сценарии для различного числа Сторон, действующих в рамках статьи 5, которые еще не представили ПВК в отношении поэтапного сокращения оборота ГФУ с опережением целевых показателей Монреальского протокола на добровольной основе; при подготовке доклада Группе следует провести расширенные консультации; Группе следует стремиться завершить подготовку доклада заблаговременно до РГОС-48; Группе следует представить ориентировочные показатели на периоды 2030–2032 и 2033–2035 годов в поддержку стабильного и достаточного уровня финансирования; и Группе следует представить подробные расчеты в виде добавления к докладу, чтобы Стороны могли в полной мере понять проведенный Группой анализ.</w:t>
      </w:r>
    </w:p>
    <w:p w14:paraId="7ACE1192" w14:textId="0BC9BFCC"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Что касается подхода, применявшегося ГТОЭО при подготовке доклада, она отметила, что ГТОЭО учредила целевую группу по вопросу о пополнении (ЦГП), в состав которой вошли эксперты из ГТОЭО, ее комитетов по техническим вариантам замены (КТВЗ), внешние эксперты, а также эксперт-консультант. Она отметила, что трехгодичный период 2027</w:t>
      </w:r>
      <w:r w:rsidR="00345F0C" w:rsidRPr="00E1048B">
        <w:rPr>
          <w:lang w:val="ru-RU"/>
        </w:rPr>
        <w:noBreakHyphen/>
      </w:r>
      <w:r w:rsidRPr="00E1048B">
        <w:rPr>
          <w:lang w:val="ru-RU"/>
        </w:rPr>
        <w:t>2029</w:t>
      </w:r>
      <w:r w:rsidR="00345F0C" w:rsidRPr="00E1048B">
        <w:rPr>
          <w:lang w:val="ru-RU"/>
        </w:rPr>
        <w:t> </w:t>
      </w:r>
      <w:r w:rsidRPr="00E1048B">
        <w:rPr>
          <w:lang w:val="ru-RU"/>
        </w:rPr>
        <w:t xml:space="preserve">годов и два последующих трехгодичных периода представляют собой важнейшие вехи в рамках Монреальского протокола применительно к поэтапному выводу из обращения ОРВ и поэтапному сокращению оборота ГФУ. МФ будет предоставлять Сторонам С5 финансирование для завершения поэтапного вывода из обращения ГХФУ к 1 января 2030 года, что станет значительным достижением в рамках Монреальского протокола. В этот же период МФ будет также финансировать первые этапы сокращения оборота ГФУ в рамках Кигалийской поправки как для Сторон группы 1, так и для Сторон группы 2. Для Сторон группы 1 целевые показатели соблюдения предусматривают сокращение на 10% от базового уровня к 2029 году и на 30% </w:t>
      </w:r>
      <w:r w:rsidR="00345F0C" w:rsidRPr="00E1048B">
        <w:rPr>
          <w:lang w:val="ru-RU"/>
        </w:rPr>
        <w:t>–</w:t>
      </w:r>
      <w:r w:rsidRPr="00E1048B">
        <w:rPr>
          <w:lang w:val="ru-RU"/>
        </w:rPr>
        <w:t xml:space="preserve"> к 2035 году. Для Сторон группы 2 целевые показатели соблюдения предусматривают «замораживание» в 2028 году и сокращение на 10% к 2032 году. При оценке потребностей в финансировании на 2027–2029 годы и два последующих трехгодичных периода ЦГП строго учитывала соответствующие целевые показатели соблюдения в пределах этих периодов, как это было предусмотрено в решении.</w:t>
      </w:r>
    </w:p>
    <w:p w14:paraId="4E8518BB" w14:textId="7777777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Она представила график подготовки ЦГП докладов в 2026 году. Для планирования своей работы ЦГП провела совещание в феврале 2026 года в Монреале, организованное </w:t>
      </w:r>
      <w:r w:rsidRPr="00E1048B">
        <w:rPr>
          <w:lang w:val="ru-RU"/>
        </w:rPr>
        <w:lastRenderedPageBreak/>
        <w:t>секретариатом МФ (СМФ), которому ЦГП признательна за гостеприимство и неизменную поддержку ее работы. ЦГП представила настоящий доклад в мае и приняла участие в ИК-98 в июне, чтобы проследить за обсуждениями и решениями, имеющими отношение к пополнению. ЦГП рассчитывает на обсуждение своего доклада на текущем совещании и представит свой дополнительный доклад в сентябре для рассмотрения Сторонами на их ноябрьском совещании. Доклад ЦГП, представленный в мае 2026 года для РГОС-48, основан на данных и информации, имевшихся у ЦГП по состоянию на апрель 2026 года, и на решениях ИК-97, тогда как в дополнительном докладе ЦГП будут учтены, в частности: решения и обсуждения ИК-98, обсуждения на РГОС-48 и указания Сторон, обновленные данные, предоставленные в соответствии со статьей 7 (С7) и данные страновых программ (СП), обновленные сведения о положении дел с ратификацией Кигалийской поправки, любые другие изменения в базе данных МФ, влияющие на оценки финансирования, а также любая другая соответствующая информация и новые данные, поступившие в распоряжение ЦГП в ходе подготовки дополнительного доклада (июль–август 2026 года).</w:t>
      </w:r>
    </w:p>
    <w:p w14:paraId="6312A02A" w14:textId="5F8633D2"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г-жа </w:t>
      </w:r>
      <w:proofErr w:type="spellStart"/>
      <w:r w:rsidRPr="00E1048B">
        <w:rPr>
          <w:lang w:val="ru-RU"/>
        </w:rPr>
        <w:t>Маранион</w:t>
      </w:r>
      <w:proofErr w:type="spellEnd"/>
      <w:r w:rsidRPr="00E1048B">
        <w:rPr>
          <w:lang w:val="ru-RU"/>
        </w:rPr>
        <w:t xml:space="preserve"> перешла к </w:t>
      </w:r>
      <w:r w:rsidR="002D723C">
        <w:rPr>
          <w:lang w:val="ru-RU"/>
        </w:rPr>
        <w:t xml:space="preserve">вопросу </w:t>
      </w:r>
      <w:r w:rsidRPr="00E1048B">
        <w:rPr>
          <w:lang w:val="ru-RU"/>
        </w:rPr>
        <w:t>финансировани</w:t>
      </w:r>
      <w:r w:rsidR="002D723C">
        <w:rPr>
          <w:lang w:val="ru-RU"/>
        </w:rPr>
        <w:t>я</w:t>
      </w:r>
      <w:r w:rsidRPr="00E1048B">
        <w:rPr>
          <w:lang w:val="ru-RU"/>
        </w:rPr>
        <w:t xml:space="preserve"> поэтапного вывода из обращения ГХФУ. Потребности в финансировании поэтапного вывода из обращения ГХФУ на текущий трехгодичный период были рассчитаны исходя из того, что подавляющее большинство ПРПГ предусматривают полный вывод из обращения к 2030 году. Стороны, желающие полностью вывести из обращения ГХФУ к 1 января 2030 года, должны обеспечить с помощью мер регулирования и политики, чтобы ГХФУ не импортировались после этой даты, за исключением тех 2,5%, которые допускаются для нужд обслуживания в период 2030</w:t>
      </w:r>
      <w:r w:rsidR="0018722F">
        <w:rPr>
          <w:lang w:val="ru-RU"/>
        </w:rPr>
        <w:noBreakHyphen/>
      </w:r>
      <w:r w:rsidRPr="00E1048B">
        <w:rPr>
          <w:lang w:val="ru-RU"/>
        </w:rPr>
        <w:t>2040</w:t>
      </w:r>
      <w:r w:rsidR="0018722F">
        <w:rPr>
          <w:lang w:val="ru-RU"/>
        </w:rPr>
        <w:t> </w:t>
      </w:r>
      <w:r w:rsidRPr="00E1048B">
        <w:rPr>
          <w:lang w:val="ru-RU"/>
        </w:rPr>
        <w:t xml:space="preserve">годов, где это необходимо, в соответствии с положениями Монреальского протокола. Если страна намеревается осуществлять потребление в период 2030–2040 годов, в ее соглашение с ИК необходимо внести изменения, охватывающие период после 2030 года. Изменения в соглашении могут повлиять на целевые показатели, но не на объемы финансирования. Соответственно, ЦГП исходила из того, что все оставшееся потребление, на которое может быть выделено финансирование, должно быть охвачено к 2030 году. Общий объем финансирования для достижения целевых показателей соблюдения по поэтапному выводу из обращения ГХФУ складывается из затрат в секторе производства ГХФУ; в секторе потребления ГХФУ (включая проекты в области энергоэффективности </w:t>
      </w:r>
      <w:r w:rsidR="007443A3" w:rsidRPr="00D576F9">
        <w:rPr>
          <w:lang w:val="ru-RU"/>
        </w:rPr>
        <w:t>(</w:t>
      </w:r>
      <w:r w:rsidR="007443A3">
        <w:rPr>
          <w:lang w:val="ru-RU"/>
        </w:rPr>
        <w:t>ЭЭ</w:t>
      </w:r>
      <w:r w:rsidR="007443A3" w:rsidRPr="00D576F9">
        <w:rPr>
          <w:lang w:val="ru-RU"/>
        </w:rPr>
        <w:t xml:space="preserve">) </w:t>
      </w:r>
      <w:r w:rsidRPr="00E1048B">
        <w:rPr>
          <w:lang w:val="ru-RU"/>
        </w:rPr>
        <w:t xml:space="preserve">для </w:t>
      </w:r>
      <w:r w:rsidR="002D723C">
        <w:rPr>
          <w:lang w:val="ru-RU"/>
        </w:rPr>
        <w:t>М</w:t>
      </w:r>
      <w:r w:rsidRPr="00E1048B">
        <w:rPr>
          <w:lang w:val="ru-RU"/>
        </w:rPr>
        <w:t>ОП); и затрат на подготовку и проверку проектов. Работа еще не завершена, поскольку сохраняется некоторый объем потребления, котор</w:t>
      </w:r>
      <w:r w:rsidR="002D723C">
        <w:rPr>
          <w:lang w:val="ru-RU"/>
        </w:rPr>
        <w:t>ый</w:t>
      </w:r>
      <w:r w:rsidRPr="00E1048B">
        <w:rPr>
          <w:lang w:val="ru-RU"/>
        </w:rPr>
        <w:t xml:space="preserve"> предстоит охватить для завершения поэтапного вывода из обращения ГХФУ.</w:t>
      </w:r>
    </w:p>
    <w:p w14:paraId="5C974A1E" w14:textId="7777777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Для сектора производства общие потребности в финансировании на трехгодичный период 2027–2029 годов оцениваются в 23,54 млн долл. США. Подробная информация приводится в разделе 2.9 доклада. Финансирование на 2027–2029 годы рассматривалось только для одной Стороны (Китай).</w:t>
      </w:r>
    </w:p>
    <w:p w14:paraId="33033917" w14:textId="3793B4E9"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Что касается сектора потребления, то использованная ЦГП модель соблюдения для ГХФУ приводится в приложении 1 к докладу. Этапы A–E, применяемые в модели соблюдения ЦГП, дают представления о сметном объеме требуемого финансирования по состоянию на момент проведения ИК-97. На этапе A на момент ИК-97 объявленное финансирование обеспечит поддержку 116 Сторон С5, у которых имеются утвержденные ПРПГ с соглашениями о полном выводе из обращения к 2030 году. Для этапа B ЦГП учитывает новое финансирование для трех Сторон С5, у которых ПРПГ были отменены, и исходит из того, что они повторно представят ПРПГ для полного вывода из обращения в ходе следующего трехгодичного периода. Для этапа C ЦГП учитывает объявленное финансирование утвержденных этапов ПРПГ и рассчитала сметный объем финансирования для охвата оставшегося потребления, подпадающего под финансирование, у Сторон, соглашения которых предусматривают вывод из обращения не в полном объеме (менее 100%).</w:t>
      </w:r>
      <w:r w:rsidR="00BF5735">
        <w:rPr>
          <w:lang w:val="ru-RU"/>
        </w:rPr>
        <w:t xml:space="preserve"> </w:t>
      </w:r>
      <w:r w:rsidRPr="00E1048B">
        <w:rPr>
          <w:lang w:val="ru-RU"/>
        </w:rPr>
        <w:t xml:space="preserve">В соответствии с изложенным в ТЗ поручением ЦГП представляет два сценария, основанных на разных пороговых значениях </w:t>
      </w:r>
      <w:r w:rsidR="006838A9">
        <w:rPr>
          <w:lang w:val="ru-RU"/>
        </w:rPr>
        <w:t>затрато</w:t>
      </w:r>
      <w:r w:rsidRPr="00E1048B">
        <w:rPr>
          <w:lang w:val="ru-RU"/>
        </w:rPr>
        <w:t>эффективности (</w:t>
      </w:r>
      <w:r w:rsidR="006838A9">
        <w:rPr>
          <w:lang w:val="ru-RU"/>
        </w:rPr>
        <w:t>З</w:t>
      </w:r>
      <w:r w:rsidR="006838A9" w:rsidRPr="00E1048B">
        <w:rPr>
          <w:lang w:val="ru-RU"/>
        </w:rPr>
        <w:t>Э</w:t>
      </w:r>
      <w:r w:rsidRPr="00E1048B">
        <w:rPr>
          <w:lang w:val="ru-RU"/>
        </w:rPr>
        <w:t xml:space="preserve">) в производственных секторах, и отдельно определяет новый сметный объем финансирования для </w:t>
      </w:r>
      <w:r w:rsidR="002D723C">
        <w:rPr>
          <w:lang w:val="ru-RU"/>
        </w:rPr>
        <w:t>М</w:t>
      </w:r>
      <w:r w:rsidRPr="00E1048B">
        <w:rPr>
          <w:lang w:val="ru-RU"/>
        </w:rPr>
        <w:t xml:space="preserve">ОП в соответствии с решением 74/50. На следующих нескольких слайдах этап C подробно раскрывается применительно к 15 Сторонам, не относящимся к </w:t>
      </w:r>
      <w:r w:rsidR="002D723C">
        <w:rPr>
          <w:lang w:val="ru-RU"/>
        </w:rPr>
        <w:t>М</w:t>
      </w:r>
      <w:r w:rsidRPr="00E1048B">
        <w:rPr>
          <w:lang w:val="ru-RU"/>
        </w:rPr>
        <w:t xml:space="preserve">ОП, поскольку именно они оказывают наибольшее влияние на объемы финансирования. Кроме того, в модели учитываются этапы D и E </w:t>
      </w:r>
      <w:r w:rsidR="00E709F9" w:rsidRPr="00E1048B">
        <w:rPr>
          <w:lang w:val="ru-RU"/>
        </w:rPr>
        <w:t>–</w:t>
      </w:r>
      <w:r w:rsidRPr="00E1048B">
        <w:rPr>
          <w:lang w:val="ru-RU"/>
        </w:rPr>
        <w:t xml:space="preserve"> представление материалов согласно решению 89/6 в отношении </w:t>
      </w:r>
      <w:r w:rsidR="00454DCB">
        <w:rPr>
          <w:lang w:val="ru-RU"/>
        </w:rPr>
        <w:t>ЭЭ</w:t>
      </w:r>
      <w:r w:rsidR="00454DCB" w:rsidRPr="00E1048B">
        <w:rPr>
          <w:lang w:val="ru-RU"/>
        </w:rPr>
        <w:t xml:space="preserve"> </w:t>
      </w:r>
      <w:r w:rsidRPr="00E1048B">
        <w:rPr>
          <w:lang w:val="ru-RU"/>
        </w:rPr>
        <w:t>в Сторонах</w:t>
      </w:r>
      <w:r w:rsidR="00454DCB">
        <w:rPr>
          <w:lang w:val="ru-RU"/>
        </w:rPr>
        <w:t xml:space="preserve"> с </w:t>
      </w:r>
      <w:r w:rsidR="00D576F9">
        <w:rPr>
          <w:lang w:val="ru-RU"/>
        </w:rPr>
        <w:t>МОП</w:t>
      </w:r>
      <w:r w:rsidRPr="00E1048B">
        <w:rPr>
          <w:lang w:val="ru-RU"/>
        </w:rPr>
        <w:t xml:space="preserve"> и все затраты на подготовку и проверку новых проектов, соответственно.</w:t>
      </w:r>
    </w:p>
    <w:p w14:paraId="1DB1F92E" w14:textId="038DCFA6"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соответствии со сценарием 1 пороговые значения </w:t>
      </w:r>
      <w:r w:rsidR="005504F5">
        <w:rPr>
          <w:lang w:val="ru-RU"/>
        </w:rPr>
        <w:t>З</w:t>
      </w:r>
      <w:r w:rsidR="005504F5" w:rsidRPr="00E1048B">
        <w:rPr>
          <w:lang w:val="ru-RU"/>
        </w:rPr>
        <w:t>Э</w:t>
      </w:r>
      <w:r w:rsidRPr="00E1048B">
        <w:rPr>
          <w:lang w:val="ru-RU"/>
        </w:rPr>
        <w:t xml:space="preserve">, применяемые в производственных секторах, подробно изложены в документе «Анализ ЦГП документа </w:t>
      </w:r>
      <w:r w:rsidR="008822F6" w:rsidRPr="008822F6">
        <w:rPr>
          <w:lang w:val="en-US"/>
        </w:rPr>
        <w:t>ExCom</w:t>
      </w:r>
      <w:r w:rsidR="00966136">
        <w:rPr>
          <w:lang w:val="ru-RU"/>
        </w:rPr>
        <w:t> </w:t>
      </w:r>
      <w:r w:rsidR="008822F6" w:rsidRPr="00966136">
        <w:rPr>
          <w:lang w:val="ru-RU"/>
        </w:rPr>
        <w:t>89/10/</w:t>
      </w:r>
      <w:r w:rsidR="008822F6" w:rsidRPr="008822F6">
        <w:rPr>
          <w:lang w:val="en-US"/>
        </w:rPr>
        <w:t>Rev</w:t>
      </w:r>
      <w:r w:rsidR="008822F6" w:rsidRPr="00966136">
        <w:rPr>
          <w:lang w:val="ru-RU"/>
        </w:rPr>
        <w:t>.1</w:t>
      </w:r>
      <w:r w:rsidRPr="00E1048B">
        <w:rPr>
          <w:lang w:val="ru-RU"/>
        </w:rPr>
        <w:t xml:space="preserve">» (приложение 2 к докладу ЦГП). ЦГП восполнила пробелы в данных о </w:t>
      </w:r>
      <w:r w:rsidR="00AB1738">
        <w:rPr>
          <w:lang w:val="ru-RU"/>
        </w:rPr>
        <w:t>З</w:t>
      </w:r>
      <w:r w:rsidRPr="00E1048B">
        <w:rPr>
          <w:lang w:val="ru-RU"/>
        </w:rPr>
        <w:t xml:space="preserve">Э в некоторых секторах, рассматриваемых в индивидуальном порядке. Для Китая ЦГП собрала </w:t>
      </w:r>
      <w:r w:rsidRPr="00E1048B">
        <w:rPr>
          <w:lang w:val="ru-RU"/>
        </w:rPr>
        <w:lastRenderedPageBreak/>
        <w:t xml:space="preserve">данные о средней </w:t>
      </w:r>
      <w:r w:rsidR="00F7136A">
        <w:rPr>
          <w:lang w:val="ru-RU"/>
        </w:rPr>
        <w:t>З</w:t>
      </w:r>
      <w:r w:rsidR="00F7136A" w:rsidRPr="00E1048B">
        <w:rPr>
          <w:lang w:val="ru-RU"/>
        </w:rPr>
        <w:t xml:space="preserve">Э </w:t>
      </w:r>
      <w:r w:rsidRPr="00E1048B">
        <w:rPr>
          <w:lang w:val="ru-RU"/>
        </w:rPr>
        <w:t xml:space="preserve">в каждом секторе на основе инвестиционных проектов Китая, перечисленных в документе </w:t>
      </w:r>
      <w:r w:rsidR="008822F6" w:rsidRPr="008822F6">
        <w:rPr>
          <w:lang w:val="en-US"/>
        </w:rPr>
        <w:t>ExCom</w:t>
      </w:r>
      <w:r w:rsidR="008822F6" w:rsidRPr="00966136">
        <w:rPr>
          <w:lang w:val="ru-RU"/>
        </w:rPr>
        <w:t xml:space="preserve"> 89/10/</w:t>
      </w:r>
      <w:r w:rsidR="008822F6" w:rsidRPr="008822F6">
        <w:rPr>
          <w:lang w:val="en-US"/>
        </w:rPr>
        <w:t>Rev</w:t>
      </w:r>
      <w:r w:rsidR="008822F6" w:rsidRPr="00966136">
        <w:rPr>
          <w:lang w:val="ru-RU"/>
        </w:rPr>
        <w:t>.1</w:t>
      </w:r>
      <w:r w:rsidRPr="00E1048B">
        <w:rPr>
          <w:lang w:val="ru-RU"/>
        </w:rPr>
        <w:t xml:space="preserve">. Для остальных 14 Сторон ЦГП собрала данные о средней </w:t>
      </w:r>
      <w:r w:rsidR="00AB1738">
        <w:rPr>
          <w:lang w:val="ru-RU"/>
        </w:rPr>
        <w:t>З</w:t>
      </w:r>
      <w:r w:rsidR="00AB1738" w:rsidRPr="00E1048B">
        <w:rPr>
          <w:lang w:val="ru-RU"/>
        </w:rPr>
        <w:t xml:space="preserve">Э </w:t>
      </w:r>
      <w:r w:rsidRPr="00E1048B">
        <w:rPr>
          <w:lang w:val="ru-RU"/>
        </w:rPr>
        <w:t xml:space="preserve">в каждом секторе применительно к перечисленным инвестиционным проектам, за исключением проектов Китая. Для сектора обслуживания во всех 15 Сторонах, не относящихся к </w:t>
      </w:r>
      <w:r w:rsidR="002D723C">
        <w:rPr>
          <w:lang w:val="ru-RU"/>
        </w:rPr>
        <w:t>М</w:t>
      </w:r>
      <w:r w:rsidRPr="00E1048B">
        <w:rPr>
          <w:lang w:val="ru-RU"/>
        </w:rPr>
        <w:t>ОП, ЦГП применила показатель 4,8 долл. США/кг, предусмотренный руководящими принципами расчета затрат. С учетом вспомогательных расходов в размере 9,6% сметный объем финансирования в соответствии со сценарием 1 для обеспечения 100</w:t>
      </w:r>
      <w:r w:rsidR="007802FC">
        <w:rPr>
          <w:lang w:val="ru-RU"/>
        </w:rPr>
        <w:noBreakHyphen/>
      </w:r>
      <w:r w:rsidRPr="00E1048B">
        <w:rPr>
          <w:lang w:val="ru-RU"/>
        </w:rPr>
        <w:t xml:space="preserve">процентного вывода из обращения в секторе потребления 15 Сторонами, не относящимися к </w:t>
      </w:r>
      <w:r w:rsidR="002D723C">
        <w:rPr>
          <w:lang w:val="ru-RU"/>
        </w:rPr>
        <w:t>М</w:t>
      </w:r>
      <w:r w:rsidRPr="00E1048B">
        <w:rPr>
          <w:lang w:val="ru-RU"/>
        </w:rPr>
        <w:t xml:space="preserve">ОП, при применении исторических показателей </w:t>
      </w:r>
      <w:r w:rsidR="00F7136A">
        <w:rPr>
          <w:lang w:val="ru-RU"/>
        </w:rPr>
        <w:t>З</w:t>
      </w:r>
      <w:r w:rsidR="00F7136A" w:rsidRPr="00E1048B">
        <w:rPr>
          <w:lang w:val="ru-RU"/>
        </w:rPr>
        <w:t xml:space="preserve">Э </w:t>
      </w:r>
      <w:r w:rsidRPr="00E1048B">
        <w:rPr>
          <w:lang w:val="ru-RU"/>
        </w:rPr>
        <w:t>для производственных секторов составляет 370 млн долл. США.</w:t>
      </w:r>
    </w:p>
    <w:p w14:paraId="4FB11AAC" w14:textId="54FB32A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соответствии со сценарием 2 для всех 15 Сторон ЦГП использовала верхние предельные пороговые значения </w:t>
      </w:r>
      <w:r w:rsidR="00AE0B85">
        <w:rPr>
          <w:lang w:val="ru-RU"/>
        </w:rPr>
        <w:t>З</w:t>
      </w:r>
      <w:r w:rsidR="00AE0B85" w:rsidRPr="00E1048B">
        <w:rPr>
          <w:lang w:val="ru-RU"/>
        </w:rPr>
        <w:t xml:space="preserve">Э </w:t>
      </w:r>
      <w:r w:rsidRPr="00E1048B">
        <w:rPr>
          <w:lang w:val="ru-RU"/>
        </w:rPr>
        <w:t xml:space="preserve">для производственных секторов, предусмотренные руководящими принципами расчета затрат применительно к ГХФУ, и восполнила отдельные пробелы в данных об </w:t>
      </w:r>
      <w:r w:rsidR="00F7136A">
        <w:rPr>
          <w:lang w:val="ru-RU"/>
        </w:rPr>
        <w:t>З</w:t>
      </w:r>
      <w:r w:rsidR="00F7136A" w:rsidRPr="00E1048B">
        <w:rPr>
          <w:lang w:val="ru-RU"/>
        </w:rPr>
        <w:t xml:space="preserve">Э </w:t>
      </w:r>
      <w:r w:rsidRPr="00E1048B">
        <w:rPr>
          <w:lang w:val="ru-RU"/>
        </w:rPr>
        <w:t xml:space="preserve">в секторах, рассматриваемых в индивидуальном порядке. Для сектора обслуживания ЦГП применила показатель 4,8 долл. США/кг (руководящие принципы расчета затрат). С учетом вспомогательных расходов в размере 9,6% сметный объем финансирования в соответствии со сценарием 2 для обеспечения 100-процентного вывода из обращения в секторе потребления 15 Сторонами, не относящимися к </w:t>
      </w:r>
      <w:r w:rsidR="002D723C">
        <w:rPr>
          <w:lang w:val="ru-RU"/>
        </w:rPr>
        <w:t>М</w:t>
      </w:r>
      <w:r w:rsidRPr="00E1048B">
        <w:rPr>
          <w:lang w:val="ru-RU"/>
        </w:rPr>
        <w:t xml:space="preserve">ОП, при применении показателей </w:t>
      </w:r>
      <w:r w:rsidR="00F7136A">
        <w:rPr>
          <w:lang w:val="ru-RU"/>
        </w:rPr>
        <w:t>З</w:t>
      </w:r>
      <w:r w:rsidRPr="00E1048B">
        <w:rPr>
          <w:lang w:val="ru-RU"/>
        </w:rPr>
        <w:t>Э из руководящих принципов расчета затрат для производственных секторов составляет 506 млн долл. США</w:t>
      </w:r>
      <w:r w:rsidR="00BC2E42">
        <w:rPr>
          <w:lang w:val="ru-RU"/>
        </w:rPr>
        <w:t>.</w:t>
      </w:r>
    </w:p>
    <w:p w14:paraId="585924D4" w14:textId="78CFA90D"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После представления сметного диапазона финансирования, полученного путем применения двух сценариев к 15 Сторонам, не относящимся к </w:t>
      </w:r>
      <w:r w:rsidR="002D723C">
        <w:rPr>
          <w:lang w:val="ru-RU"/>
        </w:rPr>
        <w:t>М</w:t>
      </w:r>
      <w:r w:rsidRPr="00E1048B">
        <w:rPr>
          <w:lang w:val="ru-RU"/>
        </w:rPr>
        <w:t xml:space="preserve">ОП, для полного вывода из обращения ГХФУ, ЦГП также применила 15-процентный вычет из финансирования производственных секторов для учета иностранной собственности. Расходы на группы управления проектами (ГУП) не включались до получения указаний, которые будут рассмотрены при подготовке дополнительного доклада. Общие сметные объемы финансирования для секторов производства и потребления, включая </w:t>
      </w:r>
      <w:r w:rsidR="00341F38">
        <w:rPr>
          <w:lang w:val="ru-RU"/>
        </w:rPr>
        <w:t>ЭЭ</w:t>
      </w:r>
      <w:r w:rsidRPr="00E1048B">
        <w:rPr>
          <w:lang w:val="ru-RU"/>
        </w:rPr>
        <w:t>, а также подготовку и проверку проектов, были распределены с использованием предложенной ЦГП схемы распределения ресурсов следующим образом: 90% финансирования в 2027</w:t>
      </w:r>
      <w:r w:rsidR="00E709F9" w:rsidRPr="00E1048B">
        <w:rPr>
          <w:lang w:val="ru-RU"/>
        </w:rPr>
        <w:noBreakHyphen/>
      </w:r>
      <w:r w:rsidRPr="00E1048B">
        <w:rPr>
          <w:lang w:val="ru-RU"/>
        </w:rPr>
        <w:t>2029</w:t>
      </w:r>
      <w:r w:rsidR="00E709F9" w:rsidRPr="00E1048B">
        <w:rPr>
          <w:lang w:val="ru-RU"/>
        </w:rPr>
        <w:t> </w:t>
      </w:r>
      <w:r w:rsidRPr="00E1048B">
        <w:rPr>
          <w:lang w:val="ru-RU"/>
        </w:rPr>
        <w:t>годах и 10% финансирования в виде последнего транша после 2029 года. Для сектора потребления в соответствии со сценарием 1 предлагаемое распределение финансирования оценивается в 427,6</w:t>
      </w:r>
      <w:r w:rsidR="00190C78">
        <w:rPr>
          <w:lang w:val="ru-RU"/>
        </w:rPr>
        <w:t> </w:t>
      </w:r>
      <w:r w:rsidRPr="00E1048B">
        <w:rPr>
          <w:lang w:val="ru-RU"/>
        </w:rPr>
        <w:t>млн долл. США на 2027–2029 годы и 59 млн долл. США на 2030 год. В соответствии со сценарием 2 предлагаемое распределение финансирования оценивается в 549</w:t>
      </w:r>
      <w:r w:rsidR="00E709F9" w:rsidRPr="00E1048B">
        <w:rPr>
          <w:lang w:val="ru-RU"/>
        </w:rPr>
        <w:t> </w:t>
      </w:r>
      <w:r w:rsidRPr="00E1048B">
        <w:rPr>
          <w:lang w:val="ru-RU"/>
        </w:rPr>
        <w:t>млн долл. США на 2027–2029 годы и 72,5 млн долл. США на 2030 год. Общий сметный диапазон финансирования для секторов производства и потребления ГХФУ составляет 451</w:t>
      </w:r>
      <w:r w:rsidR="00E709F9" w:rsidRPr="00E1048B">
        <w:rPr>
          <w:lang w:val="ru-RU"/>
        </w:rPr>
        <w:noBreakHyphen/>
      </w:r>
      <w:r w:rsidRPr="00E1048B">
        <w:rPr>
          <w:lang w:val="ru-RU"/>
        </w:rPr>
        <w:t>573</w:t>
      </w:r>
      <w:r w:rsidR="00E709F9" w:rsidRPr="00E1048B">
        <w:rPr>
          <w:lang w:val="ru-RU"/>
        </w:rPr>
        <w:t> </w:t>
      </w:r>
      <w:r w:rsidRPr="00E1048B">
        <w:rPr>
          <w:lang w:val="ru-RU"/>
        </w:rPr>
        <w:t>млн долл. США на 2027–2029 годы и 82,5–96 млн долл. США на 2030 год.</w:t>
      </w:r>
    </w:p>
    <w:p w14:paraId="6EE6CBE1" w14:textId="1B561390"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сопредседатель ЦГП г-жа Карвалью приступила к представлению сметных объемов финансирования для поэтапного сокращения оборота ГФУ. Она отметила, что ТЗ </w:t>
      </w:r>
      <w:r w:rsidR="004A4B36">
        <w:rPr>
          <w:lang w:val="ru-RU"/>
        </w:rPr>
        <w:t xml:space="preserve">для </w:t>
      </w:r>
      <w:r w:rsidRPr="00E1048B">
        <w:rPr>
          <w:lang w:val="ru-RU"/>
        </w:rPr>
        <w:t>ЦГП предусматривает подготовку сметных объемов финансирования на три трехгодичных периода (с 2027 по 2035 год), а целевые показатели регулирования, приходящиеся на период 2027</w:t>
      </w:r>
      <w:r w:rsidR="00E709F9" w:rsidRPr="00E1048B">
        <w:rPr>
          <w:lang w:val="ru-RU"/>
        </w:rPr>
        <w:noBreakHyphen/>
      </w:r>
      <w:r w:rsidRPr="00E1048B">
        <w:rPr>
          <w:lang w:val="ru-RU"/>
        </w:rPr>
        <w:t>2035</w:t>
      </w:r>
      <w:r w:rsidR="00E709F9" w:rsidRPr="00E1048B">
        <w:rPr>
          <w:lang w:val="ru-RU"/>
        </w:rPr>
        <w:t> </w:t>
      </w:r>
      <w:r w:rsidRPr="00E1048B">
        <w:rPr>
          <w:lang w:val="ru-RU"/>
        </w:rPr>
        <w:t xml:space="preserve">годов, таковы: для группы 1 (Г1) </w:t>
      </w:r>
      <w:r w:rsidR="00E709F9" w:rsidRPr="00E1048B">
        <w:rPr>
          <w:lang w:val="ru-RU"/>
        </w:rPr>
        <w:t>–</w:t>
      </w:r>
      <w:r w:rsidRPr="00E1048B">
        <w:rPr>
          <w:lang w:val="ru-RU"/>
        </w:rPr>
        <w:t xml:space="preserve"> сокращение на 10% к 2029 году и на 30% к 2035</w:t>
      </w:r>
      <w:r w:rsidR="00E709F9" w:rsidRPr="00E1048B">
        <w:rPr>
          <w:lang w:val="ru-RU"/>
        </w:rPr>
        <w:t> </w:t>
      </w:r>
      <w:r w:rsidRPr="00E1048B">
        <w:rPr>
          <w:lang w:val="ru-RU"/>
        </w:rPr>
        <w:t xml:space="preserve">году; для группы 2 (Г2) </w:t>
      </w:r>
      <w:r w:rsidR="00E709F9" w:rsidRPr="00E1048B">
        <w:rPr>
          <w:lang w:val="ru-RU"/>
        </w:rPr>
        <w:t>–</w:t>
      </w:r>
      <w:r w:rsidRPr="00E1048B">
        <w:rPr>
          <w:lang w:val="ru-RU"/>
        </w:rPr>
        <w:t xml:space="preserve"> «замораживание» к 2028 году и сокращение на 10% к 2032 году. ЦГП рассчитала объемы финансирования для Сторон Г1 (этапы I и II плана выполнения Кигалийской поправки (ПВК)) и для Сторон Г2 («замораживание» и этап I ПВК) в соответствии с двумя сценариями: сценарий 1 </w:t>
      </w:r>
      <w:r w:rsidR="00E709F9" w:rsidRPr="00E1048B">
        <w:rPr>
          <w:lang w:val="ru-RU"/>
        </w:rPr>
        <w:t>–</w:t>
      </w:r>
      <w:r w:rsidRPr="00E1048B">
        <w:rPr>
          <w:lang w:val="ru-RU"/>
        </w:rPr>
        <w:t xml:space="preserve"> с применением значений </w:t>
      </w:r>
      <w:r w:rsidR="002A5016">
        <w:rPr>
          <w:lang w:val="ru-RU"/>
        </w:rPr>
        <w:t>З</w:t>
      </w:r>
      <w:r w:rsidR="002A5016" w:rsidRPr="00E1048B">
        <w:rPr>
          <w:lang w:val="ru-RU"/>
        </w:rPr>
        <w:t xml:space="preserve">Э </w:t>
      </w:r>
      <w:r w:rsidRPr="00E1048B">
        <w:rPr>
          <w:lang w:val="ru-RU"/>
        </w:rPr>
        <w:t xml:space="preserve">без распределения долей для малых и средних предприятий (МСП) и сценарий 2 </w:t>
      </w:r>
      <w:r w:rsidR="00E709F9" w:rsidRPr="00E1048B">
        <w:rPr>
          <w:lang w:val="ru-RU"/>
        </w:rPr>
        <w:t>–</w:t>
      </w:r>
      <w:r w:rsidRPr="00E1048B">
        <w:rPr>
          <w:lang w:val="ru-RU"/>
        </w:rPr>
        <w:t xml:space="preserve"> с применением значений </w:t>
      </w:r>
      <w:r w:rsidR="002A5016">
        <w:rPr>
          <w:lang w:val="ru-RU"/>
        </w:rPr>
        <w:t>З</w:t>
      </w:r>
      <w:r w:rsidR="002A5016" w:rsidRPr="00E1048B">
        <w:rPr>
          <w:lang w:val="ru-RU"/>
        </w:rPr>
        <w:t xml:space="preserve">Э </w:t>
      </w:r>
      <w:r w:rsidRPr="00E1048B">
        <w:rPr>
          <w:lang w:val="ru-RU"/>
        </w:rPr>
        <w:t>с распределением долей для МСП. В рамках каждого сценария общий объем финансирования распределяется между тремя трехгодичными периодами согласно графикам распределения ресурсов A и B.</w:t>
      </w:r>
    </w:p>
    <w:p w14:paraId="2728620A" w14:textId="4501C0D8"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Затем г-жа Карвалью обозначила этапы использованной ЦГП модели соблюдения в секторе потребления ГФУ, подробно описанной в приложении 4 к докладу. На этапе 1 по состоянию на ИК-97 насчитывается 83 Стороны Г1 с утвержденным этапом I ПВК и разными согласованными показателями сокращения в процентах от базового уровня. Модель охватывала: a) объявленное финансирование для всех 83 утвержденных этапов I ПВК; и b)</w:t>
      </w:r>
      <w:r w:rsidR="00E709F9" w:rsidRPr="00E1048B">
        <w:rPr>
          <w:lang w:val="ru-RU"/>
        </w:rPr>
        <w:t> </w:t>
      </w:r>
      <w:r w:rsidRPr="00E1048B">
        <w:rPr>
          <w:lang w:val="ru-RU"/>
        </w:rPr>
        <w:t>новое финансирование для этапа II ПВК для 70 Сторон (из 83 в общей сложности), у которых показатели сокращения ГФУ составляют менее 30% от базового уровня. У 13 Сторон показатели сокращения равны 30% или превышают их, и ЦГП не включила их в сметную оценку финансирования, поскольку финансирование для достижения ими целевых показателей сокращения на период после 2035 года уже предоставлено. На этапе 2 насчитывается 42</w:t>
      </w:r>
      <w:r w:rsidR="00E709F9" w:rsidRPr="00E1048B">
        <w:rPr>
          <w:lang w:val="ru-RU"/>
        </w:rPr>
        <w:t> </w:t>
      </w:r>
      <w:r w:rsidRPr="00E1048B">
        <w:rPr>
          <w:lang w:val="ru-RU"/>
        </w:rPr>
        <w:t xml:space="preserve">Стороны Г1 и Г2 без утвержденного этапа I ПВК, ратифицировавшие Кигалийскую поправку: a) для Г1 рассчитан объем нового финансирования для 36 Сторон С5 на </w:t>
      </w:r>
      <w:r w:rsidRPr="00E1048B">
        <w:rPr>
          <w:lang w:val="ru-RU"/>
        </w:rPr>
        <w:lastRenderedPageBreak/>
        <w:t xml:space="preserve">представление этапов I и II ПВК (10% к 2029 году и 30% к 2035 году); и b) для Г2 </w:t>
      </w:r>
      <w:r w:rsidR="00E709F9" w:rsidRPr="00E1048B">
        <w:rPr>
          <w:lang w:val="ru-RU"/>
        </w:rPr>
        <w:t>–</w:t>
      </w:r>
      <w:r w:rsidRPr="00E1048B">
        <w:rPr>
          <w:lang w:val="ru-RU"/>
        </w:rPr>
        <w:t xml:space="preserve"> новое финансирование для </w:t>
      </w:r>
      <w:r w:rsidR="00E27FB0">
        <w:rPr>
          <w:lang w:val="ru-RU"/>
        </w:rPr>
        <w:t>6</w:t>
      </w:r>
      <w:r w:rsidRPr="00E1048B">
        <w:rPr>
          <w:lang w:val="ru-RU"/>
        </w:rPr>
        <w:t xml:space="preserve"> Сторон на обеспечение «замораживания» к 2028 году и сокращения на 10% к 2032 году. На этапе 3 насчитывается 19 Сторон, которые еще не ратифицировали Кигалийскую поправку; ЦГП прогнозирует стопроцентную ратификацию в 2027–2029 годах: a)</w:t>
      </w:r>
      <w:r w:rsidR="00E709F9" w:rsidRPr="00E1048B">
        <w:rPr>
          <w:lang w:val="ru-RU"/>
        </w:rPr>
        <w:t> </w:t>
      </w:r>
      <w:r w:rsidRPr="00E1048B">
        <w:rPr>
          <w:lang w:val="ru-RU"/>
        </w:rPr>
        <w:t xml:space="preserve">для Г1 </w:t>
      </w:r>
      <w:r w:rsidR="00E709F9" w:rsidRPr="00E1048B">
        <w:rPr>
          <w:lang w:val="ru-RU"/>
        </w:rPr>
        <w:t>–</w:t>
      </w:r>
      <w:r w:rsidRPr="00E1048B">
        <w:rPr>
          <w:lang w:val="ru-RU"/>
        </w:rPr>
        <w:t xml:space="preserve"> новое финансирование для 16 Сторон С5; и b) для Г2 </w:t>
      </w:r>
      <w:r w:rsidR="00E709F9" w:rsidRPr="00E1048B">
        <w:rPr>
          <w:lang w:val="ru-RU"/>
        </w:rPr>
        <w:t>–</w:t>
      </w:r>
      <w:r w:rsidRPr="00E1048B">
        <w:rPr>
          <w:lang w:val="ru-RU"/>
        </w:rPr>
        <w:t xml:space="preserve"> новое финансирование для </w:t>
      </w:r>
      <w:r w:rsidR="00E27FB0">
        <w:rPr>
          <w:lang w:val="ru-RU"/>
        </w:rPr>
        <w:t>3 </w:t>
      </w:r>
      <w:r w:rsidRPr="00E1048B">
        <w:rPr>
          <w:lang w:val="ru-RU"/>
        </w:rPr>
        <w:t>Сторон. На период 2027–2035 годов сметный общий диапазон финансирования, охватывающего этапы I и II, для двух сценариев составляет 2190–2256 млн долл. США.</w:t>
      </w:r>
    </w:p>
    <w:p w14:paraId="5345D14E" w14:textId="4EBA1FFB"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Г-жа Карвалью показала процентное распределение потребления между секторами, полученное на основе данных, представленных Сторонами в соответствии со статьей 7 в разбивке по химическим веществам, ввиду отсутствия надежных данных страновых программ. ЦГП сгруппировала страны в кластеры исходя из уровня базового потребления: Сторона с наиболее высоким базовым уровнем, затем 10 крупнейших и так далее. Стороны Г2 рассматривались отдельно. Она также представила пороговые значения </w:t>
      </w:r>
      <w:r w:rsidR="00C07118">
        <w:rPr>
          <w:lang w:val="ru-RU"/>
        </w:rPr>
        <w:t>З</w:t>
      </w:r>
      <w:r w:rsidR="00C07118" w:rsidRPr="00E1048B">
        <w:rPr>
          <w:lang w:val="ru-RU"/>
        </w:rPr>
        <w:t xml:space="preserve">Э </w:t>
      </w:r>
      <w:r w:rsidRPr="00E1048B">
        <w:rPr>
          <w:lang w:val="ru-RU"/>
        </w:rPr>
        <w:t>для секторов, применяемые в сценарии 1 (с распределением долей для МСП) и сценарии 2 (с распределением долей для МСП).</w:t>
      </w:r>
    </w:p>
    <w:p w14:paraId="387B759A" w14:textId="0A63A980"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она представила предложение ЦГП о двух возможных графиках распределения ресурсов, A и B, между тремя трехгодичными периодами. Применительно к графику A ЦГП исходила из того, что Стороны Г1 с утвержденным этапом I могут быть готовы к этапу II в следующем трехгодичном периоде и что необходимое для этапа II финансирование может быть распределено следующим образом: 60% в 2027–2029 годах и 40% в 2030–2032 годах. Применительно к графику B соотношение 60% / 40% может применяться начиная с 2030 года и далее. Речь идет не о 60% Сторон, а о 60% финансирования, приходящегося на те Стороны, которые войдут в соответствующий трехгодичный период. Предложения о распределении могут быть скорректированы соответствующим образом </w:t>
      </w:r>
      <w:r w:rsidR="00FB0D1B" w:rsidRPr="00E1048B">
        <w:rPr>
          <w:lang w:val="ru-RU"/>
        </w:rPr>
        <w:t>–</w:t>
      </w:r>
      <w:r w:rsidRPr="00E1048B">
        <w:rPr>
          <w:lang w:val="ru-RU"/>
        </w:rPr>
        <w:t xml:space="preserve"> либо с расчетом на ускоренное утверждение </w:t>
      </w:r>
      <w:r w:rsidR="00187D30">
        <w:rPr>
          <w:lang w:val="ru-RU"/>
        </w:rPr>
        <w:t xml:space="preserve">этапа </w:t>
      </w:r>
      <w:r w:rsidR="00187D30">
        <w:rPr>
          <w:lang w:val="en-US"/>
        </w:rPr>
        <w:t>II</w:t>
      </w:r>
      <w:r w:rsidR="00187D30" w:rsidRPr="007802FC">
        <w:rPr>
          <w:lang w:val="ru-RU"/>
        </w:rPr>
        <w:t xml:space="preserve"> </w:t>
      </w:r>
      <w:r w:rsidRPr="00E1048B">
        <w:rPr>
          <w:lang w:val="ru-RU"/>
        </w:rPr>
        <w:t>части ПВК в следующем трехгодичном периоде (2027–2029 годы), как в графике A, либо с переносом финансирования этап</w:t>
      </w:r>
      <w:r w:rsidR="00187D30">
        <w:rPr>
          <w:lang w:val="ru-RU"/>
        </w:rPr>
        <w:t>а</w:t>
      </w:r>
      <w:r w:rsidRPr="00E1048B">
        <w:rPr>
          <w:lang w:val="ru-RU"/>
        </w:rPr>
        <w:t xml:space="preserve"> II ПВК на два следующих трехгодичных периода, как в графике B. Для Сторон Г1, не имеющих ПВК, существует безотлагательная необходимость получить финансирование для 100% этапа I ПВК в следующем трехгодичном периоде, чтобы обеспечить сокращение на 10% к 2029 году.</w:t>
      </w:r>
    </w:p>
    <w:p w14:paraId="735B6DBC" w14:textId="034CD291"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График B сходен с графиком A, однако предусматривает выплату 10% в виде последнего транша в 2030–2032 годах. Этим Сторонам, возможно, потребуется также ускорить осуществление этапа II ПВК для достижения сокращения на 30%</w:t>
      </w:r>
      <w:r w:rsidR="00FB0D1B" w:rsidRPr="00E1048B">
        <w:rPr>
          <w:lang w:val="ru-RU"/>
        </w:rPr>
        <w:t xml:space="preserve"> </w:t>
      </w:r>
      <w:r w:rsidRPr="00E1048B">
        <w:rPr>
          <w:lang w:val="ru-RU"/>
        </w:rPr>
        <w:t>к 2035 году, если только они не согласятся выйти за рамки сокращения на 10% уже на этапе I.</w:t>
      </w:r>
    </w:p>
    <w:p w14:paraId="158DA881" w14:textId="3CC4D500"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Для Сторон Г2, не имеющих ПВК, график A сходен с графиком для Сторон Г1 с утвержденным этапом I ПВК. Финансирование в соответствии с графиком B станет доступным в 2030 году, что может оказаться слишком поздно для достижения Сторонами Г2 сокращения на 10% к 1 января 2032 года. Важно также уточнить, что ЦГП не рассматривала финансирование этапа II для Сторон Г2 в целях достижения сокращения на 20% к 2037 году, поскольку это выходит за рамки трех трехгодичных периодов, которые ЦГП было поручено охватить.</w:t>
      </w:r>
    </w:p>
    <w:p w14:paraId="76862338" w14:textId="6FEBC0EC"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Резюмируя допущения модели соблюдения для сектора потребления ГФУ, г</w:t>
      </w:r>
      <w:r w:rsidR="00724455" w:rsidRPr="00E1048B">
        <w:rPr>
          <w:lang w:val="ru-RU"/>
        </w:rPr>
        <w:noBreakHyphen/>
      </w:r>
      <w:r w:rsidRPr="00E1048B">
        <w:rPr>
          <w:lang w:val="ru-RU"/>
        </w:rPr>
        <w:t>жа</w:t>
      </w:r>
      <w:r w:rsidR="00724455" w:rsidRPr="00E1048B">
        <w:rPr>
          <w:lang w:val="ru-RU"/>
        </w:rPr>
        <w:t> </w:t>
      </w:r>
      <w:r w:rsidRPr="00E1048B">
        <w:rPr>
          <w:lang w:val="ru-RU"/>
        </w:rPr>
        <w:t>Карвалью заявила, что ЦГП учитывала решения ИК вплоть до 97-го совещания, данные секретариата МФ, представленные по состоянию на январь 2026 года, а также данные секретариата по озону, касающиеся статьи 7 и базовых уровней, и сведения о положении дел с ратификацией Сторонами по состоянию на 8 апреля 2026 года. ЦГП исходила из того, что 19</w:t>
      </w:r>
      <w:r w:rsidR="00FB0D1B" w:rsidRPr="00E1048B">
        <w:rPr>
          <w:lang w:val="ru-RU"/>
        </w:rPr>
        <w:t> </w:t>
      </w:r>
      <w:r w:rsidRPr="00E1048B">
        <w:rPr>
          <w:lang w:val="ru-RU"/>
        </w:rPr>
        <w:t xml:space="preserve">Сторон, которые по состоянию на апрель 2026 года еще не ратифицировали Кигалийскую поправку, ратифицируют ее в трехгодичном периоде 2027–2029 годов. Свои расчеты ЦГП строила также на показателях сокращения от базового уровня и отнесла 65% потребления ГХФУ к сектору обслуживания. ЦГП выявила пробелы и несоответствия в данных, представляемых согласно статье 7, в базовых уровнях и в информации о страновых программах и восполнила эти пробелы с использованием методики, описанной в главе 3.4.2 и приложении 3 к докладу. Содержащееся в пункте 4 ТЗ </w:t>
      </w:r>
      <w:r w:rsidR="001C6FA8">
        <w:rPr>
          <w:lang w:val="ru-RU"/>
        </w:rPr>
        <w:t xml:space="preserve">для </w:t>
      </w:r>
      <w:r w:rsidRPr="00E1048B">
        <w:rPr>
          <w:lang w:val="ru-RU"/>
        </w:rPr>
        <w:t>ЦГП поручение «подготовить сценарии для различного числа Сторон, представляющих ПВК в отношении поэтапного сокращения оборота ГФУ с опережением целевых показателей на добровольной основе» оказалась трудновыполнимой. В качестве ответа на нее ЦГП предложила графики распределения ресурсов A и B, которые могут быть скорректированы, если Стороны того пожелают. ЦГП приветствует предложения и указания Сторон в отношении этих графиков для подготовки дополнительного доклада.</w:t>
      </w:r>
    </w:p>
    <w:p w14:paraId="13020AB1" w14:textId="5BCCB682"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lastRenderedPageBreak/>
        <w:t xml:space="preserve">ЦГП отдельно рассмотрела потребности в финансировании </w:t>
      </w:r>
      <w:r w:rsidR="009B2F49">
        <w:rPr>
          <w:lang w:val="ru-RU"/>
        </w:rPr>
        <w:t>ЭЭ</w:t>
      </w:r>
      <w:r w:rsidR="009B2F49" w:rsidRPr="00E1048B">
        <w:rPr>
          <w:lang w:val="ru-RU"/>
        </w:rPr>
        <w:t xml:space="preserve"> </w:t>
      </w:r>
      <w:r w:rsidRPr="00E1048B">
        <w:rPr>
          <w:lang w:val="ru-RU"/>
        </w:rPr>
        <w:t xml:space="preserve">на трехгодичный период 2027–2029 годов. ИК создал четыре взаимодополняющих канала финансирования, охватывающих обслуживание, производство и виды применения у конечных пользователей: в решении 89/6 поддерживается проведение дополнительных мероприятий в области </w:t>
      </w:r>
      <w:r w:rsidR="0000561A">
        <w:rPr>
          <w:lang w:val="ru-RU"/>
        </w:rPr>
        <w:t>ЭЭ</w:t>
      </w:r>
      <w:r w:rsidR="0000561A" w:rsidRPr="00E1048B">
        <w:rPr>
          <w:lang w:val="ru-RU"/>
        </w:rPr>
        <w:t xml:space="preserve"> </w:t>
      </w:r>
      <w:r w:rsidRPr="00E1048B">
        <w:rPr>
          <w:lang w:val="ru-RU"/>
        </w:rPr>
        <w:t xml:space="preserve">в рамках ПРПГ для </w:t>
      </w:r>
      <w:r w:rsidR="002D723C">
        <w:rPr>
          <w:lang w:val="ru-RU"/>
        </w:rPr>
        <w:t>М</w:t>
      </w:r>
      <w:r w:rsidRPr="00E1048B">
        <w:rPr>
          <w:lang w:val="ru-RU"/>
        </w:rPr>
        <w:t xml:space="preserve">ОП; в решении 91/65 учрежден допускающий увеличение экспериментальный механизм финансирования в объеме 20 млн долл. США для проектов в области </w:t>
      </w:r>
      <w:r w:rsidR="0000561A">
        <w:rPr>
          <w:lang w:val="ru-RU"/>
        </w:rPr>
        <w:t>ЭЭ</w:t>
      </w:r>
      <w:r w:rsidRPr="00E1048B">
        <w:rPr>
          <w:lang w:val="ru-RU"/>
        </w:rPr>
        <w:t>, включая техническую помощь и создание потенциала в странах, не имеющих производственных секторов; в решении 95/87 срок представления материалов продлен до ИК</w:t>
      </w:r>
      <w:r w:rsidR="00190C78">
        <w:rPr>
          <w:lang w:val="ru-RU"/>
        </w:rPr>
        <w:noBreakHyphen/>
      </w:r>
      <w:r w:rsidRPr="00E1048B">
        <w:rPr>
          <w:lang w:val="ru-RU"/>
        </w:rPr>
        <w:t>100, но только применительно к мероприятиям в секторе обслуживания; в решении 94/60 создан допускающий увеличение механизм стимулирующего финансирования в объеме 100</w:t>
      </w:r>
      <w:r w:rsidR="00190C78">
        <w:rPr>
          <w:lang w:val="ru-RU"/>
        </w:rPr>
        <w:t> </w:t>
      </w:r>
      <w:r w:rsidRPr="00E1048B">
        <w:rPr>
          <w:lang w:val="ru-RU"/>
        </w:rPr>
        <w:t xml:space="preserve">млн долл. США для повышения </w:t>
      </w:r>
      <w:r w:rsidR="0000561A">
        <w:rPr>
          <w:lang w:val="ru-RU"/>
        </w:rPr>
        <w:t>ЭЭ</w:t>
      </w:r>
      <w:r w:rsidR="0000561A" w:rsidRPr="00E1048B">
        <w:rPr>
          <w:lang w:val="ru-RU"/>
        </w:rPr>
        <w:t xml:space="preserve"> </w:t>
      </w:r>
      <w:r w:rsidRPr="00E1048B">
        <w:rPr>
          <w:lang w:val="ru-RU"/>
        </w:rPr>
        <w:t xml:space="preserve">в производстве; а в решении 95/87 учрежден отдельный экспериментальный механизм финансирования в объеме 40 млн долл. США для двух проектов конечных пользователей с использованием механизмов оборотных фондов. В целом ЦГП оценила потребности в финансировании </w:t>
      </w:r>
      <w:r w:rsidR="0000561A">
        <w:rPr>
          <w:lang w:val="ru-RU"/>
        </w:rPr>
        <w:t>ЭЭ</w:t>
      </w:r>
      <w:r w:rsidR="0000561A" w:rsidRPr="00E1048B">
        <w:rPr>
          <w:lang w:val="ru-RU"/>
        </w:rPr>
        <w:t xml:space="preserve"> </w:t>
      </w:r>
      <w:r w:rsidRPr="00E1048B">
        <w:rPr>
          <w:lang w:val="ru-RU"/>
        </w:rPr>
        <w:t>на трехгодичный период 2027</w:t>
      </w:r>
      <w:r w:rsidR="00BB6FA2" w:rsidRPr="00E1048B">
        <w:rPr>
          <w:lang w:val="ru-RU"/>
        </w:rPr>
        <w:noBreakHyphen/>
      </w:r>
      <w:r w:rsidRPr="00E1048B">
        <w:rPr>
          <w:lang w:val="ru-RU"/>
        </w:rPr>
        <w:t xml:space="preserve">2029 годов в </w:t>
      </w:r>
      <w:r w:rsidR="00A664D6">
        <w:rPr>
          <w:lang w:val="ru-RU"/>
        </w:rPr>
        <w:t>размере</w:t>
      </w:r>
      <w:r w:rsidRPr="00E1048B">
        <w:rPr>
          <w:lang w:val="ru-RU"/>
        </w:rPr>
        <w:t xml:space="preserve"> от примерно 75,9 млн долл. США </w:t>
      </w:r>
      <w:r w:rsidR="00A664D6">
        <w:rPr>
          <w:lang w:val="ru-RU"/>
        </w:rPr>
        <w:t>в нижнем диапазоне</w:t>
      </w:r>
      <w:r w:rsidRPr="00E1048B">
        <w:rPr>
          <w:lang w:val="ru-RU"/>
        </w:rPr>
        <w:t xml:space="preserve"> до 133,5 млн долл. США </w:t>
      </w:r>
      <w:r w:rsidR="00A664D6">
        <w:rPr>
          <w:lang w:val="ru-RU"/>
        </w:rPr>
        <w:t>в верхнем диапазоне</w:t>
      </w:r>
      <w:r w:rsidRPr="00E1048B">
        <w:rPr>
          <w:lang w:val="ru-RU"/>
        </w:rPr>
        <w:t xml:space="preserve">, включая вспомогательные расходы. Этот диапазон отражает неопределенность в отношении спроса на проекты, возможного увеличения объема существующих механизмов и осуществления экспериментальных проектов с оборотными фондами. Поддержка </w:t>
      </w:r>
      <w:r w:rsidR="00FF0FBB">
        <w:rPr>
          <w:lang w:val="ru-RU"/>
        </w:rPr>
        <w:t>ЭЭ</w:t>
      </w:r>
      <w:r w:rsidR="00FF0FBB" w:rsidRPr="00E1048B">
        <w:rPr>
          <w:lang w:val="ru-RU"/>
        </w:rPr>
        <w:t xml:space="preserve"> </w:t>
      </w:r>
      <w:r w:rsidRPr="00E1048B">
        <w:rPr>
          <w:lang w:val="ru-RU"/>
        </w:rPr>
        <w:t>представляет собой теперь целый набор взаимодополняющих инструментов, охватывающих обслуживание, производство и виды применения у конечных пользователей.</w:t>
      </w:r>
    </w:p>
    <w:p w14:paraId="5060D8C7" w14:textId="17A2B3BA"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ТЗ </w:t>
      </w:r>
      <w:r w:rsidR="00FF0FBB">
        <w:rPr>
          <w:lang w:val="ru-RU"/>
        </w:rPr>
        <w:t xml:space="preserve">для </w:t>
      </w:r>
      <w:r w:rsidRPr="00E1048B">
        <w:rPr>
          <w:lang w:val="ru-RU"/>
        </w:rPr>
        <w:t>ЦГП предусматривает «сценарий выделения ресурсов для механизма финансирования в поддержку ограниченного числа экспериментальных проектов по усилению регионального атмосферного мониторинга веществ, регулируемых Монреальским протоколом». Исходя из предположения о создании механизма финансирования на ИК-98, ЦГП рассчитала сметные объемы финансирования на 2027–2029 и 2030–2032 годы для поддержки трех станций в течение пятилетнего периода. Решение, принятое на ИК-98, будет учтено в дополнительном докладе ЦГП. Подробная информация приводится в главе 10 и приложении 8 к докладу.</w:t>
      </w:r>
    </w:p>
    <w:p w14:paraId="2E693824" w14:textId="3BE14A4E"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сценарии 1 все компоненты финансирования, включенные в расчеты, представляют собой объявленное и новое финансирование различных этапов ПВК и стран, ожидающих ратификации. Он включает подготовку и проверку проектов, а также механизмы финансирования </w:t>
      </w:r>
      <w:r w:rsidR="00FF0FBB">
        <w:rPr>
          <w:lang w:val="ru-RU"/>
        </w:rPr>
        <w:t>ЭЭ</w:t>
      </w:r>
      <w:r w:rsidR="00FF0FBB" w:rsidRPr="00E1048B">
        <w:rPr>
          <w:lang w:val="ru-RU"/>
        </w:rPr>
        <w:t xml:space="preserve"> </w:t>
      </w:r>
      <w:r w:rsidRPr="00E1048B">
        <w:rPr>
          <w:lang w:val="ru-RU"/>
        </w:rPr>
        <w:t xml:space="preserve">и атмосферного мониторинга. Итоговая сумма за три трехгодичных периода составляет 2,32 млрд долл. США; были представлены предлагаемые схемы распределения финансирования A и B. В сценарии 2 итоговая сметная сумма объявленного и нового финансирования различных этапов ПВК и стран, ожидающих ратификации, а также подготовки и проверки проектов, </w:t>
      </w:r>
      <w:r w:rsidR="00FF0FBB">
        <w:rPr>
          <w:lang w:val="ru-RU"/>
        </w:rPr>
        <w:t>ЭЭ</w:t>
      </w:r>
      <w:r w:rsidR="00FF0FBB" w:rsidRPr="00E1048B">
        <w:rPr>
          <w:lang w:val="ru-RU"/>
        </w:rPr>
        <w:t xml:space="preserve"> </w:t>
      </w:r>
      <w:r w:rsidRPr="00E1048B">
        <w:rPr>
          <w:lang w:val="ru-RU"/>
        </w:rPr>
        <w:t>и атмосферного мониторинга за три трехгодичных периода составляет 2,45 млн долл. США; были представлены предлагаемые схемы распределения финансирования A и B.</w:t>
      </w:r>
    </w:p>
    <w:p w14:paraId="159B7B7F" w14:textId="0AA801D4"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Были представлены сметные потребности в финансировании сектора производства ГФУ и мероприятий по сокращению выбросов ГФУ-23. Что касается сектора производства ГФУ, то, поскольку и Китай, и Индия находятся значительно ниже целевого показателя сокращения на 10% от базового уровня для Сторон Г1 и «замораживания» для Сторон Г2, ЦГП рассмотрела только финансирование подготовки проектов на трехгодичный период 2027–2029 годов, без инвестиционного финансирования. Применительно к сокращению выбросов ГФУ-23 ЦГП рассчитала потребности в финансировании для двух Сторон (Аргентина и Мексика), имеющих утвержденные планы поэтапного сокращения оборота ГФУ-23, а также финансирование подготовки проектов и инвестиционных проектов по сокращению выбросов ГФУ-23 для двух других Сторон (Китай и Индия) на трехгодичный период 2027–2029 годов.</w:t>
      </w:r>
    </w:p>
    <w:p w14:paraId="08DD7661" w14:textId="7777777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ЦГП рассчитала потребности в финансировании институционального укрепления, Программы ЮНЕП по содействию соблюдению (ПСС), основных подразделений ПРООН, ЮНИДО и Всемирного банка, СМФ, функционирования ИК, мониторинга и оценки, а также функций казначея. Представленные сметные объемы финансирования были подготовлены с опорой на решения и доклады ИК, план деятельности МФ и в консультации с СМФ.</w:t>
      </w:r>
    </w:p>
    <w:p w14:paraId="33132667" w14:textId="7C16C5E3"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Диапазон общих сметных потребностей в финансировании для пополнения МФ на трехгодичный период 2027–2029 годов составляет 1,28–1,36 млрд долл. США </w:t>
      </w:r>
      <w:r w:rsidR="00A664D6">
        <w:rPr>
          <w:lang w:val="ru-RU"/>
        </w:rPr>
        <w:t>в нижнем диапазоне</w:t>
      </w:r>
      <w:r w:rsidRPr="00E1048B">
        <w:rPr>
          <w:lang w:val="ru-RU"/>
        </w:rPr>
        <w:t xml:space="preserve"> и 1,67–1,76 млрд долл. США </w:t>
      </w:r>
      <w:r w:rsidR="00A664D6">
        <w:rPr>
          <w:lang w:val="ru-RU"/>
        </w:rPr>
        <w:t>в верхнем диапазоне</w:t>
      </w:r>
      <w:r w:rsidRPr="00E1048B">
        <w:rPr>
          <w:lang w:val="ru-RU"/>
        </w:rPr>
        <w:t>.</w:t>
      </w:r>
    </w:p>
    <w:p w14:paraId="00B51BFB" w14:textId="77DDB2E2"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Г-жа Карвалью отметила, что отдельные положения ТЗ </w:t>
      </w:r>
      <w:r w:rsidR="001C6FA8">
        <w:rPr>
          <w:lang w:val="ru-RU"/>
        </w:rPr>
        <w:t xml:space="preserve">для </w:t>
      </w:r>
      <w:r w:rsidRPr="00E1048B">
        <w:rPr>
          <w:lang w:val="ru-RU"/>
        </w:rPr>
        <w:t xml:space="preserve">ЦГП требовали, в частности, учета особых потребностей </w:t>
      </w:r>
      <w:r w:rsidR="002D723C">
        <w:rPr>
          <w:lang w:val="ru-RU"/>
        </w:rPr>
        <w:t>М</w:t>
      </w:r>
      <w:r w:rsidRPr="00E1048B">
        <w:rPr>
          <w:lang w:val="ru-RU"/>
        </w:rPr>
        <w:t>ОП и О</w:t>
      </w:r>
      <w:r w:rsidR="002D723C">
        <w:rPr>
          <w:lang w:val="ru-RU"/>
        </w:rPr>
        <w:t>М</w:t>
      </w:r>
      <w:r w:rsidRPr="00E1048B">
        <w:rPr>
          <w:lang w:val="ru-RU"/>
        </w:rPr>
        <w:t xml:space="preserve">ОП, а также интеграции цифровых технологий и инструментов в секторе обслуживания. Применительно к </w:t>
      </w:r>
      <w:r w:rsidR="002D723C">
        <w:rPr>
          <w:lang w:val="ru-RU"/>
        </w:rPr>
        <w:t>М</w:t>
      </w:r>
      <w:r w:rsidRPr="00E1048B">
        <w:rPr>
          <w:lang w:val="ru-RU"/>
        </w:rPr>
        <w:t xml:space="preserve">ОП особые потребности были </w:t>
      </w:r>
      <w:r w:rsidRPr="00E1048B">
        <w:rPr>
          <w:lang w:val="ru-RU"/>
        </w:rPr>
        <w:lastRenderedPageBreak/>
        <w:t xml:space="preserve">рассмотрены в главе 6 без расчета какого-либо дополнительного финансирования сверх того, что определено решениями ИК. Финансирование для </w:t>
      </w:r>
      <w:r w:rsidR="002D723C">
        <w:rPr>
          <w:lang w:val="ru-RU"/>
        </w:rPr>
        <w:t>М</w:t>
      </w:r>
      <w:r w:rsidRPr="00E1048B">
        <w:rPr>
          <w:lang w:val="ru-RU"/>
        </w:rPr>
        <w:t xml:space="preserve">ОП рассчитано, однако </w:t>
      </w:r>
      <w:r w:rsidR="00187D30">
        <w:rPr>
          <w:lang w:val="ru-RU"/>
        </w:rPr>
        <w:t>это было сделано с использованием</w:t>
      </w:r>
      <w:r w:rsidRPr="00E1048B">
        <w:rPr>
          <w:lang w:val="ru-RU"/>
        </w:rPr>
        <w:t xml:space="preserve"> действующей согласованной системы расчета затрат для этапа I ПВК, пересмотр которой ожидается в 2028 году. В отношении интеграции цифровых технологий ЦГП предлагает ряд ключевых рекомендаций и сметных расходов, которые не были включены в расчет общего требуемого финансирования, и ЦГП готова получить указания Сторон. Потребности в финансировании РЖЦХ не были включены в ТЗ, однако ЦГП предложила ряд элементов расходов, которые могут оказаться полезными при будущих обсуждениях в ИК. Если ИК утвердит руководящие принципы, это будет иметь финансовые последствия в следующем трехгодичном периоде.</w:t>
      </w:r>
    </w:p>
    <w:p w14:paraId="3EFF2880" w14:textId="5C3F4424"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Бассам </w:t>
      </w:r>
      <w:r w:rsidR="00187D30">
        <w:rPr>
          <w:lang w:val="ru-RU"/>
        </w:rPr>
        <w:t>аль-Асад</w:t>
      </w:r>
      <w:r w:rsidRPr="00E1048B">
        <w:rPr>
          <w:lang w:val="ru-RU"/>
        </w:rPr>
        <w:t xml:space="preserve">, член ЦГП, старший эксперт ГТОЭО и член КТВХ, выступил с сообщением об особых потребностях </w:t>
      </w:r>
      <w:r w:rsidR="002D723C">
        <w:rPr>
          <w:lang w:val="ru-RU"/>
        </w:rPr>
        <w:t>М</w:t>
      </w:r>
      <w:r w:rsidRPr="00E1048B">
        <w:rPr>
          <w:lang w:val="ru-RU"/>
        </w:rPr>
        <w:t>ОП и О</w:t>
      </w:r>
      <w:r w:rsidR="002D723C">
        <w:rPr>
          <w:lang w:val="ru-RU"/>
        </w:rPr>
        <w:t>М</w:t>
      </w:r>
      <w:r w:rsidRPr="00E1048B">
        <w:rPr>
          <w:lang w:val="ru-RU"/>
        </w:rPr>
        <w:t>ОП. ЦГП выявила трудности, с которыми сталкиваются О</w:t>
      </w:r>
      <w:r w:rsidR="002D723C">
        <w:rPr>
          <w:lang w:val="ru-RU"/>
        </w:rPr>
        <w:t>М</w:t>
      </w:r>
      <w:r w:rsidRPr="00E1048B">
        <w:rPr>
          <w:lang w:val="ru-RU"/>
        </w:rPr>
        <w:t xml:space="preserve">ОП и </w:t>
      </w:r>
      <w:r w:rsidR="002D723C">
        <w:rPr>
          <w:lang w:val="ru-RU"/>
        </w:rPr>
        <w:t>М</w:t>
      </w:r>
      <w:r w:rsidRPr="00E1048B">
        <w:rPr>
          <w:lang w:val="ru-RU"/>
        </w:rPr>
        <w:t>ОП при осуществлении ПРПГ и ПВК и к числу которых относятся, в частности, внедрение новых технологий, отсутствие программ управления спросом и недостаточное финансирование для преобразования рынков, и предложила подходы к согласованию мероприятий и сосредоточению усилий. Для целей настоящего доклада ЦГП рассмотрела два вопроса, связанных с предоставлением финансирования из ограниченных сумм, имеющихся в рамках этапа I ПВК, для различных категорий О</w:t>
      </w:r>
      <w:r w:rsidR="002D723C">
        <w:rPr>
          <w:lang w:val="ru-RU"/>
        </w:rPr>
        <w:t>М</w:t>
      </w:r>
      <w:r w:rsidRPr="00E1048B">
        <w:rPr>
          <w:lang w:val="ru-RU"/>
        </w:rPr>
        <w:t xml:space="preserve">ОП и </w:t>
      </w:r>
      <w:r w:rsidR="002D723C">
        <w:rPr>
          <w:lang w:val="ru-RU"/>
        </w:rPr>
        <w:t>М</w:t>
      </w:r>
      <w:r w:rsidRPr="00E1048B">
        <w:rPr>
          <w:lang w:val="ru-RU"/>
        </w:rPr>
        <w:t>ОП, которые влияют на их способность перейти с ГФУ на альтернативы с низким ПГП и энергоэффективные системы: 1) вопрос, связанный с мероприятиями по созданию систем, расходы на которые носят фиксированный характер независимо от уровня потребления или диапазона финансирования; и 2) вопрос, связанный с расходами на подготовку технических специалистов и выделяемой на них доле в общем объеме предоставляемого финансирования.</w:t>
      </w:r>
    </w:p>
    <w:p w14:paraId="5DC198CE" w14:textId="0955B0CB"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Фиксированные расходы на создание систем составляют от 30 до 60% общего объема финансирования, а мероприятия, связанные с подготовкой кадров, </w:t>
      </w:r>
      <w:r w:rsidR="00FB0D1B" w:rsidRPr="00E1048B">
        <w:rPr>
          <w:lang w:val="ru-RU"/>
        </w:rPr>
        <w:t>–</w:t>
      </w:r>
      <w:r w:rsidRPr="00E1048B">
        <w:rPr>
          <w:lang w:val="ru-RU"/>
        </w:rPr>
        <w:t xml:space="preserve"> от 16 до 26%, в результате чего на другие мероприятия в поддержку технологического перехода при одновременном обслуживании существующих систем на основе ГФУ остается мало средств. Особенно остро эта ситуация проявляется в первых трех диапазонах финансирования </w:t>
      </w:r>
      <w:r w:rsidR="002D723C">
        <w:rPr>
          <w:lang w:val="ru-RU"/>
        </w:rPr>
        <w:t>М</w:t>
      </w:r>
      <w:r w:rsidRPr="00E1048B">
        <w:rPr>
          <w:lang w:val="ru-RU"/>
        </w:rPr>
        <w:t>ОП, причем в самый низкий диапазон входят О</w:t>
      </w:r>
      <w:r w:rsidR="002D723C">
        <w:rPr>
          <w:lang w:val="ru-RU"/>
        </w:rPr>
        <w:t>М</w:t>
      </w:r>
      <w:r w:rsidRPr="00E1048B">
        <w:rPr>
          <w:lang w:val="ru-RU"/>
        </w:rPr>
        <w:t>ОП.</w:t>
      </w:r>
    </w:p>
    <w:p w14:paraId="67100820" w14:textId="47B90D91"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ЦГП сопоставила объемы финансирования, доступные О</w:t>
      </w:r>
      <w:r w:rsidR="002D723C">
        <w:rPr>
          <w:lang w:val="ru-RU"/>
        </w:rPr>
        <w:t>М</w:t>
      </w:r>
      <w:r w:rsidRPr="00E1048B">
        <w:rPr>
          <w:lang w:val="ru-RU"/>
        </w:rPr>
        <w:t xml:space="preserve">ОП и </w:t>
      </w:r>
      <w:r w:rsidR="002D723C">
        <w:rPr>
          <w:lang w:val="ru-RU"/>
        </w:rPr>
        <w:t>М</w:t>
      </w:r>
      <w:r w:rsidRPr="00E1048B">
        <w:rPr>
          <w:lang w:val="ru-RU"/>
        </w:rPr>
        <w:t>ОП в период до 2029</w:t>
      </w:r>
      <w:r w:rsidR="00FB0D1B" w:rsidRPr="00E1048B">
        <w:rPr>
          <w:lang w:val="ru-RU"/>
        </w:rPr>
        <w:t> </w:t>
      </w:r>
      <w:r w:rsidRPr="00E1048B">
        <w:rPr>
          <w:lang w:val="ru-RU"/>
        </w:rPr>
        <w:t>года, который охватывается последним этапом ПРПГ и первым этапом ПВК, с тем, что потребовалось бы для этапа II ПВК, чтобы сохранить прежний объем финансирования на следующем этапе, и привела пример того, как выглядело бы такое финансирование, если бы первые три категории стран финансировались на одинаковом уровне. Совокупный объем финансирования может почти втрое превысить объем, предоставленный для этапа I ПВК. Анализ и элементы, соответствующие этим показателям, приводятся в главе 6 доклада</w:t>
      </w:r>
      <w:r w:rsidR="00FB0D1B" w:rsidRPr="00E1048B">
        <w:rPr>
          <w:lang w:val="ru-RU"/>
        </w:rPr>
        <w:t>.</w:t>
      </w:r>
    </w:p>
    <w:p w14:paraId="6D14A60A" w14:textId="3B8A33FB"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Омар Абдель</w:t>
      </w:r>
      <w:r w:rsidR="00A664D6">
        <w:rPr>
          <w:lang w:val="ru-RU"/>
        </w:rPr>
        <w:t>-А</w:t>
      </w:r>
      <w:r w:rsidRPr="00E1048B">
        <w:rPr>
          <w:lang w:val="ru-RU"/>
        </w:rPr>
        <w:t xml:space="preserve">зиз, член ЦГП и сопредседатель КТВХ, представил информацию, касающуюся содержащегося в ТЗ поручения ГТОЭО рассмотреть вопрос о том, каким образом цифровые технологии могут быть интегрированы в сектор обслуживания холодильного оборудования, систем кондиционирования воздуха и тепловых насосов (ХОКВТН). В главе 9 проводится разграничение между оцифровкой, которая заменяет бумажные процессы программным обеспечением, и цифровизацией, которая меняет сам порядок выполнения работ по обслуживанию и управления ими. В докладе эти инструменты сгруппированы в три уровня. Первый </w:t>
      </w:r>
      <w:r w:rsidR="00FB0D1B" w:rsidRPr="00E1048B">
        <w:rPr>
          <w:lang w:val="ru-RU"/>
        </w:rPr>
        <w:t>–</w:t>
      </w:r>
      <w:r w:rsidRPr="00E1048B">
        <w:rPr>
          <w:lang w:val="ru-RU"/>
        </w:rPr>
        <w:t xml:space="preserve"> повышение эффективности операций. Он охватывает цифровую сертификацию технических специалистов и цифровые реестры, управление подготовкой кадров, документацию по обслуживанию, планирование и приложения для выездного обслуживания. Эти инструменты способны повысить прослеживаемость, снизить административную нагрузку и, как правило, пригодны для широкого применения, в том числе в странах </w:t>
      </w:r>
      <w:r w:rsidR="002D723C">
        <w:rPr>
          <w:lang w:val="ru-RU"/>
        </w:rPr>
        <w:t>М</w:t>
      </w:r>
      <w:r w:rsidRPr="00E1048B">
        <w:rPr>
          <w:lang w:val="ru-RU"/>
        </w:rPr>
        <w:t>ОП и О</w:t>
      </w:r>
      <w:r w:rsidR="002D723C">
        <w:rPr>
          <w:lang w:val="ru-RU"/>
        </w:rPr>
        <w:t>М</w:t>
      </w:r>
      <w:r w:rsidRPr="00E1048B">
        <w:rPr>
          <w:lang w:val="ru-RU"/>
        </w:rPr>
        <w:t>ОП</w:t>
      </w:r>
    </w:p>
    <w:p w14:paraId="4C32B57C" w14:textId="496C5DF3"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Второй уровень </w:t>
      </w:r>
      <w:r w:rsidR="00FB0D1B" w:rsidRPr="00E1048B">
        <w:rPr>
          <w:lang w:val="ru-RU"/>
        </w:rPr>
        <w:t>–</w:t>
      </w:r>
      <w:r w:rsidRPr="00E1048B">
        <w:rPr>
          <w:lang w:val="ru-RU"/>
        </w:rPr>
        <w:t xml:space="preserve"> инструменты повышения результативности, такие как цифровые средства контроля качества работ, дистанционный мониторинг и приложения на основе интернета вещей. Они способны обеспечить более качественную диагностику, сокращение числа повторных выездов, повышение доли устранения неисправностей с первого раза, уменьшение утечек хладагентов и повышение энергоэффективности. Вместе с тем применять их следует избирательно </w:t>
      </w:r>
      <w:r w:rsidR="00FB0D1B" w:rsidRPr="00E1048B">
        <w:rPr>
          <w:lang w:val="ru-RU"/>
        </w:rPr>
        <w:t>–</w:t>
      </w:r>
      <w:r w:rsidRPr="00E1048B">
        <w:rPr>
          <w:lang w:val="ru-RU"/>
        </w:rPr>
        <w:t xml:space="preserve"> там, где технический потенциал, возможности для связи и ожидаемые выгоды оправдывают затраты.</w:t>
      </w:r>
    </w:p>
    <w:p w14:paraId="50692698" w14:textId="7777777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Третий уровень охватывает инструменты организации рабочих процессов и управления знаниями, включая более крупные платформы для учебных материалов, технических рекомендаций, дистанционной поддержки и управления знаниями.</w:t>
      </w:r>
    </w:p>
    <w:p w14:paraId="6CFA792C" w14:textId="68124149"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lastRenderedPageBreak/>
        <w:t>Затем были представлены ориентировочные расходы. Системы повышения эффективности операций могут потребовать первоначальных вложений в размере до 50</w:t>
      </w:r>
      <w:r w:rsidR="008228B3" w:rsidRPr="00E1048B">
        <w:rPr>
          <w:lang w:val="ru-RU"/>
        </w:rPr>
        <w:t> </w:t>
      </w:r>
      <w:r w:rsidRPr="00E1048B">
        <w:rPr>
          <w:lang w:val="ru-RU"/>
        </w:rPr>
        <w:t>000</w:t>
      </w:r>
      <w:r w:rsidR="008228B3" w:rsidRPr="00E1048B">
        <w:rPr>
          <w:lang w:val="ru-RU"/>
        </w:rPr>
        <w:t> </w:t>
      </w:r>
      <w:r w:rsidRPr="00E1048B">
        <w:rPr>
          <w:lang w:val="ru-RU"/>
        </w:rPr>
        <w:t>долл. США при текущих расходах порядка 50–200 долл. США на одного технического специалиста в месяц. Инструменты повышения результативности могут потребовать первоначальных вложений около 10 000 долл. США, а также до 200 долл. США на одного технического специалиста в месяц. Более крупные платформы организации рабочих процессов и управления знаниями могут стоить до 1,25 млн долл. США при текущих расходах примерно 25 000 долл. США в месяц.</w:t>
      </w:r>
    </w:p>
    <w:p w14:paraId="600772A9" w14:textId="77777777" w:rsidR="0064468C" w:rsidRPr="00E1048B" w:rsidRDefault="0064468C" w:rsidP="007C6F75">
      <w:pPr>
        <w:pStyle w:val="Normal-pool"/>
        <w:numPr>
          <w:ilvl w:val="0"/>
          <w:numId w:val="25"/>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Эти показатели носят иллюстративный характер и существенно различаются в зависимости от масштаба, локализации, возможностей для связи и требований к поддержке. Важно отметить, что ЦГП не включила эти расходы ни в свои сметные объемы финансирования сектора обслуживания, ни в общие потребности в пополнении. Основная рекомендация заключается в том, чтобы интегрировать цифровые инструменты в существующие программы обслуживания, а не создавать отдельные системы. Приоритет следует отдавать недорогим инструментам с высокой отдачей; там, где это возможно, следует использовать существующие платформы; необходимо изначально предусматривать долгосрочную ответственность за эксплуатацию и устойчивость; а результаты следует оценивать по таким итоговым показателям, как уменьшение утечек, повышение энергоэффективности, более качественная документация о соблюдении и более высокое качество обслуживания. В доклад включен также ряд соответствующих тематических исследований для рассмотрения Сторонами.</w:t>
      </w:r>
    </w:p>
    <w:p w14:paraId="18C6A9F8" w14:textId="77777777" w:rsidR="0064468C" w:rsidRPr="00E1048B" w:rsidRDefault="0064468C" w:rsidP="0008328F">
      <w:pPr>
        <w:pStyle w:val="Normal-pool"/>
        <w:rPr>
          <w:lang w:val="ru-RU"/>
        </w:rPr>
      </w:pPr>
      <w:r w:rsidRPr="00E1048B">
        <w:rPr>
          <w:lang w:val="ru-RU"/>
        </w:rPr>
        <w:br w:type="page"/>
      </w:r>
    </w:p>
    <w:p w14:paraId="18734A24" w14:textId="77777777" w:rsidR="0064468C" w:rsidRPr="00E1048B" w:rsidRDefault="0064468C" w:rsidP="00017CE5">
      <w:pPr>
        <w:pStyle w:val="Normalnumber"/>
        <w:tabs>
          <w:tab w:val="clear" w:pos="1247"/>
          <w:tab w:val="clear" w:pos="1814"/>
          <w:tab w:val="clear" w:pos="2381"/>
          <w:tab w:val="clear" w:pos="2948"/>
          <w:tab w:val="clear" w:pos="3515"/>
        </w:tabs>
        <w:spacing w:after="240"/>
        <w:rPr>
          <w:b/>
          <w:bCs/>
          <w:sz w:val="28"/>
          <w:szCs w:val="28"/>
        </w:rPr>
      </w:pPr>
      <w:r w:rsidRPr="00E1048B">
        <w:rPr>
          <w:b/>
          <w:bCs/>
          <w:sz w:val="28"/>
          <w:szCs w:val="28"/>
        </w:rPr>
        <w:lastRenderedPageBreak/>
        <w:t>Приложение IV</w:t>
      </w:r>
      <w:r w:rsidRPr="00E1048B">
        <w:rPr>
          <w:rStyle w:val="FootnoteReference"/>
          <w:sz w:val="28"/>
          <w:szCs w:val="22"/>
          <w:vertAlign w:val="baseline"/>
          <w:lang w:val="ru-RU"/>
        </w:rPr>
        <w:footnoteReference w:customMarkFollows="1" w:id="11"/>
        <w:t>*</w:t>
      </w:r>
    </w:p>
    <w:p w14:paraId="19EFFFA7" w14:textId="77777777" w:rsidR="0064468C" w:rsidRPr="00E1048B" w:rsidRDefault="0064468C" w:rsidP="00017CE5">
      <w:pPr>
        <w:pStyle w:val="Normalnumber"/>
        <w:tabs>
          <w:tab w:val="clear" w:pos="1247"/>
          <w:tab w:val="clear" w:pos="1814"/>
          <w:tab w:val="clear" w:pos="2381"/>
          <w:tab w:val="clear" w:pos="2948"/>
          <w:tab w:val="clear" w:pos="3515"/>
        </w:tabs>
        <w:ind w:left="1247" w:right="284"/>
        <w:rPr>
          <w:b/>
          <w:bCs/>
          <w:sz w:val="28"/>
          <w:szCs w:val="28"/>
        </w:rPr>
      </w:pPr>
      <w:r w:rsidRPr="00E1048B">
        <w:rPr>
          <w:b/>
          <w:bCs/>
          <w:color w:val="333333"/>
          <w:sz w:val="26"/>
          <w:szCs w:val="26"/>
        </w:rPr>
        <w:t>Краткое изложение сообщений членов Группы по техническому обзору и экономической оценке</w:t>
      </w:r>
    </w:p>
    <w:p w14:paraId="272F6277"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рамках пункта 4 повестки дня Марта Писано, сопредседатель Группы по техническому обзору и экономической оценке (ГТОЭО), представила сообщение о докладе Группы о ходе работы (2026 год) от имени своих коллег-сопредседателей Беллы </w:t>
      </w:r>
      <w:proofErr w:type="spellStart"/>
      <w:r w:rsidRPr="00E1048B">
        <w:rPr>
          <w:lang w:val="ru-RU"/>
        </w:rPr>
        <w:t>Маранион</w:t>
      </w:r>
      <w:proofErr w:type="spellEnd"/>
      <w:r w:rsidRPr="00E1048B">
        <w:rPr>
          <w:lang w:val="ru-RU"/>
        </w:rPr>
        <w:t xml:space="preserve"> и Эшли </w:t>
      </w:r>
      <w:proofErr w:type="spellStart"/>
      <w:r w:rsidRPr="00E1048B">
        <w:rPr>
          <w:lang w:val="ru-RU"/>
        </w:rPr>
        <w:t>Вудкока</w:t>
      </w:r>
      <w:proofErr w:type="spellEnd"/>
      <w:r w:rsidRPr="00E1048B">
        <w:rPr>
          <w:lang w:val="ru-RU"/>
        </w:rPr>
        <w:t>, а также членов ГТОЭО. Она изложила структуру сообщения и поблагодарила более 150 экспертов, работающих в ГТОЭО, ее комитетах по техническим вариантам замены (КТВЗ) и временных вспомогательных органах (ВВО), за их добровольный вклад в подготовку этого доклада.</w:t>
      </w:r>
    </w:p>
    <w:p w14:paraId="5FE13CEE" w14:textId="77777777"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A.</w:t>
      </w:r>
      <w:r w:rsidRPr="00E1048B">
        <w:rPr>
          <w:lang w:val="ru-RU"/>
        </w:rPr>
        <w:tab/>
        <w:t>Комитет по техническим вариантам замены для пожаротушения</w:t>
      </w:r>
    </w:p>
    <w:p w14:paraId="5EEB5E29" w14:textId="6047A31E"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начале сообщения Комитет по техническим вариантам замены для пожаротушения (КТВПТ), сопредседателями которого являются Адам </w:t>
      </w:r>
      <w:proofErr w:type="spellStart"/>
      <w:r w:rsidRPr="00E1048B">
        <w:rPr>
          <w:lang w:val="ru-RU"/>
        </w:rPr>
        <w:t>Чаттауэй</w:t>
      </w:r>
      <w:proofErr w:type="spellEnd"/>
      <w:r w:rsidRPr="00E1048B">
        <w:rPr>
          <w:lang w:val="ru-RU"/>
        </w:rPr>
        <w:t xml:space="preserve"> и Дэн </w:t>
      </w:r>
      <w:proofErr w:type="spellStart"/>
      <w:r w:rsidRPr="00E1048B">
        <w:rPr>
          <w:lang w:val="ru-RU"/>
        </w:rPr>
        <w:t>Вердоник</w:t>
      </w:r>
      <w:proofErr w:type="spellEnd"/>
      <w:r w:rsidRPr="00E1048B">
        <w:rPr>
          <w:lang w:val="ru-RU"/>
        </w:rPr>
        <w:t xml:space="preserve">, представил свой доклад о ходе работы (2026 год). Касаясь текущего положения дел со средствами пожаротушения, г-н </w:t>
      </w:r>
      <w:proofErr w:type="spellStart"/>
      <w:r w:rsidRPr="00E1048B">
        <w:rPr>
          <w:lang w:val="ru-RU"/>
        </w:rPr>
        <w:t>Вердоник</w:t>
      </w:r>
      <w:proofErr w:type="spellEnd"/>
      <w:r w:rsidRPr="00E1048B">
        <w:rPr>
          <w:lang w:val="ru-RU"/>
        </w:rPr>
        <w:t xml:space="preserve"> сообщил, что в настоящее время активная разработка каких</w:t>
      </w:r>
      <w:r w:rsidR="00E816A2">
        <w:rPr>
          <w:lang w:val="ru-RU"/>
        </w:rPr>
        <w:noBreakHyphen/>
      </w:r>
      <w:r w:rsidRPr="00E1048B">
        <w:rPr>
          <w:lang w:val="ru-RU"/>
        </w:rPr>
        <w:t xml:space="preserve">либо новых средств пожаротушения или огнетушащих составов не ведется. Если новое средство и будет найдено, что КТВПТ считает маловероятным, то, по оценкам Комитета, для его полного вывода на рынок потребуется не менее десяти лет. Положение дел с альтернативами </w:t>
      </w:r>
      <w:proofErr w:type="spellStart"/>
      <w:r w:rsidRPr="00E1048B">
        <w:rPr>
          <w:lang w:val="ru-RU"/>
        </w:rPr>
        <w:t>галонам</w:t>
      </w:r>
      <w:proofErr w:type="spellEnd"/>
      <w:r w:rsidRPr="00E1048B">
        <w:rPr>
          <w:lang w:val="ru-RU"/>
        </w:rPr>
        <w:t xml:space="preserve"> в гражданской авиации остается без изменений: и для авиационных двигателей, и для грузовых отсеков по-прежнему требуется</w:t>
      </w:r>
      <w:r w:rsidR="00A664D6">
        <w:rPr>
          <w:lang w:val="ru-RU"/>
        </w:rPr>
        <w:t xml:space="preserve"> </w:t>
      </w:r>
      <w:proofErr w:type="spellStart"/>
      <w:r w:rsidR="00A664D6">
        <w:rPr>
          <w:lang w:val="ru-RU"/>
        </w:rPr>
        <w:t>галон</w:t>
      </w:r>
      <w:proofErr w:type="spellEnd"/>
      <w:r w:rsidRPr="00E1048B">
        <w:rPr>
          <w:lang w:val="ru-RU"/>
        </w:rPr>
        <w:t xml:space="preserve"> 1301.</w:t>
      </w:r>
    </w:p>
    <w:p w14:paraId="068833B9"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Осуществляемое поэтапное сокращение оборота ГФУ создает значительное ценовое давление на ГФУ с более высоким потенциалом глобального потепления (ПГП), применяемые для целей пожаротушения. Особую озабоченность это вызывает потому, что для некоторых видов применения эти ГФУ являются единственными доступными альтернативами </w:t>
      </w:r>
      <w:proofErr w:type="spellStart"/>
      <w:r w:rsidRPr="00E1048B">
        <w:rPr>
          <w:lang w:val="ru-RU"/>
        </w:rPr>
        <w:t>галонам</w:t>
      </w:r>
      <w:proofErr w:type="spellEnd"/>
      <w:r w:rsidRPr="00E1048B">
        <w:rPr>
          <w:lang w:val="ru-RU"/>
        </w:rPr>
        <w:t>. В ответ на такое давление некоторые Стороны все шире переходят на инертные газы в качестве альтернативы ГФУ. Вместе с тем системы на основе инертных газов сопряжены со своими трудностями: они требуют значительно больше места и существенно увеличивают массу установок.</w:t>
      </w:r>
    </w:p>
    <w:p w14:paraId="3234F81B" w14:textId="33EFD56D"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Хотя системы сверхвысокого давления, работающие при давлении, превышающем атмосферное в 300 раз, позволяют уменьшить как массу, так и потребность в пространстве, существует серьезный пробел в инфраструктуре. Во многих Сторонах, особенно в Сторонах, действующих в рамках статьи 5, отсутствуют возможности, необходимые для перезаправки систем пожаротушения высокого давления. Это ограничение создает особенно серьезные проблемы, поскольку невозможность </w:t>
      </w:r>
      <w:proofErr w:type="spellStart"/>
      <w:r w:rsidRPr="00E1048B">
        <w:rPr>
          <w:lang w:val="ru-RU"/>
        </w:rPr>
        <w:t>перезаправить</w:t>
      </w:r>
      <w:proofErr w:type="spellEnd"/>
      <w:r w:rsidRPr="00E1048B">
        <w:rPr>
          <w:lang w:val="ru-RU"/>
        </w:rPr>
        <w:t xml:space="preserve"> систему пожаротушения после срабатывания или утечки в корне подрывает ее работоспособность</w:t>
      </w:r>
      <w:r w:rsidR="00F36196">
        <w:rPr>
          <w:lang w:val="ru-RU"/>
        </w:rPr>
        <w:t>.</w:t>
      </w:r>
    </w:p>
    <w:p w14:paraId="351EEA9E" w14:textId="751F08BB"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Переходя к ответу Комитета на решение XXXVII/4, г-н </w:t>
      </w:r>
      <w:proofErr w:type="spellStart"/>
      <w:r w:rsidRPr="00E1048B">
        <w:rPr>
          <w:lang w:val="ru-RU"/>
        </w:rPr>
        <w:t>Вердоник</w:t>
      </w:r>
      <w:proofErr w:type="spellEnd"/>
      <w:r w:rsidRPr="00E1048B">
        <w:rPr>
          <w:lang w:val="ru-RU"/>
        </w:rPr>
        <w:t xml:space="preserve"> напомнил, что в этом решении секретариату по озону отдельно поручается поддерживать связь с секретариатом Международной организации гражданской авиации (ИКАО) по вопросу о средствах пожаротушения, регулируемых в рамках Монреальского протокол</w:t>
      </w:r>
      <w:r w:rsidR="00A664D6">
        <w:rPr>
          <w:lang w:val="ru-RU"/>
        </w:rPr>
        <w:t>а</w:t>
      </w:r>
      <w:r w:rsidRPr="00E1048B">
        <w:rPr>
          <w:lang w:val="ru-RU"/>
        </w:rPr>
        <w:t xml:space="preserve"> по веществам, разрушающим озоновый слой. В решении также предусматривается содействие обмену информацией между Группой по техническому обзору и экономической оценке, действующей через свой Комитет по техническим вариантам замены для пожаротушения, и соответствующими техническими комитетами и рабочими группами ИКАО. Цель такого взаимодействия </w:t>
      </w:r>
      <w:r w:rsidR="008F4360">
        <w:rPr>
          <w:lang w:val="ru-RU"/>
        </w:rPr>
        <w:t>–</w:t>
      </w:r>
      <w:r w:rsidRPr="00E1048B">
        <w:rPr>
          <w:lang w:val="ru-RU"/>
        </w:rPr>
        <w:t xml:space="preserve"> дать Группе возможность более точно оценить будущее использование галонов в гражданской авиации и потребности в них. При проведении такой оценки следует использовать имеющиеся данные о расположении предприятий по техническому обслуживанию, ремонту и восстановлению, имеющих разрешение на работы с </w:t>
      </w:r>
      <w:proofErr w:type="spellStart"/>
      <w:r w:rsidRPr="00E1048B">
        <w:rPr>
          <w:lang w:val="ru-RU"/>
        </w:rPr>
        <w:t>галонами</w:t>
      </w:r>
      <w:proofErr w:type="spellEnd"/>
      <w:r w:rsidRPr="00E1048B">
        <w:rPr>
          <w:lang w:val="ru-RU"/>
        </w:rPr>
        <w:t>, данные о будущем развитии парка воздушных судов, а также оценочные данные об эксплуатируемых воздушных судах с различными типами противопожарных систем на основе галонов. Кроме того, в решении содержится поручение представить Сторонам до начала сорок восьмого совещания Рабочей группы открытого состава доклад о доступности галонов и глобальном распределении банков галонов, подготовленный на основе этой работы.</w:t>
      </w:r>
    </w:p>
    <w:p w14:paraId="7E1B7BD2"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решении XXXVII/4 КТВПТ было также поручено провести оценку потребностей гражданской авиации в галонах. В этой связи г-н </w:t>
      </w:r>
      <w:proofErr w:type="spellStart"/>
      <w:r w:rsidRPr="00E1048B">
        <w:rPr>
          <w:lang w:val="ru-RU"/>
        </w:rPr>
        <w:t>Вердоник</w:t>
      </w:r>
      <w:proofErr w:type="spellEnd"/>
      <w:r w:rsidRPr="00E1048B">
        <w:rPr>
          <w:lang w:val="ru-RU"/>
        </w:rPr>
        <w:t xml:space="preserve"> сообщил, что объемы галона 1301, установленного на воздушных судах гражданской авиации, продолжают расти и, согласно </w:t>
      </w:r>
      <w:r w:rsidRPr="00E1048B">
        <w:rPr>
          <w:lang w:val="ru-RU"/>
        </w:rPr>
        <w:lastRenderedPageBreak/>
        <w:t>прогнозам, будут увеличиваться и в обозримом будущем. Находящиеся в производстве текущие конструкции воздушных судов будут зависеть от галона 1301 на протяжении не менее 50 лет, то есть значительно дольше прогнозируемого КТВПТ срока исчерпания имеющихся запасов галонов.</w:t>
      </w:r>
    </w:p>
    <w:p w14:paraId="7F6A31FA" w14:textId="626CB5C1"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Продолжая сообщение, г-н </w:t>
      </w:r>
      <w:proofErr w:type="spellStart"/>
      <w:r w:rsidRPr="00E1048B">
        <w:rPr>
          <w:lang w:val="ru-RU"/>
        </w:rPr>
        <w:t>Вердоник</w:t>
      </w:r>
      <w:proofErr w:type="spellEnd"/>
      <w:r w:rsidRPr="00E1048B">
        <w:rPr>
          <w:lang w:val="ru-RU"/>
        </w:rPr>
        <w:t xml:space="preserve"> заявил, что разработанная Комитетом модель глобальных выбросов галона 1301 по-прежнему демонстрирует хорошую корреляцию с выбросами, рассчитанными на основе атмосферных измерений, вплоть до 2024 года. Такая корреляция достигается при допущении о коэффициенте выбросов при производстве исходного сырья на уровне 26%, что позволяет согласовать расчетный срок исчерпания запасов с глобальными выбросами, смоделированными КТВПТ за период с 2015 по 2024 год. ИКАО приняла резолюцию A-42, в которой государствам рекомендуется работать с ИКАО в целях взаимодействия с секретариатом по озону и КТВПТ для оценки мировых резервов галонов и содействия устойчивому регулированию существующих банков галонов. Примечательно, что эта резолюция предусматривает рассмотрение вопроса о заявке на предоставление исключения в отношении основных видов применения галона 1301 в грузовых отсеках воздушных судов.</w:t>
      </w:r>
    </w:p>
    <w:p w14:paraId="280C4C6B" w14:textId="397EE0C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порядке выполнения как решения XXXVII/4, так и резолюции A42-11 ИКАО КТВПТ продолжает совместную работу с органами ИКАО в целях получения более качественных данных для уточнения прогнозов в отношении срока исчерпания запасов. В текущем обновленном варианте учтены самые последние авиационные данные, представленные органами ИКАО и авиационной отраслью, а также информация из нефтегазового сектора, от атомных электростанций и от предприятий по </w:t>
      </w:r>
      <w:r w:rsidR="00E17BA3">
        <w:rPr>
          <w:lang w:val="ru-RU"/>
        </w:rPr>
        <w:t>демонтажу судов</w:t>
      </w:r>
      <w:r w:rsidRPr="00E1048B">
        <w:rPr>
          <w:lang w:val="ru-RU"/>
        </w:rPr>
        <w:t>.</w:t>
      </w:r>
    </w:p>
    <w:p w14:paraId="7ADC5D70" w14:textId="768A9A91"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Затем сопредседатель обратился к проведенному Комитетом анализу имеющихся банков и сроков исчерпания запасов и представил два аналитических подхода к оценке доступности галонов и сроков исчерпания запасов. При подходе 1 фиксируются коэффициенты выбросов по всем секторам, кроме авиации. При этом подходе имеющийся банк составляет от 4170 до 9296 тонн. Фиксированные коэффициенты выбросов включают 0,15% для японских систем, 1–2% для нефтегазовых видов применения, 0,1% для резервов и 2–3% для прочих установленных систем. Такой подход дает коэффициент выбросов в авиации на уровне 10</w:t>
      </w:r>
      <w:r w:rsidR="00E709F9" w:rsidRPr="00E1048B">
        <w:rPr>
          <w:lang w:val="ru-RU"/>
        </w:rPr>
        <w:noBreakHyphen/>
      </w:r>
      <w:r w:rsidRPr="00E1048B">
        <w:rPr>
          <w:lang w:val="ru-RU"/>
        </w:rPr>
        <w:t>15%, в результате чего диапазон сроков исчерпания запасов составляет с 2031 по 2039 год со срединной оценкой 2035 год (±4 года). При подходе 2 фиксируются коэффициенты выбросов по всем секторам, кроме «прочих установленных систем». При этом подходе имеющийся банк оценивается в 5279–8313 тонн. Фиксированные коэффициенты выбросов включают 0,15% для японских систем, 1–2% для нефтегазового сектора, 0,1% для резервов и 8,5–12% для авиации. Отсюда выводится коэффициент выбросов для установленных систем на уровне 2–4%, в результате чего диапазон сроков исчерпания запасов составляет с 2033 по 2037 год, то есть является подмножеством диапазона, полученного при подходе 1.</w:t>
      </w:r>
    </w:p>
    <w:p w14:paraId="72F99735" w14:textId="0976725C"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Касаясь возможных заявок на предоставление исключений в отношении основных видов применения, КТВПТ обратил особое внимание на важный исторический прецедент: в</w:t>
      </w:r>
      <w:r w:rsidR="00BD606A">
        <w:rPr>
          <w:lang w:val="ru-RU"/>
        </w:rPr>
        <w:t> </w:t>
      </w:r>
      <w:r w:rsidRPr="00E1048B">
        <w:rPr>
          <w:lang w:val="ru-RU"/>
        </w:rPr>
        <w:t xml:space="preserve">1993 и 1994 годах Комитет по техническим вариантам замены галонов (КТВГ) провел оценку заявок на предоставление исключений в отношении основных видов применения (ЗОВП) и установил, что ни одна из заявок не отвечает требованию о том, что </w:t>
      </w:r>
      <w:proofErr w:type="spellStart"/>
      <w:r w:rsidRPr="00E1048B">
        <w:rPr>
          <w:lang w:val="ru-RU"/>
        </w:rPr>
        <w:t>галоны</w:t>
      </w:r>
      <w:proofErr w:type="spellEnd"/>
      <w:r w:rsidRPr="00E1048B">
        <w:rPr>
          <w:lang w:val="ru-RU"/>
        </w:rPr>
        <w:t xml:space="preserve"> не могут быть получены в достаточном количестве и надлежащего качества из существующих запасов накопленных или рециркулированных галонов, как это предусмотрено решением IV/25. КТВПТ полагает, что этот вывод сохраняет силу в краткосрочной перспективе. В порядке поддержки резолюции A42-11 ИКАО и с учетом глобального характера сервисного обслуживания в гражданской авиации Стороны, возможно, пожелают рассмотреть вопрос о том, какие изменения </w:t>
      </w:r>
      <w:r w:rsidR="002B1663" w:rsidRPr="00E1048B">
        <w:rPr>
          <w:lang w:val="ru-RU"/>
        </w:rPr>
        <w:t>–</w:t>
      </w:r>
      <w:r w:rsidRPr="00E1048B">
        <w:rPr>
          <w:lang w:val="ru-RU"/>
        </w:rPr>
        <w:t xml:space="preserve"> если таковые потребуются </w:t>
      </w:r>
      <w:r w:rsidR="002B1663" w:rsidRPr="00E1048B">
        <w:rPr>
          <w:lang w:val="ru-RU"/>
        </w:rPr>
        <w:t>–</w:t>
      </w:r>
      <w:r w:rsidRPr="00E1048B">
        <w:rPr>
          <w:lang w:val="ru-RU"/>
        </w:rPr>
        <w:t xml:space="preserve"> необходимо внести в процедуры подачи и оценки заявок на предоставление исключений в отношении основных видов применения. Такое рассмотрение особенно важно с учетом того, что большинство Сторон, если не все Стороны, не будут в состоянии самостоятельно определить ежегодные потребности их гражданской авиации в целях обеспечения безопасности полетов.</w:t>
      </w:r>
    </w:p>
    <w:p w14:paraId="6C2AC077"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КТВПТ и ИКАО работают над укреплением взаимодействия между органами гражданской авиации и координаторами по озону. Обсуждается возможность выпуска совместного заявления или приложения одновременно под сопроводительным письмом ИКАО государствам и сопроводительным письмом ЮНЕП. ИКАО предоставила данные о расположении предприятий по техническому обслуживанию, ремонту и восстановлению (ТОРВ), которые могут обслуживать авиационные баллоны с </w:t>
      </w:r>
      <w:proofErr w:type="spellStart"/>
      <w:r w:rsidRPr="00E1048B">
        <w:rPr>
          <w:lang w:val="ru-RU"/>
        </w:rPr>
        <w:t>галоном</w:t>
      </w:r>
      <w:proofErr w:type="spellEnd"/>
      <w:r w:rsidRPr="00E1048B">
        <w:rPr>
          <w:lang w:val="ru-RU"/>
        </w:rPr>
        <w:t xml:space="preserve"> 1301. Эта информация имеет принципиальное значение для понимания того, где возникают выбросы в гражданской авиации, и позволяет органам гражданской авиации, производителям воздушных судов и производителям баллонов с </w:t>
      </w:r>
      <w:proofErr w:type="spellStart"/>
      <w:r w:rsidRPr="00E1048B">
        <w:rPr>
          <w:lang w:val="ru-RU"/>
        </w:rPr>
        <w:t>галоном</w:t>
      </w:r>
      <w:proofErr w:type="spellEnd"/>
      <w:r w:rsidRPr="00E1048B">
        <w:rPr>
          <w:lang w:val="ru-RU"/>
        </w:rPr>
        <w:t xml:space="preserve"> сосредоточить усилия на сокращении выбросов.</w:t>
      </w:r>
    </w:p>
    <w:p w14:paraId="3F268AF1" w14:textId="76E740CF"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lastRenderedPageBreak/>
        <w:t xml:space="preserve">Далее г-н </w:t>
      </w:r>
      <w:proofErr w:type="spellStart"/>
      <w:r w:rsidRPr="00E1048B">
        <w:rPr>
          <w:lang w:val="ru-RU"/>
        </w:rPr>
        <w:t>Вердоник</w:t>
      </w:r>
      <w:proofErr w:type="spellEnd"/>
      <w:r w:rsidRPr="00E1048B">
        <w:rPr>
          <w:lang w:val="ru-RU"/>
        </w:rPr>
        <w:t xml:space="preserve"> остановился на расположении предприятий ТОРВ и очагах выбросов. Он сообщил, что Комитет уже располагал данными о выбросах галона 1301 в Европе, в связи с чем эти известные очаги выбросов были сопоставлены с известными местами расположения европейских предприятий ТОРВ, способных выполнять работы с </w:t>
      </w:r>
      <w:proofErr w:type="spellStart"/>
      <w:r w:rsidRPr="00E1048B">
        <w:rPr>
          <w:lang w:val="ru-RU"/>
        </w:rPr>
        <w:t>галоном</w:t>
      </w:r>
      <w:proofErr w:type="spellEnd"/>
      <w:r w:rsidRPr="00E1048B">
        <w:rPr>
          <w:lang w:val="ru-RU"/>
        </w:rPr>
        <w:t xml:space="preserve"> 1301. Цель анализа состояла в том, чтобы определить, соотносятся ли эти очаги с деятельностью, связанной с </w:t>
      </w:r>
      <w:proofErr w:type="spellStart"/>
      <w:r w:rsidRPr="00E1048B">
        <w:rPr>
          <w:lang w:val="ru-RU"/>
        </w:rPr>
        <w:t>галоном</w:t>
      </w:r>
      <w:proofErr w:type="spellEnd"/>
      <w:r w:rsidRPr="00E1048B">
        <w:rPr>
          <w:lang w:val="ru-RU"/>
        </w:rPr>
        <w:t xml:space="preserve"> 1301, и прежде всего с деятельностью таких предприятий. Определенная корреляция с предполагаемыми источниками выбросов галона 1301, судя по всему, прослеживается. К числу примечательных объектов относятся предприятие на севере Франции, где производится фипронил, и объект на юго-востоке Франции, где ранее производился </w:t>
      </w:r>
      <w:proofErr w:type="spellStart"/>
      <w:r w:rsidRPr="00E1048B">
        <w:rPr>
          <w:lang w:val="ru-RU"/>
        </w:rPr>
        <w:t>галон</w:t>
      </w:r>
      <w:proofErr w:type="spellEnd"/>
      <w:r w:rsidR="00C3389B">
        <w:rPr>
          <w:lang w:val="ru-RU"/>
        </w:rPr>
        <w:t> </w:t>
      </w:r>
      <w:r w:rsidRPr="00E1048B">
        <w:rPr>
          <w:lang w:val="ru-RU"/>
        </w:rPr>
        <w:t>1301 в качестве исходного сырья для производства фипронила. Комитет запросил аналогичные данные об очагах выбросов по другим регионам мира, чтобы расширить этот анализ. Сокращение выбросов в гражданской авиации отодвинуло бы срок исчерпания запасов на более отдаленную перспективу, дав гражданской авиации больше времени для разработки приемлемой альтернативы. С учетом неопределенности в отношении отсутствия долгосрочных гарантий применения 2-БТП, о которой говорят в авиационной отрасли, ее представители заявили, что будут брать обязательство использовать смесь 2-БТП и диоксида углерода для замены галона 1301 в грузовых отсеках. При таком сценарии трудно представить наличие достаточных объемов галона 1301 для обеспечения воздушных судов новых конструкций, срок службы которых может составить 100 лет.</w:t>
      </w:r>
    </w:p>
    <w:p w14:paraId="44AD272D" w14:textId="4230A1B3"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Завершая свое сообщение, сопредседатель заявил, что КТВПТ продолжает работу по ряду направлений,</w:t>
      </w:r>
      <w:r w:rsidR="00167430">
        <w:rPr>
          <w:lang w:val="ru-RU"/>
        </w:rPr>
        <w:t xml:space="preserve"> </w:t>
      </w:r>
      <w:r w:rsidR="00167430" w:rsidRPr="00E664A8">
        <w:rPr>
          <w:lang w:val="ru-RU"/>
        </w:rPr>
        <w:t xml:space="preserve">В их числе </w:t>
      </w:r>
      <w:r w:rsidR="00167430">
        <w:rPr>
          <w:lang w:val="ru-RU"/>
        </w:rPr>
        <w:t>–</w:t>
      </w:r>
      <w:r w:rsidR="00167430" w:rsidRPr="00E664A8">
        <w:rPr>
          <w:lang w:val="ru-RU"/>
        </w:rPr>
        <w:t xml:space="preserve"> обсуждение возможности выпустить совместное заявление или приложение </w:t>
      </w:r>
      <w:r w:rsidR="00167430">
        <w:rPr>
          <w:lang w:val="ru-RU"/>
        </w:rPr>
        <w:t xml:space="preserve">с </w:t>
      </w:r>
      <w:r w:rsidR="00167430" w:rsidRPr="00E664A8">
        <w:rPr>
          <w:lang w:val="ru-RU"/>
        </w:rPr>
        <w:t>сопроводительными письмами ИКАО (письм</w:t>
      </w:r>
      <w:r w:rsidR="00167430">
        <w:rPr>
          <w:lang w:val="ru-RU"/>
        </w:rPr>
        <w:t>ами</w:t>
      </w:r>
      <w:r w:rsidR="00167430" w:rsidRPr="00E664A8">
        <w:rPr>
          <w:lang w:val="ru-RU"/>
        </w:rPr>
        <w:t xml:space="preserve"> государствам) и </w:t>
      </w:r>
      <w:r w:rsidRPr="00E1048B">
        <w:rPr>
          <w:lang w:val="ru-RU"/>
        </w:rPr>
        <w:t xml:space="preserve">ЮНЕП, с тем чтобы привлечь внимание к прогнозируемому сроку исчерпания запасов галона 1301 и содействовать дальнейшему взаимодействию между ЮНЕП, КТВПТ и ИКАО. КТВПТ также собирает дополнительные данные о выбросах галона 1301 и информацию от предприятий ТОРВ, которые выступают в качестве центров обслуживания воздушных судов, имеющих принципиальное значение для инфраструктуры обслуживания </w:t>
      </w:r>
      <w:proofErr w:type="spellStart"/>
      <w:r w:rsidRPr="00E1048B">
        <w:rPr>
          <w:lang w:val="ru-RU"/>
        </w:rPr>
        <w:t>галоновых</w:t>
      </w:r>
      <w:proofErr w:type="spellEnd"/>
      <w:r w:rsidRPr="00E1048B">
        <w:rPr>
          <w:lang w:val="ru-RU"/>
        </w:rPr>
        <w:t xml:space="preserve"> систем. </w:t>
      </w:r>
    </w:p>
    <w:p w14:paraId="41C4CB34" w14:textId="77777777"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r>
      <w:r w:rsidRPr="00C66BF3">
        <w:rPr>
          <w:lang w:val="ru-RU"/>
        </w:rPr>
        <w:t>B.</w:t>
      </w:r>
      <w:r w:rsidRPr="00C66BF3">
        <w:rPr>
          <w:lang w:val="ru-RU"/>
        </w:rPr>
        <w:tab/>
        <w:t>Комитет по техническим вариантам замены гибких и жестких пеноматериалов</w:t>
      </w:r>
    </w:p>
    <w:p w14:paraId="35B46C46" w14:textId="438CDEE0"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Хелен Уолтер-</w:t>
      </w:r>
      <w:proofErr w:type="spellStart"/>
      <w:r w:rsidRPr="00E1048B">
        <w:rPr>
          <w:lang w:val="ru-RU"/>
        </w:rPr>
        <w:t>Терринони</w:t>
      </w:r>
      <w:proofErr w:type="spellEnd"/>
      <w:r w:rsidRPr="00E1048B">
        <w:rPr>
          <w:lang w:val="ru-RU"/>
        </w:rPr>
        <w:t>, сопредседатель Комитета по техническим вариантам замены гибких и жестких пеноматериалов (КТВП), представила обновленную информацию из доклада о ходе работы. Г-жа Уолтер-</w:t>
      </w:r>
      <w:proofErr w:type="spellStart"/>
      <w:r w:rsidRPr="00E1048B">
        <w:rPr>
          <w:lang w:val="ru-RU"/>
        </w:rPr>
        <w:t>Терринони</w:t>
      </w:r>
      <w:proofErr w:type="spellEnd"/>
      <w:r w:rsidRPr="00E1048B">
        <w:rPr>
          <w:lang w:val="ru-RU"/>
        </w:rPr>
        <w:t xml:space="preserve"> отметила, что Сторонам удается обеспечивать перевод отрасли производства пеноматериалов с гидрохлорфторуглеродов (ГХФУ) в Сторонах, действующих в рамках статьи 5 (С5), и с гидрофторуглеродов (ГФУ) с высоким потенциалом глобального потепления (высоким ПГП) в Сторонах, не действующих в соответствии со статьей 5 (не С5), и в некоторых Сторонах С5, чему особенно способствуют нормативные требования и изменения в производственно-сбытовых </w:t>
      </w:r>
      <w:r w:rsidR="008D75FA">
        <w:rPr>
          <w:lang w:val="ru-RU"/>
        </w:rPr>
        <w:t>цепя</w:t>
      </w:r>
      <w:r w:rsidRPr="00E1048B">
        <w:rPr>
          <w:lang w:val="ru-RU"/>
        </w:rPr>
        <w:t>х. Она отметила, что Стороны С5 продолжают делать акцент на том, чтобы там, где это возможно, не переходить на ГФУ с высоким ПГП.</w:t>
      </w:r>
    </w:p>
    <w:p w14:paraId="65AA7FDC" w14:textId="0DBE8C3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Изготовители </w:t>
      </w:r>
      <w:proofErr w:type="spellStart"/>
      <w:r w:rsidRPr="00E1048B">
        <w:rPr>
          <w:lang w:val="ru-RU"/>
        </w:rPr>
        <w:t>гидрофторолефинов</w:t>
      </w:r>
      <w:proofErr w:type="spellEnd"/>
      <w:r w:rsidRPr="00E1048B">
        <w:rPr>
          <w:lang w:val="ru-RU"/>
        </w:rPr>
        <w:t xml:space="preserve"> (ГФО) и </w:t>
      </w:r>
      <w:proofErr w:type="spellStart"/>
      <w:r w:rsidRPr="00E1048B">
        <w:rPr>
          <w:lang w:val="ru-RU"/>
        </w:rPr>
        <w:t>гидрохлорфторолефинов</w:t>
      </w:r>
      <w:proofErr w:type="spellEnd"/>
      <w:r w:rsidRPr="00E1048B">
        <w:rPr>
          <w:lang w:val="ru-RU"/>
        </w:rPr>
        <w:t xml:space="preserve"> (ГХФО) </w:t>
      </w:r>
      <w:r w:rsidR="00E17BA3">
        <w:rPr>
          <w:lang w:val="ru-RU"/>
        </w:rPr>
        <w:t>увеличили</w:t>
      </w:r>
      <w:r w:rsidR="00E17BA3" w:rsidRPr="00E1048B">
        <w:rPr>
          <w:lang w:val="ru-RU"/>
        </w:rPr>
        <w:t xml:space="preserve"> </w:t>
      </w:r>
      <w:r w:rsidRPr="00E1048B">
        <w:rPr>
          <w:lang w:val="ru-RU"/>
        </w:rPr>
        <w:t>мощности для удовлетворения спроса на пенообразующие вещества (ПОВ) с более низким ПГП, который, как ожидается, будет обусловлен нормативными требованиями. Достигнут прогресс в разработке и доступности присадок, вспомогательных пенообразующих веществ, оборудования и рецептур.</w:t>
      </w:r>
    </w:p>
    <w:p w14:paraId="58F8113C" w14:textId="10002610"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Г-жа Уолтер-</w:t>
      </w:r>
      <w:proofErr w:type="spellStart"/>
      <w:r w:rsidRPr="00E1048B">
        <w:rPr>
          <w:lang w:val="ru-RU"/>
        </w:rPr>
        <w:t>Терринони</w:t>
      </w:r>
      <w:proofErr w:type="spellEnd"/>
      <w:r w:rsidRPr="00E1048B">
        <w:rPr>
          <w:lang w:val="ru-RU"/>
        </w:rPr>
        <w:t xml:space="preserve"> пояснила, что экономические соображения по-прежнему определяют выбор, смешивание и дозировку пенообразующих веществ. Она подробно рассказала о том, что изготовители пеноматериалов как в Сторонах С5, так и в Сторонах не С5 продолжают работать над снижением затрат за счет новых ПОВ и вспомогательных пенообразующих веществ. Она пояснила, что изготовители пеноматериалов расходуют значительные ресурсы на оптимизацию характеристик пеноматериалов и затрат применительно к новым ПОВ и системам пеноматериалов за счет смесей и новых присадок. Она отметила, что в Сторонах С5 сохраняется использование смесей на основе ГФУ-245fa из-за стоимости альтернатив на основе ГФО и ГХФО и отсутствия </w:t>
      </w:r>
      <w:r w:rsidR="00C66BF3">
        <w:rPr>
          <w:lang w:val="ru-RU"/>
        </w:rPr>
        <w:t xml:space="preserve">в настоящий момент </w:t>
      </w:r>
      <w:r w:rsidRPr="00E1048B">
        <w:rPr>
          <w:lang w:val="ru-RU"/>
        </w:rPr>
        <w:t>во многих Сторонах нормативных ограничений, а также что переквалификация пеноматериалов с новыми смесевыми ПОВ сопряжена со значительными затратами на испытания на пожарную безопасность и эффективность (например, теплотехнические характеристики, стабильность размеров).</w:t>
      </w:r>
    </w:p>
    <w:p w14:paraId="3FB9FD5E"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Она отметила, что многие компании приняли решение отказаться от фторированных ПОВ из-за стоимости ГФУ, ГФО и ГХФО, если при этом им удается сохранить </w:t>
      </w:r>
      <w:r w:rsidRPr="00E1048B">
        <w:rPr>
          <w:lang w:val="ru-RU"/>
        </w:rPr>
        <w:lastRenderedPageBreak/>
        <w:t xml:space="preserve">теплоизоляционные характеристики и соответствие другим критериям. </w:t>
      </w:r>
      <w:proofErr w:type="spellStart"/>
      <w:r w:rsidRPr="00E1048B">
        <w:rPr>
          <w:lang w:val="ru-RU"/>
        </w:rPr>
        <w:t>Нефторуглеродные</w:t>
      </w:r>
      <w:proofErr w:type="spellEnd"/>
      <w:r w:rsidRPr="00E1048B">
        <w:rPr>
          <w:lang w:val="ru-RU"/>
        </w:rPr>
        <w:t xml:space="preserve"> компоненты (например, углеводороды (УВ), </w:t>
      </w:r>
      <w:proofErr w:type="spellStart"/>
      <w:r w:rsidRPr="00E1048B">
        <w:rPr>
          <w:lang w:val="ru-RU"/>
        </w:rPr>
        <w:t>метилаль</w:t>
      </w:r>
      <w:proofErr w:type="spellEnd"/>
      <w:r w:rsidRPr="00E1048B">
        <w:rPr>
          <w:lang w:val="ru-RU"/>
        </w:rPr>
        <w:t xml:space="preserve">, </w:t>
      </w:r>
      <w:proofErr w:type="spellStart"/>
      <w:r w:rsidRPr="00E1048B">
        <w:rPr>
          <w:lang w:val="ru-RU"/>
        </w:rPr>
        <w:t>метилформиат</w:t>
      </w:r>
      <w:proofErr w:type="spellEnd"/>
      <w:r w:rsidRPr="00E1048B">
        <w:rPr>
          <w:lang w:val="ru-RU"/>
        </w:rPr>
        <w:t xml:space="preserve"> и хлористый метилен) смешиваются с </w:t>
      </w:r>
      <w:proofErr w:type="spellStart"/>
      <w:r w:rsidRPr="00E1048B">
        <w:rPr>
          <w:lang w:val="ru-RU"/>
        </w:rPr>
        <w:t>фторуглеродами</w:t>
      </w:r>
      <w:proofErr w:type="spellEnd"/>
      <w:r w:rsidRPr="00E1048B">
        <w:rPr>
          <w:lang w:val="ru-RU"/>
        </w:rPr>
        <w:t xml:space="preserve"> (ФУ) для снижения затрат.</w:t>
      </w:r>
    </w:p>
    <w:p w14:paraId="5D39DF6E" w14:textId="78503BE0"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Г-жа Уолтер-</w:t>
      </w:r>
      <w:proofErr w:type="spellStart"/>
      <w:r w:rsidRPr="00E1048B">
        <w:rPr>
          <w:lang w:val="ru-RU"/>
        </w:rPr>
        <w:t>Терринони</w:t>
      </w:r>
      <w:proofErr w:type="spellEnd"/>
      <w:r w:rsidRPr="00E1048B">
        <w:rPr>
          <w:lang w:val="ru-RU"/>
        </w:rPr>
        <w:t xml:space="preserve"> отметила, что применение новых ПОВ связано с соображениями охраны здоровья и безопасности, пояснив, что горючие ПОВ и ПОВ с иной токсичностью порождают разные проблемы безопасности для конечных пользователей и работников предприятий по подготовке систем и изготовителей пеноматериалов, особенно малых и средних предприятий (МСП). Она отметила, что коммерческое внедрение углеводородных пенообразующих веществ расширяется и что, по имеющимся сведениям, МСП начали применять углеводородные ПОВ без принятия мер безопасности (искробезопасные инструменты и методы работы, модернизация электрооборудования и т. д.). Она также отметила, что ограничения в отношении летучих органических соединений (ЛОС) могут </w:t>
      </w:r>
      <w:r w:rsidR="004B6D7F">
        <w:rPr>
          <w:lang w:val="ru-RU"/>
        </w:rPr>
        <w:t>сократить</w:t>
      </w:r>
      <w:r w:rsidR="004B6D7F" w:rsidRPr="00E1048B">
        <w:rPr>
          <w:lang w:val="ru-RU"/>
        </w:rPr>
        <w:t xml:space="preserve"> </w:t>
      </w:r>
      <w:r w:rsidRPr="00E1048B">
        <w:rPr>
          <w:lang w:val="ru-RU"/>
        </w:rPr>
        <w:t>возможности применения углеводородов, в том числе на производственных площадках.</w:t>
      </w:r>
    </w:p>
    <w:p w14:paraId="103D6877"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Затем она сообщила, что токсичность 1,2-дихлорэтилена (1,2-ДХЭ) и его применение в полиуретановых пеноматериалах в настоящее время рассматриваются по меньшей мере одной Стороной. Натурные исследования качества воздуха в помещениях применительно к напыляемым пеноматериалам показывают наличие 1,2-ДХЭ в течение месяцев или лет после нанесения.</w:t>
      </w:r>
    </w:p>
    <w:p w14:paraId="1EDD471E" w14:textId="77777777" w:rsidR="0064468C" w:rsidRPr="00167430"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Она заключила, что, несмотря на трудности, Стороны добиваются прогресса в </w:t>
      </w:r>
      <w:r w:rsidRPr="00167430">
        <w:rPr>
          <w:lang w:val="ru-RU"/>
        </w:rPr>
        <w:t>осуществлении своих переходов.</w:t>
      </w:r>
    </w:p>
    <w:p w14:paraId="29FE11FB" w14:textId="77777777"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167430">
        <w:rPr>
          <w:lang w:val="ru-RU"/>
        </w:rPr>
        <w:tab/>
        <w:t>C.</w:t>
      </w:r>
      <w:r w:rsidRPr="00167430">
        <w:rPr>
          <w:lang w:val="ru-RU"/>
        </w:rPr>
        <w:tab/>
        <w:t>Комитет по техническим вариантам замены бромистого метила</w:t>
      </w:r>
    </w:p>
    <w:p w14:paraId="130499FC" w14:textId="7347BA09"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От имени своего коллеги-сопредседателя Марты Писано сопредседатель Комитета по техническим вариантам замены бромистого метила и ГТОЭО Иан Портер представил краткое изложение доклада Комитета о ходе работы. Касаясь завершения поэтапного вывода из обращения бромистого метила (БМ) </w:t>
      </w:r>
      <w:r w:rsidR="00947665">
        <w:rPr>
          <w:lang w:val="ru-RU"/>
        </w:rPr>
        <w:t>для</w:t>
      </w:r>
      <w:r w:rsidRPr="00E1048B">
        <w:rPr>
          <w:lang w:val="ru-RU"/>
        </w:rPr>
        <w:t xml:space="preserve"> регулируемы</w:t>
      </w:r>
      <w:r w:rsidR="00947665">
        <w:rPr>
          <w:lang w:val="ru-RU"/>
        </w:rPr>
        <w:t>х</w:t>
      </w:r>
      <w:r w:rsidRPr="00E1048B">
        <w:rPr>
          <w:lang w:val="ru-RU"/>
        </w:rPr>
        <w:t xml:space="preserve"> вид</w:t>
      </w:r>
      <w:r w:rsidR="00947665">
        <w:rPr>
          <w:lang w:val="ru-RU"/>
        </w:rPr>
        <w:t>ов</w:t>
      </w:r>
      <w:r w:rsidRPr="00E1048B">
        <w:rPr>
          <w:lang w:val="ru-RU"/>
        </w:rPr>
        <w:t xml:space="preserve"> применения, не </w:t>
      </w:r>
      <w:r w:rsidR="00067A23" w:rsidRPr="00E1048B">
        <w:rPr>
          <w:lang w:val="ru-RU"/>
        </w:rPr>
        <w:t>связанны</w:t>
      </w:r>
      <w:r w:rsidR="00067A23">
        <w:rPr>
          <w:lang w:val="ru-RU"/>
        </w:rPr>
        <w:t>х</w:t>
      </w:r>
      <w:r w:rsidRPr="00E1048B">
        <w:rPr>
          <w:lang w:val="ru-RU"/>
        </w:rPr>
        <w:t xml:space="preserve"> с карантинной обработкой и обработкой перед транспортировкой (не КООТ), он отметил, что этот процесс завершился с получением последней заявки в отношении важнейших видов применения (ЗВ</w:t>
      </w:r>
      <w:r w:rsidR="00947665">
        <w:rPr>
          <w:lang w:val="ru-RU"/>
        </w:rPr>
        <w:t>В</w:t>
      </w:r>
      <w:r w:rsidRPr="00E1048B">
        <w:rPr>
          <w:lang w:val="ru-RU"/>
        </w:rPr>
        <w:t>П) в 2025 году. В 2026 году новых З</w:t>
      </w:r>
      <w:r w:rsidR="00947665">
        <w:rPr>
          <w:lang w:val="ru-RU"/>
        </w:rPr>
        <w:t>В</w:t>
      </w:r>
      <w:r w:rsidRPr="00E1048B">
        <w:rPr>
          <w:lang w:val="ru-RU"/>
        </w:rPr>
        <w:t>ВП не поступало. С учетом объемов БМ, выведенных из обращения до начала процесса З</w:t>
      </w:r>
      <w:r w:rsidR="00947665">
        <w:rPr>
          <w:lang w:val="ru-RU"/>
        </w:rPr>
        <w:t>В</w:t>
      </w:r>
      <w:r w:rsidRPr="00E1048B">
        <w:rPr>
          <w:lang w:val="ru-RU"/>
        </w:rPr>
        <w:t>ВП, за 30 лет в мире было выведено из обращения 62 000 тонн БМ.</w:t>
      </w:r>
    </w:p>
    <w:p w14:paraId="32941D2F"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Согласно последним представленным данным, мировое производство БМ для КООТ (в 2024 году) составило 8935 тонн, что на 900 тонн больше объема потребления для КООТ в том же году. Атмосферные концентрации БМ перестали снижаться, поскольку применение для КООТ и связанные с ним выбросы продолжаются в прежнем объеме. Повышение точности представляемых данных имеет существенное значение для того, чтобы ГТОЭО могла сопоставлять оценки выбросов БМ, полученные методами «снизу вверх» и «сверху вниз».</w:t>
      </w:r>
    </w:p>
    <w:p w14:paraId="7730563C" w14:textId="394CDB99"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БМ </w:t>
      </w:r>
      <w:proofErr w:type="spellStart"/>
      <w:r w:rsidRPr="00E1048B">
        <w:rPr>
          <w:lang w:val="ru-RU"/>
        </w:rPr>
        <w:t>высокотоксичен</w:t>
      </w:r>
      <w:proofErr w:type="spellEnd"/>
      <w:r w:rsidRPr="00E1048B">
        <w:rPr>
          <w:lang w:val="ru-RU"/>
        </w:rPr>
        <w:t xml:space="preserve"> для человека и все чаще подпадает под меры регулирования воздействия на рабочем месте. Ряд Сторон вводит жесткие ограничения допустимых концентраций БМ в воздухе рабочей зоны, что отразится на будущих видах применения для КООТ (например, усиление мониторинга, увеличение буферных зон и т. д.). Затем он продемонстрировал график динамики потребления БМ для подпадающих под исключения видов применения для КООТ по 10 крупнейшим Сторонам-потребителям, включая Австралию, Вьетнам, Индию, Китай, Мексику, Новую Зеландию, Пакистан, Сальвадор, Соединенные Штаты Америки и Японию. Было отмечено, что на эти Стороны приходится 88% мирового объема применения. На Индию и Соединенные Штаты</w:t>
      </w:r>
      <w:r w:rsidR="006218D8">
        <w:rPr>
          <w:lang w:val="ru-RU"/>
        </w:rPr>
        <w:t xml:space="preserve"> Америки</w:t>
      </w:r>
      <w:r w:rsidRPr="00E1048B">
        <w:rPr>
          <w:lang w:val="ru-RU"/>
        </w:rPr>
        <w:t xml:space="preserve"> приходится более 40%, при этом за последнее десятилетие Индия и Пакистан значительно увеличили потребление. Китай и Новая Зеландия резко сократили потребление; в частности, Новая Зеландия за последние три года сократила его с 800 тонн в 2021 году до менее чем 40 тонн благодаря введению поэтапно ужесточающихся мер регулирования выбросов БМ и последовавшему за этим переходу на альтернативы.</w:t>
      </w:r>
    </w:p>
    <w:p w14:paraId="1469248D" w14:textId="04D38FA5"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Затем было пояснено, что применение БМ для карантинной обработки (КО) направлено на борьбу с конкретными карантинными вредителями (</w:t>
      </w:r>
      <w:r w:rsidR="006218D8">
        <w:rPr>
          <w:lang w:val="ru-RU"/>
        </w:rPr>
        <w:t>т</w:t>
      </w:r>
      <w:r w:rsidR="00067A23">
        <w:rPr>
          <w:lang w:val="ru-RU"/>
        </w:rPr>
        <w:t>.</w:t>
      </w:r>
      <w:r w:rsidR="006218D8" w:rsidRPr="00067A23">
        <w:rPr>
          <w:lang w:val="ru-RU"/>
        </w:rPr>
        <w:t xml:space="preserve"> </w:t>
      </w:r>
      <w:r w:rsidR="006218D8">
        <w:rPr>
          <w:lang w:val="ru-RU"/>
        </w:rPr>
        <w:t>е</w:t>
      </w:r>
      <w:r w:rsidR="006218D8" w:rsidRPr="00067A23">
        <w:rPr>
          <w:lang w:val="ru-RU"/>
        </w:rPr>
        <w:t>.</w:t>
      </w:r>
      <w:r w:rsidRPr="00E1048B">
        <w:rPr>
          <w:lang w:val="ru-RU"/>
        </w:rPr>
        <w:t xml:space="preserve"> экзотическими вредителями, не встречающимися в данном регионе или стране) и, вероятно, будет требоваться во многих юрисдикциях в долгосрочной перспективе. Применение же для обработки перед транспортировкой (ОТ), объем которого, по представленным данным, составляет около 3000</w:t>
      </w:r>
      <w:r w:rsidR="00DF1B41" w:rsidRPr="00E1048B">
        <w:rPr>
          <w:lang w:val="ru-RU"/>
        </w:rPr>
        <w:t> </w:t>
      </w:r>
      <w:r w:rsidRPr="00E1048B">
        <w:rPr>
          <w:lang w:val="ru-RU"/>
        </w:rPr>
        <w:t>тонн, направлено на борьбу с эндемичными вредителями (</w:t>
      </w:r>
      <w:r w:rsidR="006218D8">
        <w:rPr>
          <w:lang w:val="ru-RU"/>
        </w:rPr>
        <w:t>т</w:t>
      </w:r>
      <w:r w:rsidR="006218D8" w:rsidRPr="00067A23">
        <w:rPr>
          <w:lang w:val="ru-RU"/>
        </w:rPr>
        <w:t xml:space="preserve">. </w:t>
      </w:r>
      <w:r w:rsidR="00067A23">
        <w:rPr>
          <w:lang w:val="ru-RU"/>
        </w:rPr>
        <w:t>е.</w:t>
      </w:r>
      <w:r w:rsidRPr="00E1048B">
        <w:rPr>
          <w:lang w:val="ru-RU"/>
        </w:rPr>
        <w:t xml:space="preserve"> уже встречающимися в стране), в отношении которых имеются эффективные альтернативы БМ (например, обработка </w:t>
      </w:r>
      <w:r w:rsidRPr="00E1048B">
        <w:rPr>
          <w:lang w:val="ru-RU"/>
        </w:rPr>
        <w:lastRenderedPageBreak/>
        <w:t xml:space="preserve">высокими и низкими температурами, облучение, окорка древесины, фосфин, </w:t>
      </w:r>
      <w:proofErr w:type="spellStart"/>
      <w:r w:rsidRPr="00E1048B">
        <w:rPr>
          <w:lang w:val="ru-RU"/>
        </w:rPr>
        <w:t>этилформиат</w:t>
      </w:r>
      <w:proofErr w:type="spellEnd"/>
      <w:r w:rsidRPr="00E1048B">
        <w:rPr>
          <w:lang w:val="ru-RU"/>
        </w:rPr>
        <w:t>, цианистый водород, этан-</w:t>
      </w:r>
      <w:proofErr w:type="spellStart"/>
      <w:r w:rsidRPr="00E1048B">
        <w:rPr>
          <w:lang w:val="ru-RU"/>
        </w:rPr>
        <w:t>динитрил</w:t>
      </w:r>
      <w:proofErr w:type="spellEnd"/>
      <w:r w:rsidRPr="00E1048B">
        <w:rPr>
          <w:lang w:val="ru-RU"/>
        </w:rPr>
        <w:t>). Эти альтернативы более безопасны для человека, окружающей среды и обрабатываемой продукции.</w:t>
      </w:r>
    </w:p>
    <w:p w14:paraId="20ABE64E" w14:textId="2C570B41"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Он подчеркнул, что при применении для КООТ в атмосферу поступает более 6000 тонн БМ, однако этих выбросов можно избежать (как показывают изменения в Новой Зеландии). В заключение он отметил, что Стороны, возможно, пожелают рассмотреть вопрос о том, как сократить выбросы при всех видах применения для КООТ; ограничить исключения в отношении применения БМ для обработки перед транспортировкой (ОТ), с тем чтобы стимулировать внедрение эффективных альтернатив; сосредоточить внимание на видах применения для карантинной обработки (КО) в целях обеспечения возможности разработки эффективных альтернатив; и повысить точность представления данных об объемах БМ, используемых для карантинной обработки, в сравнении с обработкой перед транспортировкой</w:t>
      </w:r>
      <w:r w:rsidR="007A1E25">
        <w:rPr>
          <w:lang w:val="ru-RU"/>
        </w:rPr>
        <w:t>.</w:t>
      </w:r>
    </w:p>
    <w:p w14:paraId="7DAEF0D6" w14:textId="77777777"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D.</w:t>
      </w:r>
      <w:r w:rsidRPr="00E1048B">
        <w:rPr>
          <w:lang w:val="ru-RU"/>
        </w:rPr>
        <w:tab/>
        <w:t>Комитет по техническим вариантам замены медицинских видов применения и химических веществ</w:t>
      </w:r>
    </w:p>
    <w:p w14:paraId="3B5A2BEB"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Хелен </w:t>
      </w:r>
      <w:proofErr w:type="spellStart"/>
      <w:r w:rsidRPr="00E1048B">
        <w:rPr>
          <w:lang w:val="ru-RU"/>
        </w:rPr>
        <w:t>Тоуп</w:t>
      </w:r>
      <w:proofErr w:type="spellEnd"/>
      <w:r w:rsidRPr="00E1048B">
        <w:rPr>
          <w:lang w:val="ru-RU"/>
        </w:rPr>
        <w:t>, сопредседатель Комитета по техническим вариантам замены медицинских видов применения и химических веществ (КТВМХ), представила обновленную информацию о ходе работы от имени сопредседателей и членов Комитета. Она сообщила, что КТВМХ обновил в докладе о ходе работы (2026 год) информацию о производстве озоноразрушающих веществ (ОРВ) для использования в качестве исходного сырья, отметив, что такое использование не подпадает под меры регулирования Монреальского протокола. Общие представленные данные о производстве и импорте ОРВ для использования в качестве исходного сырья оставались относительно стабильными и составили 1,95 млн тонн в 2024 году против 1,97 млн тонн в 2023 году. Она пояснила, что рост производства для использования в качестве исходного сырья с 2020 года обусловлен главным образом расширением применения в качестве исходного сырья ГХФУ с более низкой озоноразрушающей способностью (ОРС), прежде всего ГХФУ-22. Она пояснила, что динамика показателей в тоннах ОРС отражает изменения в структуре используемых в качестве исходного сырья химических веществ и соответствующих значений их ОРС с течением времени. Отметив, что представленные данные о производстве в тоннах ОРС достигли исторического максимума в 1993 году, она указала, что пик 2022 года остался ниже этого уровня. Она также обратила особое внимание на увеличение производства ГФУ для использования в качестве исходного сырья в 2024 году по сравнению с 2023 годом, обусловленное главным образом ГФУ-152a.</w:t>
      </w:r>
    </w:p>
    <w:p w14:paraId="0D5398B0" w14:textId="4D01AAA5"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Затем она изложила результаты проведенной КТВМХ оценки технологий уничтожения в ответ на материалы, представленные Канадой. Она напомнила о соответствующих решениях в рамках Монреальского протокола, регулирующих технологии уничтожения, пояснив, что, хотя уничтожение регулируемых веществ не является обязательным, за исключением ГФУ-23, утвержденные технологии используются для представления данных об уничтоженных веществах в рамках предусмотренного Протоколом определения производства и потребления. Она рассказала о том, как ГТОЭО оценивает технологии уничтожения исходя из эффективности уничтожения и удаления и выносит рекомендации в отношении выбросов других загрязняющих веществ и технических возможностей, руководствуясь критериями оценки, разработанными КТВМХ. Она сообщила, что Канада представила для оценки запатентованную технологию с использованием паровой плазменной дуги и что КТВМХ провел оценку этой технологии от имени ГТОЭО. Хотя технически эта технология сходна с ранее утвержденными технологиями аргоновой и азотной плазменной дуги, в которых может использоваться пар, КТВМХ счел, что технология с использованием паровой плазменной дуги представляет собой отдельную категорию технологий. Она отметила, что подтверждающие данные охватывают более узкий круг регулируемых веществ, чем в случае существующих утвержденных технологий плазменной дуги, и указала, что Стороны, возможно, пожелают утвердить технологию с использованием паровой плазменной дуги для уничтожения концентрированных источников регулируемых веществ, включенных в группу 1 приложения</w:t>
      </w:r>
      <w:r w:rsidR="00344732" w:rsidRPr="00E1048B">
        <w:rPr>
          <w:lang w:val="ru-RU"/>
        </w:rPr>
        <w:t> </w:t>
      </w:r>
      <w:r w:rsidRPr="00E1048B">
        <w:rPr>
          <w:lang w:val="ru-RU"/>
        </w:rPr>
        <w:t>A, группу 1 приложения C и группу 1 приложения F, для целей Монреальского протокола.</w:t>
      </w:r>
    </w:p>
    <w:p w14:paraId="5B1541E5"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Она также представила обновленную информацию об изменениях, касающихся </w:t>
      </w:r>
      <w:proofErr w:type="spellStart"/>
      <w:r w:rsidRPr="00E1048B">
        <w:rPr>
          <w:lang w:val="ru-RU"/>
        </w:rPr>
        <w:t>пропеллентов</w:t>
      </w:r>
      <w:proofErr w:type="spellEnd"/>
      <w:r w:rsidRPr="00E1048B">
        <w:rPr>
          <w:lang w:val="ru-RU"/>
        </w:rPr>
        <w:t xml:space="preserve"> с низким ПГП для дозированных ингаляторов под давлением (ДИД), во исполнение решения XXXVI/6. Она отметила, что КТВМХ представит более всеобъемлющую оценку в своем докладе по итогам оценки 2026 года. Она пояснила, что на ДИД по-прежнему приходится примерно 70 процентов назначаемых в мире доз препаратов для лечения органов дыхания, и подчеркнула, что переход на </w:t>
      </w:r>
      <w:proofErr w:type="spellStart"/>
      <w:r w:rsidRPr="00E1048B">
        <w:rPr>
          <w:lang w:val="ru-RU"/>
        </w:rPr>
        <w:t>пропелленты</w:t>
      </w:r>
      <w:proofErr w:type="spellEnd"/>
      <w:r w:rsidRPr="00E1048B">
        <w:rPr>
          <w:lang w:val="ru-RU"/>
        </w:rPr>
        <w:t xml:space="preserve"> с более низким ПГП сопряжен со значительными техническими, нормативными, коммерческими и связанными с пациентами </w:t>
      </w:r>
      <w:r w:rsidRPr="00E1048B">
        <w:rPr>
          <w:lang w:val="ru-RU"/>
        </w:rPr>
        <w:lastRenderedPageBreak/>
        <w:t>трудностями. К ним относятся сохранение безопасности и эффективности продукции, обеспечение бесперебойных поставок ГФУ фармацевтического качества, сохранение доступности альтернативных ингаляционных технологий, в том числе по цене, получение разрешений регулирующих органов и достижение приемлемости для пациентов.</w:t>
      </w:r>
    </w:p>
    <w:p w14:paraId="598DE39A" w14:textId="415BC10F"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Она сообщила, что для применения в ДИД разрабатываются два </w:t>
      </w:r>
      <w:proofErr w:type="spellStart"/>
      <w:r w:rsidRPr="00E1048B">
        <w:rPr>
          <w:lang w:val="ru-RU"/>
        </w:rPr>
        <w:t>пропеллента</w:t>
      </w:r>
      <w:proofErr w:type="spellEnd"/>
      <w:r w:rsidRPr="00E1048B">
        <w:rPr>
          <w:lang w:val="ru-RU"/>
        </w:rPr>
        <w:t xml:space="preserve"> с более низким ПГП </w:t>
      </w:r>
      <w:r w:rsidR="00344732" w:rsidRPr="00E1048B">
        <w:rPr>
          <w:lang w:val="ru-RU"/>
        </w:rPr>
        <w:t>–</w:t>
      </w:r>
      <w:r w:rsidRPr="00E1048B">
        <w:rPr>
          <w:lang w:val="ru-RU"/>
        </w:rPr>
        <w:t xml:space="preserve"> ГФУ-152a и ГФО-1234ze(E) </w:t>
      </w:r>
      <w:r w:rsidR="00344732" w:rsidRPr="00E1048B">
        <w:rPr>
          <w:lang w:val="ru-RU"/>
        </w:rPr>
        <w:t>–</w:t>
      </w:r>
      <w:r w:rsidRPr="00E1048B">
        <w:rPr>
          <w:lang w:val="ru-RU"/>
        </w:rPr>
        <w:t xml:space="preserve"> и что по меньшей мере десять компаний в мире активно разрабатывают продукцию с использованием одного или обоих этих </w:t>
      </w:r>
      <w:proofErr w:type="spellStart"/>
      <w:r w:rsidRPr="00E1048B">
        <w:rPr>
          <w:lang w:val="ru-RU"/>
        </w:rPr>
        <w:t>пропеллентов</w:t>
      </w:r>
      <w:proofErr w:type="spellEnd"/>
      <w:r w:rsidRPr="00E1048B">
        <w:rPr>
          <w:lang w:val="ru-RU"/>
        </w:rPr>
        <w:t>, в том числе изготовители в Бангладеш, Индии и Латинской Америке. Она особо отметила, что первый ДИД, содержащий ГФО-1234ze(E), был выведен на рынок в Соединенном Королевстве и впоследствии одобрен к применению в Австралии, Европе и Новой Зеландии, а другая продукция с новыми пропеллентами либо представлена на утверждение регулирующим органам, либо успешно прошла клинические исследования.</w:t>
      </w:r>
    </w:p>
    <w:p w14:paraId="33617CFD"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заключение она обобщила трудности, связанные с переходом на ингаляторы с более низким ПГП в странах с низким и средним уровнем дохода, прежде всего на рынках Сторон, действующих в рамках статьи 5. Она отметила, что сохраняющиеся глубинные проблемы, касающиеся доступа, ценовой доступности и инфраструктуры здравоохранения, по-прежнему вызывают серьезную озабоченность, поскольку даже незначительное подорожание ингаляторов может ограничить доступ пациентов к ним. Она пояснила, что малые и средние изготовители сталкиваются с дополнительными трудностями из-за ограниченного доступа к технологиям, инвестициям и экспертным знаниям в области нормативного регулирования, что может усилить глобальное неравенство в оказании помощи при заболеваниях органов дыхания. Она заметила, что партнерство малых и средних изготовителей с более крупными контрактными производителями могло бы способствовать поддержанию бесперебойных поставок при сохранении ценовой доступности. В завершение она отметила, что существующие поставщики </w:t>
      </w:r>
      <w:proofErr w:type="spellStart"/>
      <w:r w:rsidRPr="00E1048B">
        <w:rPr>
          <w:lang w:val="ru-RU"/>
        </w:rPr>
        <w:t>пропеллентов</w:t>
      </w:r>
      <w:proofErr w:type="spellEnd"/>
      <w:r w:rsidRPr="00E1048B">
        <w:rPr>
          <w:lang w:val="ru-RU"/>
        </w:rPr>
        <w:t xml:space="preserve"> в Индии и Китае могли бы содействовать обеспечению бесперебойного наличия ГФУ-134a фармацевтического качества в период перехода, хотя графики поэтапного сокращения оборота ГФУ и конкурирующий спрос со стороны секторов холодильного оборудования, кондиционирования воздуха и тепловых насосов могут в будущем создать давление на предложение и цены.</w:t>
      </w:r>
    </w:p>
    <w:p w14:paraId="3E04BAEB" w14:textId="77777777"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E.</w:t>
      </w:r>
      <w:r w:rsidRPr="00E1048B">
        <w:rPr>
          <w:lang w:val="ru-RU"/>
        </w:rPr>
        <w:tab/>
        <w:t>Комитет по техническим вариантам замены холодильного оборудования, систем кондиционирования воздуха и тепловых насосов</w:t>
      </w:r>
    </w:p>
    <w:p w14:paraId="5683AE60" w14:textId="060D79E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Сопредседатель Раджан </w:t>
      </w:r>
      <w:proofErr w:type="spellStart"/>
      <w:r w:rsidRPr="00E1048B">
        <w:rPr>
          <w:lang w:val="ru-RU"/>
        </w:rPr>
        <w:t>Раджендран</w:t>
      </w:r>
      <w:proofErr w:type="spellEnd"/>
      <w:r w:rsidRPr="00E1048B">
        <w:rPr>
          <w:lang w:val="ru-RU"/>
        </w:rPr>
        <w:t xml:space="preserve"> выступил от имени трех остальных сопредседателей </w:t>
      </w:r>
      <w:r w:rsidR="00E1048B" w:rsidRPr="00E1048B">
        <w:rPr>
          <w:lang w:val="ru-RU"/>
        </w:rPr>
        <w:t>–</w:t>
      </w:r>
      <w:r w:rsidRPr="00E1048B">
        <w:rPr>
          <w:lang w:val="ru-RU"/>
        </w:rPr>
        <w:t xml:space="preserve"> Омара Абдель</w:t>
      </w:r>
      <w:r w:rsidR="00A664D6">
        <w:rPr>
          <w:lang w:val="ru-RU"/>
        </w:rPr>
        <w:t>-А</w:t>
      </w:r>
      <w:r w:rsidRPr="00E1048B">
        <w:rPr>
          <w:lang w:val="ru-RU"/>
        </w:rPr>
        <w:t xml:space="preserve">зиза, Роберту </w:t>
      </w:r>
      <w:proofErr w:type="spellStart"/>
      <w:r w:rsidRPr="00E1048B">
        <w:rPr>
          <w:lang w:val="ru-RU"/>
        </w:rPr>
        <w:t>Пейшоту</w:t>
      </w:r>
      <w:proofErr w:type="spellEnd"/>
      <w:r w:rsidRPr="00E1048B">
        <w:rPr>
          <w:lang w:val="ru-RU"/>
        </w:rPr>
        <w:t xml:space="preserve"> и Фабио </w:t>
      </w:r>
      <w:proofErr w:type="spellStart"/>
      <w:r w:rsidRPr="00E1048B">
        <w:rPr>
          <w:lang w:val="ru-RU"/>
        </w:rPr>
        <w:t>Полонары</w:t>
      </w:r>
      <w:proofErr w:type="spellEnd"/>
      <w:r w:rsidRPr="00E1048B">
        <w:rPr>
          <w:lang w:val="ru-RU"/>
        </w:rPr>
        <w:t xml:space="preserve">. Г-н </w:t>
      </w:r>
      <w:proofErr w:type="spellStart"/>
      <w:r w:rsidRPr="00E1048B">
        <w:rPr>
          <w:lang w:val="ru-RU"/>
        </w:rPr>
        <w:t>Раджендран</w:t>
      </w:r>
      <w:proofErr w:type="spellEnd"/>
      <w:r w:rsidRPr="00E1048B">
        <w:rPr>
          <w:lang w:val="ru-RU"/>
        </w:rPr>
        <w:t xml:space="preserve"> начал с изложения обновленной информации по междисциплинарным вопросам, затем перешел к </w:t>
      </w:r>
      <w:r w:rsidR="006218D8">
        <w:rPr>
          <w:lang w:val="ru-RU"/>
        </w:rPr>
        <w:t xml:space="preserve">вопросу </w:t>
      </w:r>
      <w:r w:rsidRPr="00E1048B">
        <w:rPr>
          <w:lang w:val="ru-RU"/>
        </w:rPr>
        <w:t>охлаждени</w:t>
      </w:r>
      <w:r w:rsidR="006218D8">
        <w:rPr>
          <w:lang w:val="ru-RU"/>
        </w:rPr>
        <w:t>я</w:t>
      </w:r>
      <w:r w:rsidRPr="00E1048B">
        <w:rPr>
          <w:lang w:val="ru-RU"/>
        </w:rPr>
        <w:t xml:space="preserve"> и обогрева для нужд комфорта и, наконец, к </w:t>
      </w:r>
      <w:r w:rsidR="006218D8">
        <w:rPr>
          <w:lang w:val="ru-RU"/>
        </w:rPr>
        <w:t xml:space="preserve">теме </w:t>
      </w:r>
      <w:r w:rsidRPr="00E1048B">
        <w:rPr>
          <w:lang w:val="ru-RU"/>
        </w:rPr>
        <w:t>холодовой цепи и нестандартны</w:t>
      </w:r>
      <w:r w:rsidR="006218D8">
        <w:rPr>
          <w:lang w:val="ru-RU"/>
        </w:rPr>
        <w:t>х</w:t>
      </w:r>
      <w:r w:rsidRPr="00E1048B">
        <w:rPr>
          <w:lang w:val="ru-RU"/>
        </w:rPr>
        <w:t xml:space="preserve"> технологи</w:t>
      </w:r>
      <w:r w:rsidR="006218D8">
        <w:rPr>
          <w:lang w:val="ru-RU"/>
        </w:rPr>
        <w:t>й</w:t>
      </w:r>
      <w:r w:rsidRPr="00E1048B">
        <w:rPr>
          <w:lang w:val="ru-RU"/>
        </w:rPr>
        <w:t>. Он завершил сообщение КТВХ обзором обновленной информации о регулировании жизненного цикла хладагентов (РЖЦХ).</w:t>
      </w:r>
    </w:p>
    <w:p w14:paraId="14C56D06" w14:textId="1CE8A60F" w:rsidR="0064468C" w:rsidRPr="00E1048B" w:rsidRDefault="0064468C" w:rsidP="00E1048B">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right="284" w:firstLine="0"/>
        <w:rPr>
          <w:lang w:val="ru-RU"/>
        </w:rPr>
      </w:pPr>
      <w:r w:rsidRPr="00E1048B">
        <w:rPr>
          <w:lang w:val="ru-RU"/>
        </w:rPr>
        <w:tab/>
        <w:t>Междисциплинарные вопросы</w:t>
      </w:r>
    </w:p>
    <w:p w14:paraId="74F431FA"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Растущий мировой спрос на системы холодильного оборудования, кондиционирования воздуха и тепловых насосов (ХОКВТН) порождает двойную климатическую проблему, обусловленную как прямыми утечками хладагентов, так и косвенным потреблением электроэнергии, что требует проведения всеобъемлющих оценок жизненного цикла.</w:t>
      </w:r>
    </w:p>
    <w:p w14:paraId="572E49DE" w14:textId="10AA0E6D"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Снижение мощности охлаждения и обогрева за счет пассивных мер, таких как теплоизоляция и затенение, является важнейшим первым шагом, способным сократить потребность в охлаждении и энергопотребление примерно на 30% и уменьшить требуемый объем хладагента, что позволит обеспечить соблюдение Кигалийской поправки.</w:t>
      </w:r>
    </w:p>
    <w:p w14:paraId="25D4A1D7"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Единого «идеального» хладагента не существует; выбор требует сбалансированности множества факторов, включая воздействие на окружающую среду, нормативно-правовые обязательства, требования безопасности, эксплуатационные характеристики, совместимость материалов, доступность компонентов, ценовую доступность и наличие квалифицированных технических специалистов.</w:t>
      </w:r>
    </w:p>
    <w:p w14:paraId="695186ED"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В прошлом году были утверждены семь новых смесевых хладагентов, которые перечислены в таблице 6.1 доклада о ходе работы.</w:t>
      </w:r>
    </w:p>
    <w:p w14:paraId="77B2196C"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Укрепление национальных систем сбора данных о секторе ХОКВТН повысило бы точность моделирования банков, потребления и выбросов в этом секторе и позволило бы принимать меры по сокращению выбросов на основе фактических данных.</w:t>
      </w:r>
    </w:p>
    <w:p w14:paraId="06863096"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lastRenderedPageBreak/>
        <w:t>Стандарты безопасности продолжают обновляться, с тем чтобы охватить больше типов систем, а также повысить безопасность. Ниже воспроизводится таблица из доклада о ходе работы:</w:t>
      </w:r>
    </w:p>
    <w:p w14:paraId="650290C7" w14:textId="77777777" w:rsidR="0064468C" w:rsidRPr="00E1048B" w:rsidRDefault="0064468C" w:rsidP="000579D2">
      <w:pPr>
        <w:pStyle w:val="Titletable"/>
        <w:keepNext w:val="0"/>
        <w:keepLines w:val="0"/>
        <w:tabs>
          <w:tab w:val="clear" w:pos="624"/>
          <w:tab w:val="clear" w:pos="1247"/>
          <w:tab w:val="clear" w:pos="1871"/>
          <w:tab w:val="clear" w:pos="2495"/>
          <w:tab w:val="clear" w:pos="3119"/>
          <w:tab w:val="clear" w:pos="3742"/>
          <w:tab w:val="clear" w:pos="4366"/>
          <w:tab w:val="clear" w:pos="4990"/>
        </w:tabs>
        <w:rPr>
          <w:rFonts w:eastAsiaTheme="minorEastAsia"/>
          <w:lang w:val="ru-RU"/>
        </w:rPr>
      </w:pPr>
      <w:r w:rsidRPr="00E1048B">
        <w:rPr>
          <w:rFonts w:eastAsiaTheme="minorEastAsia"/>
          <w:b w:val="0"/>
          <w:bCs w:val="0"/>
          <w:lang w:val="ru-RU"/>
        </w:rPr>
        <w:t>Таблица 6.2</w:t>
      </w:r>
      <w:r w:rsidRPr="00E1048B">
        <w:rPr>
          <w:rFonts w:eastAsiaTheme="minorEastAsia"/>
          <w:lang w:val="ru-RU"/>
        </w:rPr>
        <w:t xml:space="preserve"> </w:t>
      </w:r>
      <w:r w:rsidRPr="00E1048B">
        <w:rPr>
          <w:rFonts w:eastAsiaTheme="minorEastAsia"/>
          <w:lang w:val="ru-RU"/>
        </w:rPr>
        <w:br/>
      </w:r>
      <w:r w:rsidRPr="00E1048B">
        <w:rPr>
          <w:lang w:val="ru-RU"/>
        </w:rPr>
        <w:t>Краткий обзор текущего положения дел с отдельными стандартами безопасности в секторе ХОКВТН</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2224"/>
        <w:gridCol w:w="1386"/>
        <w:gridCol w:w="3235"/>
      </w:tblGrid>
      <w:tr w:rsidR="0064468C" w:rsidRPr="00E1048B" w14:paraId="3D01DA48" w14:textId="77777777" w:rsidTr="000F6AAC">
        <w:trPr>
          <w:trHeight w:val="57"/>
          <w:jc w:val="right"/>
        </w:trPr>
        <w:tc>
          <w:tcPr>
            <w:tcW w:w="1508" w:type="dxa"/>
            <w:tcBorders>
              <w:top w:val="single" w:sz="4" w:space="0" w:color="auto"/>
              <w:bottom w:val="single" w:sz="12" w:space="0" w:color="auto"/>
            </w:tcBorders>
          </w:tcPr>
          <w:p w14:paraId="2E791B87" w14:textId="77777777" w:rsidR="0064468C" w:rsidRPr="00E1048B" w:rsidRDefault="0064468C" w:rsidP="000F6AAC">
            <w:pPr>
              <w:pStyle w:val="Normal-pool-Table"/>
              <w:rPr>
                <w:rFonts w:eastAsiaTheme="minorEastAsia"/>
                <w:i/>
                <w:iCs/>
                <w:lang w:val="ru-RU"/>
              </w:rPr>
            </w:pPr>
            <w:r w:rsidRPr="00E1048B">
              <w:rPr>
                <w:rFonts w:eastAsiaTheme="minorEastAsia"/>
                <w:i/>
                <w:iCs/>
                <w:lang w:val="ru-RU"/>
              </w:rPr>
              <w:t>Стандарт</w:t>
            </w:r>
          </w:p>
        </w:tc>
        <w:tc>
          <w:tcPr>
            <w:tcW w:w="2315" w:type="dxa"/>
            <w:tcBorders>
              <w:top w:val="single" w:sz="4" w:space="0" w:color="auto"/>
              <w:bottom w:val="single" w:sz="12" w:space="0" w:color="auto"/>
            </w:tcBorders>
          </w:tcPr>
          <w:p w14:paraId="7721DFD5" w14:textId="77777777" w:rsidR="0064468C" w:rsidRPr="00E1048B" w:rsidRDefault="0064468C" w:rsidP="000F6AAC">
            <w:pPr>
              <w:pStyle w:val="Normal-pool-Table"/>
              <w:rPr>
                <w:rFonts w:eastAsiaTheme="minorEastAsia"/>
                <w:i/>
                <w:iCs/>
                <w:lang w:val="ru-RU"/>
              </w:rPr>
            </w:pPr>
            <w:r w:rsidRPr="00E1048B">
              <w:rPr>
                <w:rFonts w:eastAsiaTheme="minorEastAsia"/>
                <w:i/>
                <w:iCs/>
                <w:lang w:val="ru-RU"/>
              </w:rPr>
              <w:t>Охват</w:t>
            </w:r>
          </w:p>
        </w:tc>
        <w:tc>
          <w:tcPr>
            <w:tcW w:w="1403" w:type="dxa"/>
            <w:tcBorders>
              <w:top w:val="single" w:sz="4" w:space="0" w:color="auto"/>
              <w:bottom w:val="single" w:sz="12" w:space="0" w:color="auto"/>
            </w:tcBorders>
          </w:tcPr>
          <w:p w14:paraId="6994EDC1" w14:textId="77777777" w:rsidR="0064468C" w:rsidRPr="00E1048B" w:rsidRDefault="0064468C" w:rsidP="000F6AAC">
            <w:pPr>
              <w:pStyle w:val="Normal-pool-Table"/>
              <w:rPr>
                <w:rFonts w:eastAsiaTheme="minorEastAsia"/>
                <w:i/>
                <w:iCs/>
                <w:lang w:val="ru-RU"/>
              </w:rPr>
            </w:pPr>
            <w:r w:rsidRPr="00E1048B">
              <w:rPr>
                <w:rFonts w:eastAsiaTheme="minorEastAsia"/>
                <w:i/>
                <w:iCs/>
                <w:lang w:val="ru-RU"/>
              </w:rPr>
              <w:t>Текущее</w:t>
            </w:r>
          </w:p>
          <w:p w14:paraId="1171FD3A" w14:textId="77777777" w:rsidR="0064468C" w:rsidRPr="00E1048B" w:rsidRDefault="0064468C" w:rsidP="000F6AAC">
            <w:pPr>
              <w:pStyle w:val="Normal-pool-Table"/>
              <w:rPr>
                <w:rFonts w:eastAsiaTheme="minorEastAsia"/>
                <w:i/>
                <w:iCs/>
                <w:lang w:val="ru-RU"/>
              </w:rPr>
            </w:pPr>
            <w:r w:rsidRPr="00E1048B">
              <w:rPr>
                <w:rFonts w:eastAsiaTheme="minorEastAsia"/>
                <w:i/>
                <w:iCs/>
                <w:lang w:val="ru-RU"/>
              </w:rPr>
              <w:t>состояние</w:t>
            </w:r>
          </w:p>
        </w:tc>
        <w:tc>
          <w:tcPr>
            <w:tcW w:w="3421" w:type="dxa"/>
            <w:tcBorders>
              <w:top w:val="single" w:sz="4" w:space="0" w:color="auto"/>
              <w:bottom w:val="single" w:sz="12" w:space="0" w:color="auto"/>
            </w:tcBorders>
          </w:tcPr>
          <w:p w14:paraId="5D0C5410" w14:textId="77777777" w:rsidR="0064468C" w:rsidRPr="00E1048B" w:rsidRDefault="0064468C" w:rsidP="000F6AAC">
            <w:pPr>
              <w:pStyle w:val="Normal-pool-Table"/>
              <w:rPr>
                <w:rFonts w:eastAsiaTheme="minorEastAsia"/>
                <w:i/>
                <w:iCs/>
                <w:lang w:val="ru-RU"/>
              </w:rPr>
            </w:pPr>
            <w:r w:rsidRPr="00E1048B">
              <w:rPr>
                <w:rFonts w:eastAsiaTheme="minorEastAsia"/>
                <w:i/>
                <w:iCs/>
                <w:lang w:val="ru-RU"/>
              </w:rPr>
              <w:t>Основные изменения</w:t>
            </w:r>
          </w:p>
        </w:tc>
      </w:tr>
      <w:tr w:rsidR="0064468C" w:rsidRPr="00E1048B" w14:paraId="6ED1A85A" w14:textId="77777777" w:rsidTr="000F6AAC">
        <w:trPr>
          <w:trHeight w:val="57"/>
          <w:jc w:val="right"/>
        </w:trPr>
        <w:tc>
          <w:tcPr>
            <w:tcW w:w="1508" w:type="dxa"/>
            <w:tcBorders>
              <w:top w:val="single" w:sz="12" w:space="0" w:color="auto"/>
            </w:tcBorders>
          </w:tcPr>
          <w:p w14:paraId="0B1FC849" w14:textId="77777777" w:rsidR="0064468C" w:rsidRPr="00E1048B" w:rsidRDefault="0064468C" w:rsidP="000F6AAC">
            <w:pPr>
              <w:pStyle w:val="Normal-pool-Table"/>
              <w:rPr>
                <w:rFonts w:eastAsiaTheme="minorEastAsia"/>
                <w:lang w:val="ru-RU"/>
              </w:rPr>
            </w:pPr>
            <w:r w:rsidRPr="00E1048B">
              <w:rPr>
                <w:rFonts w:eastAsiaTheme="minorEastAsia"/>
                <w:lang w:val="ru-RU"/>
              </w:rPr>
              <w:t>ISO 5149 (серия)</w:t>
            </w:r>
          </w:p>
        </w:tc>
        <w:tc>
          <w:tcPr>
            <w:tcW w:w="2315" w:type="dxa"/>
            <w:tcBorders>
              <w:top w:val="single" w:sz="12" w:space="0" w:color="auto"/>
            </w:tcBorders>
          </w:tcPr>
          <w:p w14:paraId="5D5360F9" w14:textId="77777777" w:rsidR="0064468C" w:rsidRPr="00E1048B" w:rsidRDefault="0064468C" w:rsidP="000F6AAC">
            <w:pPr>
              <w:pStyle w:val="Normal-pool-Table"/>
              <w:rPr>
                <w:rFonts w:eastAsiaTheme="minorEastAsia"/>
                <w:lang w:val="ru-RU"/>
              </w:rPr>
            </w:pPr>
            <w:r w:rsidRPr="00E1048B">
              <w:rPr>
                <w:rFonts w:eastAsiaTheme="minorEastAsia"/>
                <w:lang w:val="ru-RU"/>
              </w:rPr>
              <w:t>Все системы ХОКВТН</w:t>
            </w:r>
          </w:p>
        </w:tc>
        <w:tc>
          <w:tcPr>
            <w:tcW w:w="1403" w:type="dxa"/>
            <w:tcBorders>
              <w:top w:val="single" w:sz="12" w:space="0" w:color="auto"/>
            </w:tcBorders>
          </w:tcPr>
          <w:p w14:paraId="62BC2318" w14:textId="77777777" w:rsidR="0064468C" w:rsidRPr="00E1048B" w:rsidRDefault="0064468C" w:rsidP="000F6AAC">
            <w:pPr>
              <w:pStyle w:val="Normal-pool-Table"/>
              <w:rPr>
                <w:rFonts w:eastAsiaTheme="minorEastAsia"/>
                <w:lang w:val="ru-RU"/>
              </w:rPr>
            </w:pPr>
            <w:r w:rsidRPr="00E1048B">
              <w:rPr>
                <w:rFonts w:eastAsiaTheme="minorEastAsia"/>
                <w:lang w:val="ru-RU"/>
              </w:rPr>
              <w:t>На стадии пересмотра</w:t>
            </w:r>
          </w:p>
        </w:tc>
        <w:tc>
          <w:tcPr>
            <w:tcW w:w="3421" w:type="dxa"/>
            <w:tcBorders>
              <w:top w:val="single" w:sz="12" w:space="0" w:color="auto"/>
            </w:tcBorders>
          </w:tcPr>
          <w:p w14:paraId="669B4C79" w14:textId="77777777" w:rsidR="0064468C" w:rsidRPr="00E1048B" w:rsidRDefault="0064468C" w:rsidP="000F6AAC">
            <w:pPr>
              <w:pStyle w:val="Normal-pool-Table"/>
              <w:rPr>
                <w:rFonts w:eastAsiaTheme="minorEastAsia"/>
                <w:lang w:val="ru-RU"/>
              </w:rPr>
            </w:pPr>
            <w:r w:rsidRPr="00E1048B">
              <w:rPr>
                <w:rFonts w:eastAsiaTheme="minorEastAsia"/>
                <w:lang w:val="ru-RU"/>
              </w:rPr>
              <w:t>Включение новых концепций снижения риска (например, высвобождаемая заправка, обновленные методы испытаний)</w:t>
            </w:r>
          </w:p>
        </w:tc>
      </w:tr>
      <w:tr w:rsidR="0064468C" w:rsidRPr="00E1048B" w14:paraId="4B61C948" w14:textId="77777777" w:rsidTr="000F6AAC">
        <w:trPr>
          <w:trHeight w:val="57"/>
          <w:jc w:val="right"/>
        </w:trPr>
        <w:tc>
          <w:tcPr>
            <w:tcW w:w="1508" w:type="dxa"/>
          </w:tcPr>
          <w:p w14:paraId="7C348232" w14:textId="77777777" w:rsidR="0064468C" w:rsidRPr="00E1048B" w:rsidRDefault="0064468C" w:rsidP="000F6AAC">
            <w:pPr>
              <w:pStyle w:val="Normal-pool-Table"/>
              <w:rPr>
                <w:rFonts w:eastAsiaTheme="minorEastAsia"/>
                <w:lang w:val="ru-RU"/>
              </w:rPr>
            </w:pPr>
            <w:r w:rsidRPr="00E1048B">
              <w:rPr>
                <w:rFonts w:eastAsiaTheme="minorEastAsia"/>
                <w:lang w:val="ru-RU"/>
              </w:rPr>
              <w:t>IEC 60335-2-40</w:t>
            </w:r>
          </w:p>
        </w:tc>
        <w:tc>
          <w:tcPr>
            <w:tcW w:w="2315" w:type="dxa"/>
          </w:tcPr>
          <w:p w14:paraId="0573C1F6" w14:textId="77777777" w:rsidR="0064468C" w:rsidRPr="00E1048B" w:rsidRDefault="0064468C" w:rsidP="000F6AAC">
            <w:pPr>
              <w:pStyle w:val="Normal-pool-Table"/>
              <w:rPr>
                <w:rFonts w:eastAsiaTheme="minorEastAsia"/>
                <w:lang w:val="ru-RU"/>
              </w:rPr>
            </w:pPr>
            <w:r w:rsidRPr="00E1048B">
              <w:rPr>
                <w:rFonts w:eastAsiaTheme="minorEastAsia"/>
                <w:lang w:val="ru-RU"/>
              </w:rPr>
              <w:t>Кондиционеры воздуха, тепловые насосы</w:t>
            </w:r>
          </w:p>
        </w:tc>
        <w:tc>
          <w:tcPr>
            <w:tcW w:w="1403" w:type="dxa"/>
          </w:tcPr>
          <w:p w14:paraId="44E4AF57" w14:textId="77777777" w:rsidR="0064468C" w:rsidRPr="00E1048B" w:rsidRDefault="0064468C" w:rsidP="000F6AAC">
            <w:pPr>
              <w:pStyle w:val="Normal-pool-Table"/>
              <w:rPr>
                <w:rFonts w:eastAsiaTheme="minorEastAsia"/>
                <w:lang w:val="ru-RU"/>
              </w:rPr>
            </w:pPr>
            <w:r w:rsidRPr="00E1048B">
              <w:rPr>
                <w:rFonts w:eastAsiaTheme="minorEastAsia"/>
                <w:lang w:val="ru-RU"/>
              </w:rPr>
              <w:t>На стадии пересмотра</w:t>
            </w:r>
          </w:p>
        </w:tc>
        <w:tc>
          <w:tcPr>
            <w:tcW w:w="3421" w:type="dxa"/>
          </w:tcPr>
          <w:p w14:paraId="1427868F" w14:textId="77777777" w:rsidR="0064468C" w:rsidRPr="00E1048B" w:rsidRDefault="0064468C" w:rsidP="000F6AAC">
            <w:pPr>
              <w:pStyle w:val="Normal-pool-Table"/>
              <w:rPr>
                <w:rFonts w:eastAsiaTheme="minorEastAsia"/>
                <w:lang w:val="ru-RU"/>
              </w:rPr>
            </w:pPr>
            <w:r w:rsidRPr="00E1048B">
              <w:rPr>
                <w:rFonts w:eastAsiaTheme="minorEastAsia"/>
                <w:lang w:val="ru-RU"/>
              </w:rPr>
              <w:t>Расширенные положения о горючих хладагентах, предельных значениях заправки, мерах снижения риска</w:t>
            </w:r>
          </w:p>
        </w:tc>
      </w:tr>
      <w:tr w:rsidR="0064468C" w:rsidRPr="00E1048B" w14:paraId="754966CC" w14:textId="77777777" w:rsidTr="000F6AAC">
        <w:trPr>
          <w:trHeight w:val="57"/>
          <w:jc w:val="right"/>
        </w:trPr>
        <w:tc>
          <w:tcPr>
            <w:tcW w:w="1508" w:type="dxa"/>
          </w:tcPr>
          <w:p w14:paraId="0173A4E1" w14:textId="77777777" w:rsidR="0064468C" w:rsidRPr="00E1048B" w:rsidRDefault="0064468C" w:rsidP="000F6AAC">
            <w:pPr>
              <w:pStyle w:val="Normal-pool-Table"/>
              <w:rPr>
                <w:rFonts w:eastAsiaTheme="minorEastAsia"/>
                <w:lang w:val="ru-RU"/>
              </w:rPr>
            </w:pPr>
            <w:r w:rsidRPr="00E1048B">
              <w:rPr>
                <w:rFonts w:eastAsiaTheme="minorEastAsia"/>
                <w:lang w:val="ru-RU"/>
              </w:rPr>
              <w:t>IEC 60335-2-89</w:t>
            </w:r>
          </w:p>
        </w:tc>
        <w:tc>
          <w:tcPr>
            <w:tcW w:w="2315" w:type="dxa"/>
          </w:tcPr>
          <w:p w14:paraId="4C88F76C" w14:textId="77777777" w:rsidR="0064468C" w:rsidRPr="00E1048B" w:rsidRDefault="0064468C" w:rsidP="000F6AAC">
            <w:pPr>
              <w:pStyle w:val="Normal-pool-Table"/>
              <w:rPr>
                <w:rFonts w:eastAsiaTheme="minorEastAsia"/>
                <w:lang w:val="ru-RU"/>
              </w:rPr>
            </w:pPr>
            <w:r w:rsidRPr="00E1048B">
              <w:rPr>
                <w:rFonts w:eastAsiaTheme="minorEastAsia"/>
                <w:lang w:val="ru-RU"/>
              </w:rPr>
              <w:t>Торговое холодильное оборудование</w:t>
            </w:r>
          </w:p>
        </w:tc>
        <w:tc>
          <w:tcPr>
            <w:tcW w:w="1403" w:type="dxa"/>
          </w:tcPr>
          <w:p w14:paraId="3D88C01B" w14:textId="77777777" w:rsidR="0064468C" w:rsidRPr="00E1048B" w:rsidRDefault="0064468C" w:rsidP="000F6AAC">
            <w:pPr>
              <w:pStyle w:val="Normal-pool-Table"/>
              <w:rPr>
                <w:rFonts w:eastAsiaTheme="minorEastAsia"/>
                <w:lang w:val="ru-RU"/>
              </w:rPr>
            </w:pPr>
            <w:r w:rsidRPr="00E1048B">
              <w:rPr>
                <w:rFonts w:eastAsiaTheme="minorEastAsia"/>
                <w:lang w:val="ru-RU"/>
              </w:rPr>
              <w:t>На стадии пересмотра</w:t>
            </w:r>
          </w:p>
        </w:tc>
        <w:tc>
          <w:tcPr>
            <w:tcW w:w="3421" w:type="dxa"/>
          </w:tcPr>
          <w:p w14:paraId="423E90E5" w14:textId="77777777" w:rsidR="0064468C" w:rsidRPr="00E1048B" w:rsidRDefault="0064468C" w:rsidP="000F6AAC">
            <w:pPr>
              <w:pStyle w:val="Normal-pool-Table"/>
              <w:rPr>
                <w:rFonts w:eastAsiaTheme="minorEastAsia"/>
                <w:lang w:val="ru-RU"/>
              </w:rPr>
            </w:pPr>
            <w:r w:rsidRPr="00E1048B">
              <w:rPr>
                <w:rFonts w:eastAsiaTheme="minorEastAsia"/>
                <w:lang w:val="ru-RU"/>
              </w:rPr>
              <w:t>Включение сплит-систем и небольших холодильных камер, работающих на горючих хладагентах</w:t>
            </w:r>
          </w:p>
        </w:tc>
      </w:tr>
      <w:tr w:rsidR="0064468C" w:rsidRPr="00E1048B" w14:paraId="34522AAC" w14:textId="77777777" w:rsidTr="000F6AAC">
        <w:trPr>
          <w:trHeight w:val="57"/>
          <w:jc w:val="right"/>
        </w:trPr>
        <w:tc>
          <w:tcPr>
            <w:tcW w:w="1508" w:type="dxa"/>
            <w:tcBorders>
              <w:bottom w:val="single" w:sz="12" w:space="0" w:color="auto"/>
            </w:tcBorders>
          </w:tcPr>
          <w:p w14:paraId="1BF99680" w14:textId="77777777" w:rsidR="0064468C" w:rsidRPr="00E1048B" w:rsidRDefault="0064468C" w:rsidP="000F6AAC">
            <w:pPr>
              <w:pStyle w:val="Normal-pool-Table"/>
              <w:rPr>
                <w:rFonts w:eastAsiaTheme="minorEastAsia"/>
                <w:lang w:val="ru-RU"/>
              </w:rPr>
            </w:pPr>
            <w:r w:rsidRPr="00E1048B">
              <w:rPr>
                <w:rFonts w:eastAsiaTheme="minorEastAsia"/>
                <w:lang w:val="ru-RU"/>
              </w:rPr>
              <w:t>ISO 14903</w:t>
            </w:r>
          </w:p>
        </w:tc>
        <w:tc>
          <w:tcPr>
            <w:tcW w:w="2315" w:type="dxa"/>
            <w:tcBorders>
              <w:bottom w:val="single" w:sz="12" w:space="0" w:color="auto"/>
            </w:tcBorders>
          </w:tcPr>
          <w:p w14:paraId="510F5FAD" w14:textId="77777777" w:rsidR="0064468C" w:rsidRPr="00E1048B" w:rsidRDefault="0064468C" w:rsidP="000F6AAC">
            <w:pPr>
              <w:pStyle w:val="Normal-pool-Table"/>
              <w:rPr>
                <w:rFonts w:eastAsiaTheme="minorEastAsia"/>
                <w:lang w:val="ru-RU"/>
              </w:rPr>
            </w:pPr>
            <w:r w:rsidRPr="00E1048B">
              <w:rPr>
                <w:rFonts w:eastAsiaTheme="minorEastAsia"/>
                <w:lang w:val="ru-RU"/>
              </w:rPr>
              <w:t>Целостность компонентов и систем</w:t>
            </w:r>
          </w:p>
        </w:tc>
        <w:tc>
          <w:tcPr>
            <w:tcW w:w="1403" w:type="dxa"/>
            <w:tcBorders>
              <w:bottom w:val="single" w:sz="12" w:space="0" w:color="auto"/>
            </w:tcBorders>
          </w:tcPr>
          <w:p w14:paraId="55D64C02" w14:textId="77777777" w:rsidR="0064468C" w:rsidRPr="00E1048B" w:rsidRDefault="0064468C" w:rsidP="000F6AAC">
            <w:pPr>
              <w:pStyle w:val="Normal-pool-Table"/>
              <w:rPr>
                <w:rFonts w:eastAsiaTheme="minorEastAsia"/>
                <w:lang w:val="ru-RU"/>
              </w:rPr>
            </w:pPr>
            <w:r w:rsidRPr="00E1048B">
              <w:rPr>
                <w:rFonts w:eastAsiaTheme="minorEastAsia"/>
                <w:lang w:val="ru-RU"/>
              </w:rPr>
              <w:t>Пересмотрен (2025 год)</w:t>
            </w:r>
          </w:p>
        </w:tc>
        <w:tc>
          <w:tcPr>
            <w:tcW w:w="3421" w:type="dxa"/>
            <w:tcBorders>
              <w:bottom w:val="single" w:sz="12" w:space="0" w:color="auto"/>
            </w:tcBorders>
          </w:tcPr>
          <w:p w14:paraId="192ED29A" w14:textId="77777777" w:rsidR="0064468C" w:rsidRPr="00E1048B" w:rsidRDefault="0064468C" w:rsidP="000F6AAC">
            <w:pPr>
              <w:pStyle w:val="Normal-pool-Table"/>
              <w:rPr>
                <w:rFonts w:eastAsiaTheme="minorEastAsia"/>
                <w:lang w:val="ru-RU"/>
              </w:rPr>
            </w:pPr>
            <w:r w:rsidRPr="00E1048B">
              <w:rPr>
                <w:rFonts w:eastAsiaTheme="minorEastAsia"/>
                <w:lang w:val="ru-RU"/>
              </w:rPr>
              <w:t>Обновленные методы подтверждения герметичности</w:t>
            </w:r>
          </w:p>
        </w:tc>
      </w:tr>
    </w:tbl>
    <w:p w14:paraId="4F3BE253" w14:textId="2E06E841" w:rsidR="0064468C" w:rsidRPr="00E1048B" w:rsidRDefault="0064468C" w:rsidP="000579D2">
      <w:pPr>
        <w:pStyle w:val="CH3"/>
        <w:keepNext w:val="0"/>
        <w:keepLines w:val="0"/>
        <w:tabs>
          <w:tab w:val="clear" w:pos="851"/>
          <w:tab w:val="clear" w:pos="1247"/>
          <w:tab w:val="clear" w:pos="1871"/>
          <w:tab w:val="clear" w:pos="2495"/>
          <w:tab w:val="clear" w:pos="3119"/>
          <w:tab w:val="clear" w:pos="3742"/>
          <w:tab w:val="clear" w:pos="4366"/>
          <w:tab w:val="clear" w:pos="4990"/>
        </w:tabs>
        <w:ind w:right="284" w:firstLine="0"/>
        <w:rPr>
          <w:lang w:val="ru-RU"/>
        </w:rPr>
      </w:pPr>
      <w:r w:rsidRPr="00E1048B">
        <w:rPr>
          <w:lang w:val="ru-RU"/>
        </w:rPr>
        <w:tab/>
        <w:t>Охлаждение и обогрев для нужд комфорта</w:t>
      </w:r>
    </w:p>
    <w:p w14:paraId="47665BD3" w14:textId="2BC76310"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Г-н </w:t>
      </w:r>
      <w:proofErr w:type="spellStart"/>
      <w:r w:rsidRPr="00E1048B">
        <w:rPr>
          <w:lang w:val="ru-RU"/>
        </w:rPr>
        <w:t>Раджендран</w:t>
      </w:r>
      <w:proofErr w:type="spellEnd"/>
      <w:r w:rsidRPr="00E1048B">
        <w:rPr>
          <w:lang w:val="ru-RU"/>
        </w:rPr>
        <w:t xml:space="preserve"> продолжил свое сообщение темой охлаждения и обогрева для нужд комфорта, заявив, что экстремальные погодные явления и растущая урбанизация в странах с высокой температурой воздуха увеличивают спрос на оборудование для охлаждени</w:t>
      </w:r>
      <w:r w:rsidR="006218D8">
        <w:rPr>
          <w:lang w:val="ru-RU"/>
        </w:rPr>
        <w:t>я</w:t>
      </w:r>
      <w:r w:rsidRPr="00E1048B">
        <w:rPr>
          <w:lang w:val="ru-RU"/>
        </w:rPr>
        <w:t>, а вместе с ним и связанные с этим прямые и косвенные выбросы.</w:t>
      </w:r>
    </w:p>
    <w:p w14:paraId="3CDD870B" w14:textId="1B30220C"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Ключевое значение в сфере охлаждения для нужд комфорта </w:t>
      </w:r>
      <w:r w:rsidR="006218D8">
        <w:rPr>
          <w:lang w:val="ru-RU"/>
        </w:rPr>
        <w:t>и</w:t>
      </w:r>
      <w:r w:rsidRPr="007C0B26">
        <w:rPr>
          <w:lang w:val="ru-RU"/>
        </w:rPr>
        <w:t>меет</w:t>
      </w:r>
      <w:r w:rsidRPr="00E1048B">
        <w:rPr>
          <w:lang w:val="ru-RU"/>
        </w:rPr>
        <w:t xml:space="preserve"> снижение энергопотребления, при этом в мире наблюдается тенденция к переходу на инверторные компрессоры (обеспечивающие переменную производительность). Эта технология по</w:t>
      </w:r>
      <w:r w:rsidR="001E301A">
        <w:rPr>
          <w:lang w:val="ru-RU"/>
        </w:rPr>
        <w:noBreakHyphen/>
      </w:r>
      <w:r w:rsidRPr="00E1048B">
        <w:rPr>
          <w:lang w:val="ru-RU"/>
        </w:rPr>
        <w:t>прежнему недостаточно распространена во многих Сторонах С5 и некоторых Сторонах</w:t>
      </w:r>
      <w:r w:rsidR="006218D8" w:rsidRPr="007C0B26">
        <w:rPr>
          <w:lang w:val="ru-RU"/>
        </w:rPr>
        <w:t>,</w:t>
      </w:r>
      <w:r w:rsidR="006218D8">
        <w:rPr>
          <w:lang w:val="ru-RU"/>
        </w:rPr>
        <w:t xml:space="preserve"> не относящихся к группе С5</w:t>
      </w:r>
      <w:r w:rsidRPr="00E1048B">
        <w:rPr>
          <w:lang w:val="ru-RU"/>
        </w:rPr>
        <w:t>.</w:t>
      </w:r>
    </w:p>
    <w:p w14:paraId="19927F39" w14:textId="4082F10E"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Интегрированные системы совмещенного теплоснабжения и охлаждения, распространенные в более крупных системах теплоснабжения и охлаждения районного масштаба, способны повысить общую энергоэффективность на 30–50% и сократить выбросы в эквиваленте CO₂, за счет замещения отопления с использованием ископаемого топлива.</w:t>
      </w:r>
    </w:p>
    <w:p w14:paraId="24277976" w14:textId="41A51786" w:rsidR="0064468C" w:rsidRPr="00E1048B" w:rsidRDefault="0064468C" w:rsidP="00E1048B">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right="284" w:firstLine="0"/>
        <w:rPr>
          <w:lang w:val="ru-RU"/>
        </w:rPr>
      </w:pPr>
      <w:r w:rsidRPr="00E1048B">
        <w:rPr>
          <w:lang w:val="ru-RU"/>
        </w:rPr>
        <w:tab/>
        <w:t>Холодовая цепь и нестандартные технологии</w:t>
      </w:r>
    </w:p>
    <w:p w14:paraId="196B6FD9"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следующем разделе, посвященном холодовой цепи и нестандартным технологиям, было отмечено, что в торговом холодильном оборудовании наблюдается значительный отход от R-404A в пользу CO₂, особенно в странах с более низкой температурой воздуха, таких как европейские. В других регионах наряду с CO₂ и УВ-290 в системах с малой заправкой внедряются хладагенты класса A2L с более низким ПГП. В промышленном холодильном оборудовании предпочтение отдается аммиаку, а применение CO₂ расширяется. В транспортном холодильном оборудовании переход идет медленнее ввиду требований безопасности, состояния инфраструктуры и длительных сроков службы оборудования. За исключением абсорбционных и адсорбционных технологий, </w:t>
      </w:r>
      <w:proofErr w:type="spellStart"/>
      <w:r w:rsidRPr="00E1048B">
        <w:rPr>
          <w:lang w:val="ru-RU"/>
        </w:rPr>
        <w:t>некомпрессионные</w:t>
      </w:r>
      <w:proofErr w:type="spellEnd"/>
      <w:r w:rsidRPr="00E1048B">
        <w:rPr>
          <w:lang w:val="ru-RU"/>
        </w:rPr>
        <w:t xml:space="preserve"> (нестандартные) технологии по-прежнему находятся на стадии становления либо научных исследований и опытных разработок.</w:t>
      </w:r>
    </w:p>
    <w:p w14:paraId="49AE925A" w14:textId="706DEA7C" w:rsidR="0064468C" w:rsidRPr="00E1048B" w:rsidRDefault="0064468C" w:rsidP="00E1048B">
      <w:pPr>
        <w:pStyle w:val="CH3"/>
        <w:keepNext w:val="0"/>
        <w:keepLines w:val="0"/>
        <w:tabs>
          <w:tab w:val="clear" w:pos="851"/>
          <w:tab w:val="clear" w:pos="1247"/>
          <w:tab w:val="clear" w:pos="1871"/>
          <w:tab w:val="clear" w:pos="2495"/>
          <w:tab w:val="clear" w:pos="3119"/>
          <w:tab w:val="clear" w:pos="3742"/>
          <w:tab w:val="clear" w:pos="4366"/>
          <w:tab w:val="clear" w:pos="4990"/>
        </w:tabs>
        <w:spacing w:before="0"/>
        <w:ind w:right="284" w:firstLine="0"/>
        <w:rPr>
          <w:lang w:val="ru-RU"/>
        </w:rPr>
      </w:pPr>
      <w:r w:rsidRPr="00E1048B">
        <w:rPr>
          <w:lang w:val="ru-RU"/>
        </w:rPr>
        <w:tab/>
        <w:t>Решение XXXVI/2: регулирование жизненного цикла хладагентов</w:t>
      </w:r>
    </w:p>
    <w:p w14:paraId="49315B37" w14:textId="3BAF179C"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Г-н </w:t>
      </w:r>
      <w:proofErr w:type="spellStart"/>
      <w:r w:rsidRPr="00E1048B">
        <w:rPr>
          <w:lang w:val="ru-RU"/>
        </w:rPr>
        <w:t>Раджендран</w:t>
      </w:r>
      <w:proofErr w:type="spellEnd"/>
      <w:r w:rsidRPr="00E1048B">
        <w:rPr>
          <w:lang w:val="ru-RU"/>
        </w:rPr>
        <w:t xml:space="preserve"> завершил выступление обзором обновленной информации о РЖЦХ. В решении XXXVI/2 тридцать шестого Совещания Сторон ГТОЭО поручается включать обновленную соответствующую информацию о РЖЦХ в ее доклады о ходе работы за 2025 год и последующие годы, в том числе в четырехгодичный доклад об оценке (2026 год), с учетом обсуждений, состоявшихся на тридцать шестом Совещании Сторон.</w:t>
      </w:r>
    </w:p>
    <w:p w14:paraId="058522A1"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Сервисное обслуживание имеет решающее значение для достижения целей как охраны озонового слоя, так и предупреждения изменения климата. Качественный монтаж и упреждающее обслуживание повышают эффективность, безопасность и срок службы систем. </w:t>
      </w:r>
      <w:r w:rsidRPr="00E1048B">
        <w:rPr>
          <w:lang w:val="ru-RU"/>
        </w:rPr>
        <w:lastRenderedPageBreak/>
        <w:t>Строгое регулирование обращения с хладагентами напрямую сокращает выбросы, энергопотребление и затраты на протяжении жизненного цикла.</w:t>
      </w:r>
    </w:p>
    <w:p w14:paraId="5F8E1F34"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Вместе с тем в сфере обслуживания усугубляется дефицит квалифицированных кадров. Наблюдается хроническая нехватка подготовленных технических специалистов, обусловленная выходом на пенсию опытных работников, недостаточностью программ подготовки и медленным притоком новых кадров. Кроме того, необходимо создавать для технических специалистов стимулы к рекуперации хладагентов вместо высвобождения в атмосферу.</w:t>
      </w:r>
    </w:p>
    <w:p w14:paraId="6A4FE7E1" w14:textId="0BA0B9A0"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В процессе перехода на вещества с более низким ПГП горючие хладагенты (классов</w:t>
      </w:r>
      <w:r w:rsidR="00BD6E21">
        <w:rPr>
          <w:lang w:val="ru-RU"/>
        </w:rPr>
        <w:t> </w:t>
      </w:r>
      <w:r w:rsidRPr="00E1048B">
        <w:rPr>
          <w:lang w:val="ru-RU"/>
        </w:rPr>
        <w:t>A2L и A3) получили массовое распространение. Безопасное обращение с ними требует специальной подготовки по вопросам рассеивания облака паров, вентиляции и обнаружения утечек, а также доступа к калиброванным и взрывозащищенным инструментам. Стандарты безопасного применения горючих хладагентов существуют, однако их соблюдение обеспечивается неравномерно. Без обеспечения соблюдения мер безопасности возрастает риск аварий, что может подорвать доверие к технологиям с более низким ПГП. Развитие интернета вещей и цифровизация превратили оборудование в источник больших объемов данных. Технические специалисты теперь считывают показания датчиков в режиме реального времени, переходя от реагирования на вызовы к прогностическому и упреждающему обслуживанию. В</w:t>
      </w:r>
      <w:r w:rsidR="00384FDA">
        <w:rPr>
          <w:lang w:val="ru-RU"/>
        </w:rPr>
        <w:t> </w:t>
      </w:r>
      <w:r w:rsidRPr="00E1048B">
        <w:rPr>
          <w:lang w:val="ru-RU"/>
        </w:rPr>
        <w:t>связи с этим необходимо переподготавливать имеющийся персонал и обучать новых работников по смешанной программе, сочетающей изучение механики и электроники.</w:t>
      </w:r>
    </w:p>
    <w:p w14:paraId="167F825A" w14:textId="4EED65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РЖЦХ стало важным инструментом политики, обеспечивающим поддержку осуществления Кигалийской поправки за счет учета запасов хладагентов, предотвращения утечек, восстановления и уничтожения. РЖЦХ могло бы сократить выбросы хладагентов в</w:t>
      </w:r>
      <w:r w:rsidR="00384FDA">
        <w:rPr>
          <w:lang w:val="ru-RU"/>
        </w:rPr>
        <w:t> </w:t>
      </w:r>
      <w:r w:rsidRPr="00E1048B">
        <w:rPr>
          <w:lang w:val="ru-RU"/>
        </w:rPr>
        <w:t>2050 году примерно на 50% при сценарии, предусматривающем соблюдение Кигалийской поправки.</w:t>
      </w:r>
    </w:p>
    <w:p w14:paraId="34B8617B" w14:textId="4C3FA812"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4B6D7F">
        <w:rPr>
          <w:lang w:val="ru-RU"/>
        </w:rPr>
        <w:t>Примерами Сторон, внедривших меры политики в области РЖЦХ, являются Европейский союз, Соединенные Штаты Америки и Япония, однако их эффективность зависит от наличия развитых обратных цеп</w:t>
      </w:r>
      <w:r w:rsidR="008D75FA" w:rsidRPr="005F00FD">
        <w:rPr>
          <w:lang w:val="ru-RU"/>
        </w:rPr>
        <w:t>ей</w:t>
      </w:r>
      <w:r w:rsidRPr="004B6D7F">
        <w:rPr>
          <w:lang w:val="ru-RU"/>
        </w:rPr>
        <w:t xml:space="preserve"> поставок, включая рекуперацию, восстановление и уничтожение хладагентов. Новая Зеландия переходит</w:t>
      </w:r>
      <w:r w:rsidRPr="00E1048B">
        <w:rPr>
          <w:lang w:val="ru-RU"/>
        </w:rPr>
        <w:t xml:space="preserve"> к новой регулируемой схеме ответственного обращения с продукцией и ее уничтожения. Сохраняются трудности в развивающихся странах и малых островных государствах, где эффективному осуществлению препятствуют ограниченность и разрозненность мощностей по восстановлению и уничтожению, слабость систем возврата баллонов и недостаточная подготовка технических специалистов.</w:t>
      </w:r>
    </w:p>
    <w:p w14:paraId="20807AA9"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Более подробная информация об обслуживании в секторе ХОКВТН и о РЖЦХ будет представлена в докладе КТВХ по итогам оценки 2026 года.</w:t>
      </w:r>
    </w:p>
    <w:p w14:paraId="7BEE6A1A" w14:textId="24F1CC59"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F.</w:t>
      </w:r>
      <w:r w:rsidRPr="00E1048B">
        <w:rPr>
          <w:lang w:val="ru-RU"/>
        </w:rPr>
        <w:tab/>
        <w:t>Пер-</w:t>
      </w:r>
      <w:r w:rsidR="00D759BF">
        <w:rPr>
          <w:lang w:val="ru-RU"/>
        </w:rPr>
        <w:t xml:space="preserve"> </w:t>
      </w:r>
      <w:r w:rsidRPr="00E1048B">
        <w:rPr>
          <w:lang w:val="ru-RU"/>
        </w:rPr>
        <w:t>и полифторалкильные вещества</w:t>
      </w:r>
    </w:p>
    <w:p w14:paraId="046956F1"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Раздел, посвященный ПФАВ, представил г-н </w:t>
      </w:r>
      <w:proofErr w:type="spellStart"/>
      <w:r w:rsidRPr="00E1048B">
        <w:rPr>
          <w:lang w:val="ru-RU"/>
        </w:rPr>
        <w:t>Вудкок</w:t>
      </w:r>
      <w:proofErr w:type="spellEnd"/>
      <w:r w:rsidRPr="00E1048B">
        <w:rPr>
          <w:lang w:val="ru-RU"/>
        </w:rPr>
        <w:t xml:space="preserve">. В начале он указал, что в общественном дискурсе термин «ПФАВ» стал широко отождествляться с понятием «вечные химикаты», что ошибочно подразумевает наличие долгосрочных неблагоприятных последствий. Существует заблуждение, будто все ПФАВ и продукты их разложения являются стойкими, </w:t>
      </w:r>
      <w:proofErr w:type="spellStart"/>
      <w:r w:rsidRPr="00E1048B">
        <w:rPr>
          <w:lang w:val="ru-RU"/>
        </w:rPr>
        <w:t>биоаккумулируемыми</w:t>
      </w:r>
      <w:proofErr w:type="spellEnd"/>
      <w:r w:rsidRPr="00E1048B">
        <w:rPr>
          <w:lang w:val="ru-RU"/>
        </w:rPr>
        <w:t xml:space="preserve"> и токсичными (СБТ).</w:t>
      </w:r>
    </w:p>
    <w:p w14:paraId="583919D1" w14:textId="69C6F6D1"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 привел два примера длинноцепных ПФАВ, относящихся к СБТ, </w:t>
      </w:r>
      <w:r w:rsidR="00BD6E21">
        <w:rPr>
          <w:lang w:val="ru-RU"/>
        </w:rPr>
        <w:t>–</w:t>
      </w:r>
      <w:r w:rsidRPr="00E1048B">
        <w:rPr>
          <w:lang w:val="ru-RU"/>
        </w:rPr>
        <w:t xml:space="preserve"> перфтороктановую кислоту (ПФОК) и перфтороктановую </w:t>
      </w:r>
      <w:proofErr w:type="spellStart"/>
      <w:r w:rsidRPr="00E1048B">
        <w:rPr>
          <w:lang w:val="ru-RU"/>
        </w:rPr>
        <w:t>сульфоновую</w:t>
      </w:r>
      <w:proofErr w:type="spellEnd"/>
      <w:r w:rsidRPr="00E1048B">
        <w:rPr>
          <w:lang w:val="ru-RU"/>
        </w:rPr>
        <w:t xml:space="preserve"> кислоту (ПФОС). ПФОК и ПФОС запрещены во многих юрисдикциях, а также в рамках Стокгольмской конвенции. Хотя ПФОК и ПФОС не имеют прямого отношения к Монреальскому протоколу, они дали толчок для принятия широких нормативных положений, которые могут повлиять на доступность регулируемых Монреальским протоколом веществ и их альтернатив. Регулируемые Монреальским протоколом вещества и их альтернативы не относятся к СБТ. Трифторуксусная кислота (ТФК) является продуктом разложения некоторых ГФУ и ГФО и относится к ПФАВ согласно некоторым, но не всем определениям.</w:t>
      </w:r>
    </w:p>
    <w:p w14:paraId="21A03E98"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Он рассказал о координации между ГТОЭО, ГОЭП и ГНО в отношении объема информации по этой теме, которая будет охвачена четырехгодичной оценкой каждой из групп (2026 год) и обобщающим докладом (2027 год).</w:t>
      </w:r>
    </w:p>
    <w:p w14:paraId="1B8E14A1"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Он показал, как различные определения ПФАВ обусловливают разные подходы к нормативному регулированию. Отдельные химические вещества, относящиеся к ПФАВ, различаются по токсичности, воздействию на окружающую среду и продуктам разложения. Противоположные подходы к регулированию в разных юрисдикциях обусловлены </w:t>
      </w:r>
      <w:r w:rsidRPr="00E1048B">
        <w:rPr>
          <w:lang w:val="ru-RU"/>
        </w:rPr>
        <w:lastRenderedPageBreak/>
        <w:t>использованием разных определений ПФАВ. С одной стороны, классификация химических веществ на основе химической структуры, а не воздействия на здоровье или окружающую среду может привести к неизбирательному запрету широкого круга химических веществ, включая регулируемые Монреальским протоколом вещества и их альтернативы. Напротив, нормативные положения, узко ориентированные на конкретные ПФАВ с известными свойствами СБТ (например, ПФОК и ПФОС), не затрагивают регулируемые Монреальским протоколом вещества и их альтернативы. Юрисдикции, вводящие широкие запреты, могут ограничить доступность существующих или планируемых альтернатив регулируемым Монреальским протоколом веществам.</w:t>
      </w:r>
    </w:p>
    <w:p w14:paraId="34BA1BF0"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г-н </w:t>
      </w:r>
      <w:proofErr w:type="spellStart"/>
      <w:r w:rsidRPr="00E1048B">
        <w:rPr>
          <w:lang w:val="ru-RU"/>
        </w:rPr>
        <w:t>Вудкок</w:t>
      </w:r>
      <w:proofErr w:type="spellEnd"/>
      <w:r w:rsidRPr="00E1048B">
        <w:rPr>
          <w:lang w:val="ru-RU"/>
        </w:rPr>
        <w:t xml:space="preserve"> описал потенциальные последствия широких нормативных положений о ПФАВ для различных секторов, включая регулируемые Монреальским протоколом вещества и их альтернативы, отдельные фторированные материалы, например фторполимеры, широко используемые в оборудовании (компрессорах, клапанах, уплотнениях), пенообразующие вещества для пеноматериалов (например, теплоизоляционных), средства пожаротушения (например, на воздушных судах), хладагенты в секторе ХОКВТН, аэрозоли, медицинские аэрозоли (например, ДИ), растворители, производство электроники и производство магния. Все они могут быть затронуты предлагаемыми и уже принятыми нормативными положениями, включающими широкие определения ПФАВ. Он пояснил, что отсутствие определенности в отношении содержания и сроков нормативного регулирования задерживает инвестиции в переход и может отразиться на графике, установленном Кигалийской поправкой.</w:t>
      </w:r>
    </w:p>
    <w:p w14:paraId="62CE898C" w14:textId="4BF9CBCD"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В гражданской авиации основная альтернатива для грузовых отсеков не является устойчивой в долгосрочной перспективе, поскольку содержит 2-БТП, который, согласно некоторым определениям, относится к ПФАВ. Вследствие этой неопределенности ИКАО приняла резолюцию A42-11, которой было отменено введенное в 2024 году требование не использовать </w:t>
      </w:r>
      <w:proofErr w:type="spellStart"/>
      <w:r w:rsidRPr="00E1048B">
        <w:rPr>
          <w:lang w:val="ru-RU"/>
        </w:rPr>
        <w:t>галон</w:t>
      </w:r>
      <w:proofErr w:type="spellEnd"/>
      <w:r w:rsidRPr="00E1048B">
        <w:rPr>
          <w:lang w:val="ru-RU"/>
        </w:rPr>
        <w:t xml:space="preserve"> 1301 в грузовых отсеках воздушных судов полностью новых конструкций. В других секторах пожаротушения был снят с рассмотрения потенциальный заменитель галонов и ГФУ с высоким ПГП </w:t>
      </w:r>
      <w:r w:rsidR="00BC4316">
        <w:rPr>
          <w:lang w:val="ru-RU"/>
        </w:rPr>
        <w:t>–</w:t>
      </w:r>
      <w:r w:rsidRPr="00E1048B">
        <w:rPr>
          <w:lang w:val="ru-RU"/>
        </w:rPr>
        <w:t xml:space="preserve"> HB-55. Неопределенность в отношении будущего </w:t>
      </w:r>
      <w:r w:rsidR="009063FE">
        <w:rPr>
          <w:lang w:val="ru-RU"/>
        </w:rPr>
        <w:t>ФК</w:t>
      </w:r>
      <w:r w:rsidRPr="00E1048B">
        <w:rPr>
          <w:lang w:val="ru-RU"/>
        </w:rPr>
        <w:t>-5-1-12 (относящегося к ПФАВ) привела к расширению применения ГФУ-227ea с высоким ПГП, например на атомных электростанциях</w:t>
      </w:r>
      <w:r w:rsidR="00F16FDE">
        <w:rPr>
          <w:lang w:val="ru-RU"/>
        </w:rPr>
        <w:t>.</w:t>
      </w:r>
    </w:p>
    <w:p w14:paraId="287FA504" w14:textId="73ACFEE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В производстве пеноматериалов пенообразующие вещества (ПОВ) подбираются под конкретный вид применения в зависимости от конструкционных или теплоизоляционных потребностей. Число смесевых ПОВ растет, поскольку изготовители стремятся снизить затраты, сохранив при этом требуемые характеристики, и сокращение круга доступных альтернатив на основе ГФО и ГХФО еще более осложнит процесс выбора ПОВ. Некоторые компании и другие заинтересованные стороны откладывают принятие решений о выборе фторированных альтернатив ГФУ и ГХФУ из-за неопределенности в отношении того, насколько предлагаемые нормативны</w:t>
      </w:r>
      <w:r w:rsidR="006218D8">
        <w:rPr>
          <w:lang w:val="ru-RU"/>
        </w:rPr>
        <w:t>е</w:t>
      </w:r>
      <w:r w:rsidRPr="00E1048B">
        <w:rPr>
          <w:lang w:val="ru-RU"/>
        </w:rPr>
        <w:t xml:space="preserve"> положения</w:t>
      </w:r>
      <w:r w:rsidR="002963F7">
        <w:rPr>
          <w:lang w:val="ru-RU"/>
        </w:rPr>
        <w:t xml:space="preserve"> ограничат этот выбор</w:t>
      </w:r>
      <w:r w:rsidRPr="00E1048B">
        <w:rPr>
          <w:lang w:val="ru-RU"/>
        </w:rPr>
        <w:t>.</w:t>
      </w:r>
    </w:p>
    <w:p w14:paraId="43EA462C" w14:textId="4AFEA1A4"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Мировое потребление </w:t>
      </w:r>
      <w:proofErr w:type="spellStart"/>
      <w:r w:rsidRPr="00E1048B">
        <w:rPr>
          <w:lang w:val="ru-RU"/>
        </w:rPr>
        <w:t>пропеллентов</w:t>
      </w:r>
      <w:proofErr w:type="spellEnd"/>
      <w:r w:rsidRPr="00E1048B">
        <w:rPr>
          <w:lang w:val="ru-RU"/>
        </w:rPr>
        <w:t xml:space="preserve"> на основе ГФУ в ДИД и других аэрозолях составило, по оценкам, 56 000 тонн в 2021 году. И изготовителям, и пациентам придется перейти на ДИД с более низким ПГП, поскольку ГФУ, включенные в приложение F, подпадают под поэтапное сокращение оборота в соответствии с Кигалийской поправкой. 50% мирового объема ДИД производится в Европе, где предлагаемые нормативные положения о фторированных газах предусматривают ограничение доступности ГФУ начиная с 2030 года</w:t>
      </w:r>
      <w:r w:rsidR="00EE3381">
        <w:rPr>
          <w:lang w:val="ru-RU"/>
        </w:rPr>
        <w:t>.</w:t>
      </w:r>
      <w:r w:rsidRPr="00E1048B">
        <w:rPr>
          <w:lang w:val="ru-RU"/>
        </w:rPr>
        <w:t xml:space="preserve"> </w:t>
      </w:r>
    </w:p>
    <w:p w14:paraId="0D92D6E9" w14:textId="6E10AB5F"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Имеются два новых </w:t>
      </w:r>
      <w:proofErr w:type="spellStart"/>
      <w:r w:rsidRPr="00E1048B">
        <w:rPr>
          <w:lang w:val="ru-RU"/>
        </w:rPr>
        <w:t>пропеллента</w:t>
      </w:r>
      <w:proofErr w:type="spellEnd"/>
      <w:r w:rsidRPr="00E1048B">
        <w:rPr>
          <w:lang w:val="ru-RU"/>
        </w:rPr>
        <w:t xml:space="preserve"> фармацевтического качества с более низким ПГП </w:t>
      </w:r>
      <w:r w:rsidR="00886EA5">
        <w:rPr>
          <w:lang w:val="ru-RU"/>
        </w:rPr>
        <w:t>–</w:t>
      </w:r>
      <w:r w:rsidRPr="00E1048B">
        <w:rPr>
          <w:lang w:val="ru-RU"/>
        </w:rPr>
        <w:t xml:space="preserve"> ГФУ-152a и ГФО-1234ze(E); потребуются оба. Углеродный след ГФУ-152a составляет около 0% от углеродного следа ГФУ-134a, и он также относится к ГФУ, включенным в приложение F и подпадающим под поэтапное сокращение оборота в рамках Кигалийской поправки, однако он не является ПФАВ. Напротив, углеродный след ГФО-1234ze(E) составляет менее 1% от углеродного следа как ГФУ-134a, так и ГФУ-152a, но это вещество подпадает под широкие определения ПФАВ. Переход на новые ингаляторы уже идет, однако сохраняется неопределенность в отношении долгосрочной доступности </w:t>
      </w:r>
      <w:proofErr w:type="spellStart"/>
      <w:r w:rsidRPr="00E1048B">
        <w:rPr>
          <w:lang w:val="ru-RU"/>
        </w:rPr>
        <w:t>пропеллентов</w:t>
      </w:r>
      <w:proofErr w:type="spellEnd"/>
      <w:r w:rsidRPr="00E1048B">
        <w:rPr>
          <w:lang w:val="ru-RU"/>
        </w:rPr>
        <w:t xml:space="preserve"> с более низким ПГП. Ингаляторы на сухом порошке (ИСП), ингаляторы мягкого тумана (ИМТ) и небулайзеры представляют собой подходящие варианты для многих, но не для всех пациентов. Более миллиарда пациентов страдают астмой и хронической обструктивной болезнью легких (ХОБЛ), и для охраны их </w:t>
      </w:r>
      <w:r w:rsidR="006218D8" w:rsidRPr="00E1048B">
        <w:rPr>
          <w:lang w:val="ru-RU"/>
        </w:rPr>
        <w:t>здоровь</w:t>
      </w:r>
      <w:r w:rsidR="006218D8">
        <w:rPr>
          <w:lang w:val="ru-RU"/>
        </w:rPr>
        <w:t>я</w:t>
      </w:r>
      <w:r w:rsidRPr="00E1048B">
        <w:rPr>
          <w:lang w:val="ru-RU"/>
        </w:rPr>
        <w:t xml:space="preserve"> требуется постоянное наличие целого ряда недорогих, доступных и эффективных ингаляционных лекарственных средств.</w:t>
      </w:r>
    </w:p>
    <w:p w14:paraId="554B62B7" w14:textId="5AFF0BA3"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г-н </w:t>
      </w:r>
      <w:proofErr w:type="spellStart"/>
      <w:r w:rsidRPr="00E1048B">
        <w:rPr>
          <w:lang w:val="ru-RU"/>
        </w:rPr>
        <w:t>Вудкок</w:t>
      </w:r>
      <w:proofErr w:type="spellEnd"/>
      <w:r w:rsidRPr="00E1048B">
        <w:rPr>
          <w:lang w:val="ru-RU"/>
        </w:rPr>
        <w:t xml:space="preserve"> перешел к сектору ХОКВТН, на который приходится примерно 90% общемирового объема ГФУ, подпадающих под поэтапное сокращение оборота в соответствии с Кигалийской поправкой. Выбор хладагентов и пути перехода в этом секторе имеют </w:t>
      </w:r>
      <w:r w:rsidRPr="00E1048B">
        <w:rPr>
          <w:lang w:val="ru-RU"/>
        </w:rPr>
        <w:lastRenderedPageBreak/>
        <w:t xml:space="preserve">определяющее значение для достижения глобальных климатических целей за счет поэтапного сокращения оборота ГФУ и ГХФУ с высоким ПГП. К числу альтернатив относятся углеводороды, аммиак, CO₂, чистые ГФО и ГХФО, а также смеси ГФУ с более низким ПГП с ГФО или ГХФО и с CO₂ или углеводородами. Каждая альтернатива имеет свои преимущества и ограничения. Оптимальные решения применительно к хладагентам зависят от конкретного вида применения. </w:t>
      </w:r>
      <w:proofErr w:type="spellStart"/>
      <w:r w:rsidRPr="00E1048B">
        <w:rPr>
          <w:lang w:val="ru-RU"/>
        </w:rPr>
        <w:t>Нефторированные</w:t>
      </w:r>
      <w:proofErr w:type="spellEnd"/>
      <w:r w:rsidRPr="00E1048B">
        <w:rPr>
          <w:lang w:val="ru-RU"/>
        </w:rPr>
        <w:t xml:space="preserve"> хладагенты могут безопасно и эффективно использоваться во многих областях. Однако их использование в определенных ситуациях ограничивается такими факторами, как воспламеняемость (например, у углеводородов), токсичность (например, у аммиака) и высокое рабочее давление (например, у CO₂), – особенно в системах средней и высокой производительности, при отдельных видах применения, в зданиях с высокой плотностью пребывания людей, при модернизации существующих систем и в отдельных географических регионах. Широкие ограничения в отношении ПФАВ могли бы лимитировать применение хладагентов и смесей на основе ГФУ и ГФО с более низким ПГП и сократить доступность прокладок и уплотнений из фторполимеров, что затрагивает все системы независимо от выбора хладагента. Это также отрицательно сказалось бы на внедрении тепловых насосов, снизило бы достижимый уровень энергоэффективности в системах ХОКВТН средней производительности и, что наиболее важно, замедлило бы достижение целевых показателей, установленных Кигалийской поправкой.</w:t>
      </w:r>
    </w:p>
    <w:p w14:paraId="4816D78D" w14:textId="77777777" w:rsidR="0064468C" w:rsidRPr="00E1048B" w:rsidRDefault="0064468C" w:rsidP="00017CE5">
      <w:pPr>
        <w:pStyle w:val="CH2"/>
        <w:keepNext w:val="0"/>
        <w:keepLines w:val="0"/>
        <w:tabs>
          <w:tab w:val="clear" w:pos="1247"/>
          <w:tab w:val="clear" w:pos="1871"/>
          <w:tab w:val="clear" w:pos="2495"/>
          <w:tab w:val="clear" w:pos="3119"/>
          <w:tab w:val="clear" w:pos="3742"/>
          <w:tab w:val="clear" w:pos="4366"/>
          <w:tab w:val="clear" w:pos="4990"/>
        </w:tabs>
        <w:spacing w:before="0"/>
        <w:ind w:right="284"/>
        <w:rPr>
          <w:lang w:val="ru-RU"/>
        </w:rPr>
      </w:pPr>
      <w:r w:rsidRPr="00E1048B">
        <w:rPr>
          <w:lang w:val="ru-RU"/>
        </w:rPr>
        <w:tab/>
        <w:t>G.</w:t>
      </w:r>
      <w:r w:rsidRPr="00E1048B">
        <w:rPr>
          <w:lang w:val="ru-RU"/>
        </w:rPr>
        <w:tab/>
        <w:t>Организационные вопросы</w:t>
      </w:r>
    </w:p>
    <w:p w14:paraId="2F582A98" w14:textId="11AD1C29"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Завершая сообщение ГТОЭО, г-жа Писано вновь обратилась к аудитории, чтобы напомнить о решении XXXI/8, касающемся процедур и организационных вопросов ГТОЭО, и решении XXXV/20 о вариантах реорганизации ГТОЭО и ее КТВЗ. Она напомнила, что Стороны опираются на экспертов ГТОЭО и ее КТВЗ во всех областях производства, потребления и конечного использования регулируемых веществ. Экспертный потенциал является для ГТОЭО и КТВЗ приоритетным соображением, и Группе в целом удавалось набирать и удерживать сбалансированный состав работающих на добровольной основе экспертов, необходимый для решения вопросов, стоящих перед Сторонами. Задачи ГТОЭО и ее КТВЗ менялись по мере продвижения поэтапного вывода из обращения ОРВ, а в последнее время </w:t>
      </w:r>
      <w:r w:rsidR="00D90128">
        <w:rPr>
          <w:lang w:val="ru-RU"/>
        </w:rPr>
        <w:t>–</w:t>
      </w:r>
      <w:r w:rsidRPr="00E1048B">
        <w:rPr>
          <w:lang w:val="ru-RU"/>
        </w:rPr>
        <w:t xml:space="preserve"> поэтапного сокращения оборота ГФУ. Соответственно, с годами менялся и членский состав, чтобы соответствовать вопросам, встающими перед КТВЗ, и обеспечивать экспертный потенциал, необходимый для их решения.</w:t>
      </w:r>
    </w:p>
    <w:p w14:paraId="6466D20C" w14:textId="77F6C14D"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Формат работы ГТОЭО и ее КТВЗ сместился в сторону работы в онлайновом режиме, что дает преимущества с точки зрения затрат, организации и непрерывности; вместе с тем очевидно, что достижение консенсуса требует взаимного уважения и доверия, которые трудно формировать и поддерживать без личных встреч. Таким образом, ежегодные очные совещания остаются неотъемлемым элементом функционирования ГТОЭО и КТВЗ и достижения ими консенсуса, а также своевременной подготовки докладов для РГОС и СС.</w:t>
      </w:r>
    </w:p>
    <w:p w14:paraId="5795057A" w14:textId="7FFD728F"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г-жа Писано заявила, что и ГТОЭО, и ее КТВЗ сталкиваются с трудностями в стремлении сохранить необходимый экспертный потенциал при соблюдении гендерной и географической сбалансированности. Обеспечить участие работающих на добровольной основе экспертов, обладающих независимыми техническими и экономическими знаниями, которых необходимо ознакомить с ТЗ ГТОЭО, требованиями к ежегодному раскрытию информации и урегулированию коллизии интересов, процедурой достижения консенсуса, а также порядком подготовки, рассмотрения и представления докладов, </w:t>
      </w:r>
      <w:r w:rsidR="00D90128">
        <w:rPr>
          <w:lang w:val="ru-RU"/>
        </w:rPr>
        <w:t>–</w:t>
      </w:r>
      <w:r w:rsidRPr="00E1048B">
        <w:rPr>
          <w:lang w:val="ru-RU"/>
        </w:rPr>
        <w:t xml:space="preserve"> задача непростая.</w:t>
      </w:r>
    </w:p>
    <w:p w14:paraId="0B000179" w14:textId="3BA1BC1E"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она отметила, что, кроме того, существенное расширение сферы обсуждений и принимаемых Сторонами решений, обусловленное пересечением режимов поэтапного вывода из обращения ОРВ и поэтапного сокращения оборота ГФУ, значительно увеличило рабочую нагрузку ГТОЭО при сохранении прежних сроков подготовки документов для РГОС и СС. Помимо этого, выбытие ключевых членов в связи с выходом на пенсию или прекращением поддержки их участия может привести к утрате экспертного потенциала некоторых КТВЗ. Многие эксперты из Сторон, не относящихся к Сторонам С5, не имеют финансирования на поездки и суточные, поскольку отдельные Стороны, выдвигающие экспертов, такие расходы не покрывают. По этим причинам решение вопроса о финансировании поездок и суточных работающих на добровольной основе экспертов ГТОЭО и КТВЗ </w:t>
      </w:r>
      <w:r w:rsidR="00D90128">
        <w:rPr>
          <w:lang w:val="ru-RU"/>
        </w:rPr>
        <w:t>–</w:t>
      </w:r>
      <w:r w:rsidRPr="00E1048B">
        <w:rPr>
          <w:lang w:val="ru-RU"/>
        </w:rPr>
        <w:t xml:space="preserve"> независимо от того, относятся ли они к Сторонам С5 или нет, </w:t>
      </w:r>
      <w:r w:rsidR="00D90128">
        <w:rPr>
          <w:lang w:val="ru-RU"/>
        </w:rPr>
        <w:t>–</w:t>
      </w:r>
      <w:r w:rsidRPr="00E1048B">
        <w:rPr>
          <w:lang w:val="ru-RU"/>
        </w:rPr>
        <w:t xml:space="preserve"> имеет принципиальное значение для основанного на консенсусе процесса работы ГТОЭО.</w:t>
      </w:r>
    </w:p>
    <w:p w14:paraId="1A4544DE"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Затем г-жа Писано сослалась на решение XXXV/20, в котором ГТОЭО было поручено представить варианты организации работы ГТОЭО и ее КТВЗ для обсуждения на РГОС-47 (2025 год). Она отметила, что в ходе совещания неофициальной группы, состоявшегося во </w:t>
      </w:r>
      <w:r w:rsidRPr="00E1048B">
        <w:rPr>
          <w:lang w:val="ru-RU"/>
        </w:rPr>
        <w:lastRenderedPageBreak/>
        <w:t>время СС-37 в Найроби (ноябрь 2025 года), Стороны поручили ГТОЭО дополнительно проработать возможные варианты реорганизации, в частности варианты, которым отдает предпочтение каждый КТВЗ применительно к будущей рабочей нагрузке начиная с 2027 года. Она перешла к изложению этих предпочтительных вариантов, заявив, что они отражают текущие практические аспекты регулирования в составе комитетов, ожидаемых в ближайшие несколько лет (то есть естественного выбытия членов, отсутствия поддержки их участия, набора новых членов), а также накопление двумя крупнейшими КТВЗ более значительного опыта работы благодаря структуре с подкомитетами. Она также пояснила, что эти варианты могут быть пересмотрены в будущем по мере изменения потребностей Сторон, и отметила, что в своем докладе ГТОЭО обновила матрицу необходимого экспертного потенциала с указанием областей, в которых были выявлены пробелы; по ее словам, выдвижение Сторонами кандидатур для восполнения таких пробелов было бы весьма полезно для ГТОЭО.</w:t>
      </w:r>
    </w:p>
    <w:p w14:paraId="6E6FBE2E" w14:textId="77777777"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Касаясь предпочтительных вариантов будущей структуры КТВЗ, она сообщила, что, по мнению </w:t>
      </w:r>
      <w:r w:rsidRPr="00E1048B">
        <w:rPr>
          <w:b/>
          <w:bCs/>
          <w:lang w:val="ru-RU"/>
        </w:rPr>
        <w:t>КТВПТ</w:t>
      </w:r>
      <w:r w:rsidRPr="00E1048B">
        <w:rPr>
          <w:lang w:val="ru-RU"/>
        </w:rPr>
        <w:t xml:space="preserve">, наилучшим вариантом на будущее для удовлетворения текущих и будущих потребностей Сторон является сохранение существующей структуры с обновлением за счет новых членов и членов, приходящих на замену, а также с назначением сопредседателя от Стороны С5. В секторе пожаротушения, а также в гражданской авиации и в других сохраняющихся областях применения произошли существенные изменения: все более вероятным становится представление в будущем заявок на предоставление исключений в отношении основных видов применения. </w:t>
      </w:r>
      <w:r w:rsidRPr="00E1048B">
        <w:rPr>
          <w:b/>
          <w:bCs/>
          <w:lang w:val="ru-RU"/>
        </w:rPr>
        <w:t>КТВП,</w:t>
      </w:r>
      <w:r w:rsidRPr="00E1048B">
        <w:rPr>
          <w:lang w:val="ru-RU"/>
        </w:rPr>
        <w:t xml:space="preserve"> со своей стороны, полагает, что его структура и состав являются надлежащими и что он располагает достаточным экспертным потенциалом для оказания поддержки Сторонам. После завершения перехода на альтернативные пенообразующие вещества можно будет рассмотреть иные варианты структуры, такие как сокращение численности комитета или проведение очных совещаний раз в два года. </w:t>
      </w:r>
      <w:r w:rsidRPr="00E1048B">
        <w:rPr>
          <w:b/>
          <w:bCs/>
          <w:lang w:val="ru-RU"/>
        </w:rPr>
        <w:t xml:space="preserve">КТВБМ </w:t>
      </w:r>
      <w:r w:rsidRPr="00E1048B">
        <w:rPr>
          <w:lang w:val="ru-RU"/>
        </w:rPr>
        <w:t>считает, что наилучшим вариантом является сохранение членского состава на уровне примерно 15–20 человек, включая двух сопредседателей, что обеспечит преемственность экспертного потенциала и сохранение институциональной памяти. Основное внимание Комитет будет уделять КООТ и выбросам, при этом экспертный потенциал для регулируемых видов применения будет сохранен.</w:t>
      </w:r>
    </w:p>
    <w:p w14:paraId="4FDFDA21" w14:textId="5AE6CE81" w:rsidR="0064468C" w:rsidRPr="00E1048B" w:rsidRDefault="0064468C" w:rsidP="007C6F75">
      <w:pPr>
        <w:pStyle w:val="Normal-pool"/>
        <w:numPr>
          <w:ilvl w:val="0"/>
          <w:numId w:val="26"/>
        </w:numPr>
        <w:tabs>
          <w:tab w:val="clear" w:pos="624"/>
          <w:tab w:val="clear" w:pos="1247"/>
          <w:tab w:val="clear" w:pos="1871"/>
          <w:tab w:val="clear" w:pos="2495"/>
          <w:tab w:val="clear" w:pos="3119"/>
          <w:tab w:val="clear" w:pos="3742"/>
          <w:tab w:val="clear" w:pos="4366"/>
          <w:tab w:val="clear" w:pos="4990"/>
        </w:tabs>
        <w:spacing w:after="120"/>
        <w:ind w:left="1247" w:firstLine="0"/>
        <w:rPr>
          <w:lang w:val="ru-RU"/>
        </w:rPr>
      </w:pPr>
      <w:r w:rsidRPr="00E1048B">
        <w:rPr>
          <w:lang w:val="ru-RU"/>
        </w:rPr>
        <w:t xml:space="preserve">Предпочтительным вариантом для </w:t>
      </w:r>
      <w:r w:rsidRPr="00E1048B">
        <w:rPr>
          <w:b/>
          <w:bCs/>
          <w:lang w:val="ru-RU"/>
        </w:rPr>
        <w:t>КТВМХ</w:t>
      </w:r>
      <w:r w:rsidRPr="00E1048B">
        <w:rPr>
          <w:lang w:val="ru-RU"/>
        </w:rPr>
        <w:t xml:space="preserve"> является реорганизация комитета в составе 4 сопредседателей и примерно 40 членов, распределенных по 2 официальным подкомитетам: 1)</w:t>
      </w:r>
      <w:r w:rsidR="00D90128">
        <w:rPr>
          <w:lang w:val="ru-RU"/>
        </w:rPr>
        <w:t> </w:t>
      </w:r>
      <w:r w:rsidRPr="00E1048B">
        <w:rPr>
          <w:lang w:val="ru-RU"/>
        </w:rPr>
        <w:t xml:space="preserve">по аэрозолям и медицинским видам применения; и 2) по химическим веществам. В настоящее время требуется широкий экспертный потенциал по ГФУ и ГФО, особенно применительно к производству и оптовым поставкам </w:t>
      </w:r>
      <w:proofErr w:type="spellStart"/>
      <w:r w:rsidRPr="00E1048B">
        <w:rPr>
          <w:lang w:val="ru-RU"/>
        </w:rPr>
        <w:t>пропеллентов</w:t>
      </w:r>
      <w:proofErr w:type="spellEnd"/>
      <w:r w:rsidRPr="00E1048B">
        <w:rPr>
          <w:lang w:val="ru-RU"/>
        </w:rPr>
        <w:t xml:space="preserve">. КТВМХ считает, что другие варианты структуры могут быть рассмотрены в будущем, если станет очевидно, что две подгруппы способны функционировать самостоятельно при имеющемся экспертном потенциале, без затруднений и утраты технической сбалансированности. Наконец, </w:t>
      </w:r>
      <w:r w:rsidRPr="00E1048B">
        <w:rPr>
          <w:b/>
          <w:bCs/>
          <w:lang w:val="ru-RU"/>
        </w:rPr>
        <w:t>КТВХ</w:t>
      </w:r>
      <w:r w:rsidRPr="00E1048B">
        <w:rPr>
          <w:lang w:val="ru-RU"/>
        </w:rPr>
        <w:t xml:space="preserve">, действующий в настоящее время как единый комитет в составе примерно 40 членов и </w:t>
      </w:r>
      <w:r w:rsidR="00C93634">
        <w:rPr>
          <w:lang w:val="ru-RU"/>
        </w:rPr>
        <w:t>4 </w:t>
      </w:r>
      <w:r w:rsidRPr="00E1048B">
        <w:rPr>
          <w:lang w:val="ru-RU"/>
        </w:rPr>
        <w:t>сопредседателей и опирающийся в своей работе на подкомитеты, функционирует весьма эффективно. Такая схема способствует тесному взаимодействию и неизменно обеспечивает высокое качество результатов. Соответственно, предпочтительный вариант будущей структуры КТВХ заключается в том, чтобы сосредоточиться на междисциплинарных аспектах и общих темах, имеющих отношение к сектору ХОКВТН, продолжая при этом работу в двух подкомитетах по видам применения: 1) по охлаждению для нужд комфорта; и 2) по холодовой цепи и прочим видам применения.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D90128" w:rsidRPr="00CE58A3" w14:paraId="1B55B16D" w14:textId="77777777" w:rsidTr="002F2B1B">
        <w:tc>
          <w:tcPr>
            <w:tcW w:w="1897" w:type="dxa"/>
          </w:tcPr>
          <w:p w14:paraId="70DAE491" w14:textId="77777777" w:rsidR="00D90128" w:rsidRPr="00B33465" w:rsidRDefault="00D90128" w:rsidP="002F2B1B">
            <w:pPr>
              <w:pStyle w:val="Normal-pool"/>
              <w:spacing w:before="520"/>
              <w:rPr>
                <w:rFonts w:eastAsiaTheme="minorEastAsia"/>
                <w:lang w:val="ru-RU"/>
              </w:rPr>
            </w:pPr>
          </w:p>
        </w:tc>
        <w:tc>
          <w:tcPr>
            <w:tcW w:w="1897" w:type="dxa"/>
          </w:tcPr>
          <w:p w14:paraId="187F72A2" w14:textId="77777777" w:rsidR="00D90128" w:rsidRPr="00B33465" w:rsidRDefault="00D90128" w:rsidP="002F2B1B">
            <w:pPr>
              <w:pStyle w:val="Normal-pool"/>
              <w:spacing w:before="520"/>
              <w:rPr>
                <w:rFonts w:eastAsiaTheme="minorEastAsia"/>
                <w:lang w:val="ru-RU"/>
              </w:rPr>
            </w:pPr>
          </w:p>
        </w:tc>
        <w:tc>
          <w:tcPr>
            <w:tcW w:w="1897" w:type="dxa"/>
            <w:tcBorders>
              <w:bottom w:val="single" w:sz="4" w:space="0" w:color="auto"/>
            </w:tcBorders>
          </w:tcPr>
          <w:p w14:paraId="6C5D7050" w14:textId="77777777" w:rsidR="00D90128" w:rsidRPr="00B33465" w:rsidRDefault="00D90128" w:rsidP="002F2B1B">
            <w:pPr>
              <w:pStyle w:val="Normal-pool"/>
              <w:spacing w:before="520"/>
              <w:rPr>
                <w:rFonts w:eastAsiaTheme="minorEastAsia"/>
                <w:lang w:val="ru-RU"/>
              </w:rPr>
            </w:pPr>
          </w:p>
        </w:tc>
        <w:tc>
          <w:tcPr>
            <w:tcW w:w="1898" w:type="dxa"/>
          </w:tcPr>
          <w:p w14:paraId="57AAA77F" w14:textId="77777777" w:rsidR="00D90128" w:rsidRPr="00B33465" w:rsidRDefault="00D90128" w:rsidP="002F2B1B">
            <w:pPr>
              <w:pStyle w:val="Normal-pool"/>
              <w:spacing w:before="520"/>
              <w:rPr>
                <w:rFonts w:eastAsiaTheme="minorEastAsia"/>
                <w:lang w:val="ru-RU"/>
              </w:rPr>
            </w:pPr>
          </w:p>
        </w:tc>
        <w:tc>
          <w:tcPr>
            <w:tcW w:w="1898" w:type="dxa"/>
          </w:tcPr>
          <w:p w14:paraId="48E8857C" w14:textId="77777777" w:rsidR="00D90128" w:rsidRPr="00B33465" w:rsidRDefault="00D90128" w:rsidP="002F2B1B">
            <w:pPr>
              <w:pStyle w:val="Normal-pool"/>
              <w:spacing w:before="520"/>
              <w:rPr>
                <w:rFonts w:eastAsiaTheme="minorEastAsia"/>
                <w:lang w:val="ru-RU"/>
              </w:rPr>
            </w:pPr>
          </w:p>
        </w:tc>
      </w:tr>
    </w:tbl>
    <w:p w14:paraId="224A252E" w14:textId="77777777" w:rsidR="00C36D24" w:rsidRPr="00080D6C" w:rsidRDefault="00C36D24" w:rsidP="00D90128">
      <w:pPr>
        <w:tabs>
          <w:tab w:val="clear" w:pos="1247"/>
          <w:tab w:val="clear" w:pos="1814"/>
          <w:tab w:val="clear" w:pos="2381"/>
          <w:tab w:val="clear" w:pos="2948"/>
          <w:tab w:val="clear" w:pos="3515"/>
        </w:tabs>
      </w:pPr>
    </w:p>
    <w:sectPr w:rsidR="00C36D24" w:rsidRPr="00080D6C" w:rsidSect="003879C6">
      <w:headerReference w:type="even" r:id="rId24"/>
      <w:headerReference w:type="default" r:id="rId25"/>
      <w:footerReference w:type="even" r:id="rId26"/>
      <w:footerReference w:type="default" r:id="rId27"/>
      <w:footerReference w:type="first" r:id="rId28"/>
      <w:pgSz w:w="11907" w:h="16840" w:code="9"/>
      <w:pgMar w:top="907" w:right="992" w:bottom="1418" w:left="1418" w:header="539" w:footer="9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777F4" w14:textId="77777777" w:rsidR="006829EF" w:rsidRPr="00E1048B" w:rsidRDefault="006829EF" w:rsidP="00F66737">
      <w:r w:rsidRPr="00E1048B">
        <w:separator/>
      </w:r>
    </w:p>
  </w:endnote>
  <w:endnote w:type="continuationSeparator" w:id="0">
    <w:p w14:paraId="0C25A02D" w14:textId="77777777" w:rsidR="006829EF" w:rsidRPr="00E1048B" w:rsidRDefault="006829EF" w:rsidP="00F66737">
      <w:r w:rsidRPr="00E104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2B3E1" w14:textId="77777777" w:rsidR="0064468C" w:rsidRPr="00E1048B" w:rsidRDefault="0064468C" w:rsidP="0064468C">
    <w:pPr>
      <w:pStyle w:val="Footer-pool"/>
      <w:tabs>
        <w:tab w:val="clear" w:pos="624"/>
        <w:tab w:val="clear" w:pos="1247"/>
        <w:tab w:val="clear" w:pos="1871"/>
        <w:tab w:val="clear" w:pos="2495"/>
        <w:tab w:val="clear" w:pos="3119"/>
        <w:tab w:val="clear" w:pos="3742"/>
        <w:tab w:val="clear" w:pos="4366"/>
        <w:tab w:val="clear" w:pos="4990"/>
        <w:tab w:val="clear" w:pos="8641"/>
      </w:tabs>
      <w:rPr>
        <w:lang w:val="ru-RU"/>
      </w:rPr>
    </w:pPr>
    <w:r w:rsidRPr="00E1048B">
      <w:rPr>
        <w:lang w:val="ru-RU"/>
      </w:rPr>
      <w:fldChar w:fldCharType="begin"/>
    </w:r>
    <w:r w:rsidRPr="00E1048B">
      <w:rPr>
        <w:lang w:val="ru-RU"/>
      </w:rPr>
      <w:instrText xml:space="preserve"> PAGE </w:instrText>
    </w:r>
    <w:r w:rsidRPr="00E1048B">
      <w:rPr>
        <w:lang w:val="ru-RU"/>
      </w:rPr>
      <w:fldChar w:fldCharType="separate"/>
    </w:r>
    <w:r w:rsidRPr="00E1048B">
      <w:rPr>
        <w:lang w:val="ru-RU"/>
      </w:rPr>
      <w:t>2</w:t>
    </w:r>
    <w:r w:rsidRPr="00E1048B">
      <w:rPr>
        <w:lang w:val="ru-R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E6A1" w14:textId="77777777" w:rsidR="0064468C" w:rsidRPr="00E1048B" w:rsidRDefault="0064468C" w:rsidP="0064468C">
    <w:pPr>
      <w:pStyle w:val="Footer-pool"/>
      <w:tabs>
        <w:tab w:val="clear" w:pos="624"/>
        <w:tab w:val="clear" w:pos="1247"/>
        <w:tab w:val="clear" w:pos="1871"/>
        <w:tab w:val="clear" w:pos="2495"/>
        <w:tab w:val="clear" w:pos="3119"/>
        <w:tab w:val="clear" w:pos="3742"/>
        <w:tab w:val="clear" w:pos="4366"/>
        <w:tab w:val="clear" w:pos="4990"/>
        <w:tab w:val="clear" w:pos="8641"/>
      </w:tabs>
      <w:jc w:val="right"/>
      <w:rPr>
        <w:lang w:val="ru-RU"/>
      </w:rPr>
    </w:pPr>
    <w:r w:rsidRPr="00E1048B">
      <w:rPr>
        <w:lang w:val="ru-RU"/>
      </w:rPr>
      <w:fldChar w:fldCharType="begin"/>
    </w:r>
    <w:r w:rsidRPr="00E1048B">
      <w:rPr>
        <w:lang w:val="ru-RU"/>
      </w:rPr>
      <w:instrText xml:space="preserve"> PAGE \* MERGEFORMAT </w:instrText>
    </w:r>
    <w:r w:rsidRPr="00E1048B">
      <w:rPr>
        <w:lang w:val="ru-RU"/>
      </w:rPr>
      <w:fldChar w:fldCharType="separate"/>
    </w:r>
    <w:r w:rsidRPr="00E1048B">
      <w:rPr>
        <w:lang w:val="ru-RU"/>
      </w:rPr>
      <w:t>3</w:t>
    </w:r>
    <w:r w:rsidRPr="00E1048B">
      <w:rPr>
        <w:lang w:val="ru-RU"/>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96B6" w14:textId="5DAA7471" w:rsidR="0064468C" w:rsidRPr="00E1048B" w:rsidRDefault="0064468C" w:rsidP="00C214FF">
    <w:pPr>
      <w:pStyle w:val="Footer-jobnumber"/>
      <w:rPr>
        <w:lang w:val="ru-RU"/>
      </w:rPr>
    </w:pPr>
    <w:r w:rsidRPr="00E1048B">
      <w:rPr>
        <w:lang w:val="ru-RU"/>
      </w:rPr>
      <w:t>UNON_DCS_2610696[</w:t>
    </w:r>
    <w:r w:rsidR="009C1098">
      <w:rPr>
        <w:lang w:val="en-US"/>
      </w:rPr>
      <w:t>R</w:t>
    </w:r>
    <w:r w:rsidRPr="00E1048B">
      <w:rPr>
        <w:lang w:val="ru-RU"/>
      </w:rPr>
      <w:t>]</w:t>
    </w:r>
    <w:r w:rsidRPr="00E1048B">
      <w:rPr>
        <w:lang w:val="ru-RU"/>
      </w:rPr>
      <w:tab/>
      <w:t>0</w:t>
    </w:r>
    <w:r w:rsidR="00E5432D">
      <w:rPr>
        <w:lang w:val="ru-RU"/>
      </w:rPr>
      <w:t>9</w:t>
    </w:r>
    <w:r w:rsidRPr="00E1048B">
      <w:rPr>
        <w:lang w:val="ru-RU"/>
      </w:rPr>
      <w:t>0926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AD7C" w14:textId="77777777" w:rsidR="0064468C" w:rsidRPr="00E1048B" w:rsidRDefault="0064468C">
    <w:pPr>
      <w:pStyle w:val="Footer-pool"/>
      <w:rPr>
        <w:lang w:val="ru-RU"/>
      </w:rPr>
    </w:pPr>
    <w:r w:rsidRPr="00E1048B">
      <w:rPr>
        <w:lang w:val="ru-RU"/>
      </w:rPr>
      <w:fldChar w:fldCharType="begin"/>
    </w:r>
    <w:r w:rsidRPr="00E1048B">
      <w:rPr>
        <w:lang w:val="ru-RU"/>
      </w:rPr>
      <w:instrText xml:space="preserve"> PAGE </w:instrText>
    </w:r>
    <w:r w:rsidRPr="00E1048B">
      <w:rPr>
        <w:lang w:val="ru-RU"/>
      </w:rPr>
      <w:fldChar w:fldCharType="separate"/>
    </w:r>
    <w:r w:rsidRPr="00E1048B">
      <w:rPr>
        <w:lang w:val="ru-RU"/>
      </w:rPr>
      <w:t>2</w:t>
    </w:r>
    <w:r w:rsidRPr="00E1048B">
      <w:rPr>
        <w:lang w:val="ru-RU"/>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06A5" w14:textId="77777777" w:rsidR="0064468C" w:rsidRPr="00E1048B" w:rsidRDefault="0064468C">
    <w:pPr>
      <w:pStyle w:val="Footer-pool"/>
      <w:jc w:val="right"/>
      <w:rPr>
        <w:lang w:val="ru-RU"/>
      </w:rPr>
    </w:pPr>
    <w:r w:rsidRPr="00E1048B">
      <w:rPr>
        <w:lang w:val="ru-RU"/>
      </w:rPr>
      <w:fldChar w:fldCharType="begin"/>
    </w:r>
    <w:r w:rsidRPr="00E1048B">
      <w:rPr>
        <w:lang w:val="ru-RU"/>
      </w:rPr>
      <w:instrText xml:space="preserve"> PAGE \* MERGEFORMAT </w:instrText>
    </w:r>
    <w:r w:rsidRPr="00E1048B">
      <w:rPr>
        <w:lang w:val="ru-RU"/>
      </w:rPr>
      <w:fldChar w:fldCharType="separate"/>
    </w:r>
    <w:r w:rsidRPr="00E1048B">
      <w:rPr>
        <w:lang w:val="ru-RU"/>
      </w:rPr>
      <w:t>3</w:t>
    </w:r>
    <w:r w:rsidRPr="00E1048B">
      <w:rPr>
        <w:lang w:val="ru-RU"/>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AD09E" w14:textId="77777777" w:rsidR="0064468C" w:rsidRPr="00E1048B" w:rsidRDefault="0064468C">
    <w:pPr>
      <w:pStyle w:val="Footer-jobnumber"/>
      <w:rPr>
        <w:lang w:val="ru-RU"/>
      </w:rPr>
    </w:pPr>
    <w:r w:rsidRPr="00E1048B">
      <w:rPr>
        <w:lang w:val="ru-RU"/>
      </w:rPr>
      <w:t>UNON_DCS_2610696[E]</w:t>
    </w:r>
    <w:r w:rsidRPr="00E1048B">
      <w:rPr>
        <w:lang w:val="ru-RU"/>
      </w:rPr>
      <w:tab/>
      <w:t>260826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561620"/>
      <w:docPartObj>
        <w:docPartGallery w:val="Page Numbers (Bottom of Page)"/>
        <w:docPartUnique/>
      </w:docPartObj>
    </w:sdtPr>
    <w:sdtEndPr>
      <w:rPr>
        <w:b/>
        <w:bCs/>
        <w:sz w:val="18"/>
        <w:szCs w:val="18"/>
      </w:rPr>
    </w:sdtEndPr>
    <w:sdtContent>
      <w:p w14:paraId="55838F75" w14:textId="6D0C4C22" w:rsidR="00F66737" w:rsidRPr="00E1048B" w:rsidRDefault="00F66737" w:rsidP="00573AA1">
        <w:pPr>
          <w:pStyle w:val="Footer"/>
          <w:tabs>
            <w:tab w:val="clear" w:pos="4513"/>
            <w:tab w:val="clear" w:pos="9026"/>
          </w:tabs>
          <w:spacing w:before="120" w:after="120"/>
          <w:rPr>
            <w:b/>
            <w:bCs/>
            <w:sz w:val="18"/>
            <w:szCs w:val="18"/>
          </w:rPr>
        </w:pPr>
        <w:r w:rsidRPr="00E1048B">
          <w:rPr>
            <w:b/>
            <w:bCs/>
            <w:sz w:val="18"/>
            <w:szCs w:val="18"/>
          </w:rPr>
          <w:fldChar w:fldCharType="begin"/>
        </w:r>
        <w:r w:rsidRPr="00E1048B">
          <w:rPr>
            <w:b/>
            <w:bCs/>
            <w:sz w:val="18"/>
            <w:szCs w:val="18"/>
          </w:rPr>
          <w:instrText xml:space="preserve"> PAGE   \* MERGEFORMAT </w:instrText>
        </w:r>
        <w:r w:rsidRPr="00E1048B">
          <w:rPr>
            <w:b/>
            <w:bCs/>
            <w:sz w:val="18"/>
            <w:szCs w:val="18"/>
          </w:rPr>
          <w:fldChar w:fldCharType="separate"/>
        </w:r>
        <w:r w:rsidRPr="00E1048B">
          <w:rPr>
            <w:b/>
            <w:bCs/>
            <w:sz w:val="18"/>
            <w:szCs w:val="18"/>
          </w:rPr>
          <w:t>2</w:t>
        </w:r>
        <w:r w:rsidRPr="00E1048B">
          <w:rPr>
            <w:b/>
            <w:bCs/>
            <w:sz w:val="18"/>
            <w:szCs w:val="18"/>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865851"/>
      <w:docPartObj>
        <w:docPartGallery w:val="Page Numbers (Bottom of Page)"/>
        <w:docPartUnique/>
      </w:docPartObj>
    </w:sdtPr>
    <w:sdtEndPr>
      <w:rPr>
        <w:b/>
        <w:bCs/>
        <w:sz w:val="18"/>
        <w:szCs w:val="18"/>
      </w:rPr>
    </w:sdtEndPr>
    <w:sdtContent>
      <w:p w14:paraId="0C64C722" w14:textId="2C398BA3" w:rsidR="00F66737" w:rsidRPr="00E1048B" w:rsidRDefault="00F66737" w:rsidP="00573AA1">
        <w:pPr>
          <w:pStyle w:val="Footer"/>
          <w:tabs>
            <w:tab w:val="clear" w:pos="4513"/>
            <w:tab w:val="clear" w:pos="9026"/>
          </w:tabs>
          <w:spacing w:before="120" w:after="120"/>
          <w:jc w:val="right"/>
          <w:rPr>
            <w:b/>
            <w:bCs/>
            <w:sz w:val="18"/>
            <w:szCs w:val="18"/>
          </w:rPr>
        </w:pPr>
        <w:r w:rsidRPr="00E1048B">
          <w:rPr>
            <w:b/>
            <w:bCs/>
            <w:sz w:val="18"/>
            <w:szCs w:val="18"/>
          </w:rPr>
          <w:fldChar w:fldCharType="begin"/>
        </w:r>
        <w:r w:rsidRPr="00E1048B">
          <w:rPr>
            <w:b/>
            <w:bCs/>
            <w:sz w:val="18"/>
            <w:szCs w:val="18"/>
          </w:rPr>
          <w:instrText xml:space="preserve"> PAGE   \* MERGEFORMAT </w:instrText>
        </w:r>
        <w:r w:rsidRPr="00E1048B">
          <w:rPr>
            <w:b/>
            <w:bCs/>
            <w:sz w:val="18"/>
            <w:szCs w:val="18"/>
          </w:rPr>
          <w:fldChar w:fldCharType="separate"/>
        </w:r>
        <w:r w:rsidRPr="00E1048B">
          <w:rPr>
            <w:b/>
            <w:bCs/>
            <w:sz w:val="18"/>
            <w:szCs w:val="18"/>
          </w:rPr>
          <w:t>2</w:t>
        </w:r>
        <w:r w:rsidRPr="00E1048B">
          <w:rPr>
            <w:b/>
            <w:bCs/>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4AD2" w14:textId="79F5CFC0" w:rsidR="00F66737" w:rsidRPr="00E1048B" w:rsidRDefault="00F66737" w:rsidP="00F66737">
    <w:pPr>
      <w:pStyle w:val="Footer-jobnumber"/>
      <w:rPr>
        <w:lang w:val="ru-RU"/>
      </w:rPr>
    </w:pPr>
    <w:bookmarkStart w:id="21" w:name="FooterJobDate"/>
    <w:r w:rsidRPr="00E1048B">
      <w:rPr>
        <w:lang w:val="ru-RU"/>
      </w:rPr>
      <w:t>UNON_DCS_2610696[R]</w:t>
    </w:r>
    <w:r w:rsidRPr="00E1048B">
      <w:rPr>
        <w:lang w:val="ru-RU"/>
      </w:rPr>
      <w:tab/>
      <w:t>250826</w:t>
    </w:r>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D0DF" w14:textId="77777777" w:rsidR="006829EF" w:rsidRPr="00E1048B" w:rsidRDefault="006829EF" w:rsidP="00683338">
      <w:pPr>
        <w:tabs>
          <w:tab w:val="clear" w:pos="1247"/>
          <w:tab w:val="clear" w:pos="1814"/>
          <w:tab w:val="clear" w:pos="2381"/>
          <w:tab w:val="clear" w:pos="2948"/>
          <w:tab w:val="clear" w:pos="3515"/>
        </w:tabs>
        <w:ind w:left="624"/>
      </w:pPr>
      <w:r w:rsidRPr="00E1048B">
        <w:separator/>
      </w:r>
    </w:p>
  </w:footnote>
  <w:footnote w:type="continuationSeparator" w:id="0">
    <w:p w14:paraId="140029DA" w14:textId="77777777" w:rsidR="006829EF" w:rsidRPr="00E1048B" w:rsidRDefault="006829EF" w:rsidP="00F66737">
      <w:r w:rsidRPr="00E1048B">
        <w:continuationSeparator/>
      </w:r>
    </w:p>
  </w:footnote>
  <w:footnote w:id="1">
    <w:p w14:paraId="774E4BCF" w14:textId="53C7FFED" w:rsidR="003A23A9" w:rsidRPr="00E1048B" w:rsidRDefault="003A23A9" w:rsidP="00683338">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sidRPr="00E1048B">
        <w:rPr>
          <w:rStyle w:val="FootnoteReference"/>
          <w:sz w:val="18"/>
          <w:lang w:val="ru-RU"/>
        </w:rPr>
        <w:footnoteRef/>
      </w:r>
      <w:r w:rsidRPr="00E1048B">
        <w:rPr>
          <w:lang w:val="ru-RU"/>
        </w:rPr>
        <w:t xml:space="preserve"> По адресу</w:t>
      </w:r>
      <w:r w:rsidR="00713949">
        <w:rPr>
          <w:lang w:val="ru-RU"/>
        </w:rPr>
        <w:t>:</w:t>
      </w:r>
      <w:r w:rsidRPr="00E1048B">
        <w:rPr>
          <w:lang w:val="ru-RU"/>
        </w:rPr>
        <w:t xml:space="preserve"> </w:t>
      </w:r>
      <w:hyperlink r:id="rId1" w:history="1">
        <w:r w:rsidR="007C6F75" w:rsidRPr="007C6F75">
          <w:rPr>
            <w:rStyle w:val="Hyperlink"/>
            <w:color w:val="0000FF"/>
            <w:szCs w:val="18"/>
            <w:u w:val="none"/>
          </w:rPr>
          <w:t>mea</w:t>
        </w:r>
        <w:r w:rsidR="007C6F75" w:rsidRPr="007C6F75">
          <w:rPr>
            <w:rStyle w:val="Hyperlink"/>
            <w:color w:val="0000FF"/>
            <w:szCs w:val="18"/>
            <w:u w:val="none"/>
            <w:lang w:val="ru-RU"/>
          </w:rPr>
          <w:t>-</w:t>
        </w:r>
        <w:r w:rsidR="007C6F75" w:rsidRPr="007C6F75">
          <w:rPr>
            <w:rStyle w:val="Hyperlink"/>
            <w:color w:val="0000FF"/>
            <w:szCs w:val="18"/>
            <w:u w:val="none"/>
          </w:rPr>
          <w:t>ozoneinfo</w:t>
        </w:r>
        <w:r w:rsidR="007C6F75" w:rsidRPr="007C6F75">
          <w:rPr>
            <w:rStyle w:val="Hyperlink"/>
            <w:color w:val="0000FF"/>
            <w:szCs w:val="18"/>
            <w:u w:val="none"/>
            <w:lang w:val="ru-RU"/>
          </w:rPr>
          <w:t>@</w:t>
        </w:r>
        <w:r w:rsidR="007C6F75" w:rsidRPr="007C6F75">
          <w:rPr>
            <w:rStyle w:val="Hyperlink"/>
            <w:color w:val="0000FF"/>
            <w:szCs w:val="18"/>
            <w:u w:val="none"/>
          </w:rPr>
          <w:t>un</w:t>
        </w:r>
        <w:r w:rsidR="007C6F75" w:rsidRPr="007C6F75">
          <w:rPr>
            <w:rStyle w:val="Hyperlink"/>
            <w:color w:val="0000FF"/>
            <w:szCs w:val="18"/>
            <w:u w:val="none"/>
            <w:lang w:val="ru-RU"/>
          </w:rPr>
          <w:t>.</w:t>
        </w:r>
        <w:r w:rsidR="007C6F75" w:rsidRPr="007C6F75">
          <w:rPr>
            <w:rStyle w:val="Hyperlink"/>
            <w:color w:val="0000FF"/>
            <w:szCs w:val="18"/>
            <w:u w:val="none"/>
          </w:rPr>
          <w:t>org</w:t>
        </w:r>
      </w:hyperlink>
      <w:r w:rsidR="007C6F75">
        <w:rPr>
          <w:lang w:val="ru-RU"/>
        </w:rPr>
        <w:t>.</w:t>
      </w:r>
      <w:hyperlink r:id="rId2" w:history="1"/>
    </w:p>
  </w:footnote>
  <w:footnote w:id="2">
    <w:p w14:paraId="7771DEA3" w14:textId="77777777" w:rsidR="0064468C" w:rsidRPr="00E1048B" w:rsidRDefault="0064468C" w:rsidP="00683338">
      <w:pPr>
        <w:pStyle w:val="Footer-pool"/>
        <w:tabs>
          <w:tab w:val="clear" w:pos="624"/>
          <w:tab w:val="clear" w:pos="1247"/>
          <w:tab w:val="clear" w:pos="1871"/>
          <w:tab w:val="clear" w:pos="2495"/>
          <w:tab w:val="clear" w:pos="3119"/>
          <w:tab w:val="clear" w:pos="3742"/>
          <w:tab w:val="clear" w:pos="4366"/>
          <w:tab w:val="clear" w:pos="4990"/>
          <w:tab w:val="clear" w:pos="8641"/>
        </w:tabs>
        <w:spacing w:before="20" w:after="40"/>
        <w:ind w:left="1247"/>
        <w:rPr>
          <w:b w:val="0"/>
          <w:bCs/>
          <w:lang w:val="ru-RU"/>
        </w:rPr>
      </w:pPr>
      <w:r w:rsidRPr="00E1048B">
        <w:rPr>
          <w:rStyle w:val="FootnoteReference"/>
          <w:b w:val="0"/>
          <w:bCs/>
          <w:sz w:val="18"/>
          <w:lang w:val="ru-RU"/>
        </w:rPr>
        <w:footnoteRef/>
      </w:r>
      <w:r w:rsidRPr="00E1048B">
        <w:rPr>
          <w:b w:val="0"/>
          <w:bCs/>
          <w:lang w:val="ru-RU"/>
        </w:rPr>
        <w:t xml:space="preserve"> https://ka-10.info.</w:t>
      </w:r>
    </w:p>
  </w:footnote>
  <w:footnote w:id="3">
    <w:p w14:paraId="66771B48" w14:textId="77777777" w:rsidR="0064468C" w:rsidRPr="00E1048B" w:rsidRDefault="0064468C" w:rsidP="00683338">
      <w:pPr>
        <w:pStyle w:val="Footnote-Text"/>
        <w:tabs>
          <w:tab w:val="clear" w:pos="624"/>
          <w:tab w:val="clear" w:pos="1247"/>
          <w:tab w:val="clear" w:pos="1871"/>
          <w:tab w:val="clear" w:pos="2495"/>
          <w:tab w:val="clear" w:pos="3119"/>
          <w:tab w:val="clear" w:pos="3742"/>
          <w:tab w:val="clear" w:pos="4366"/>
          <w:tab w:val="clear" w:pos="4990"/>
        </w:tabs>
        <w:rPr>
          <w:lang w:val="ru-RU"/>
        </w:rPr>
      </w:pPr>
      <w:r w:rsidRPr="00E1048B">
        <w:rPr>
          <w:rStyle w:val="FootnoteReference"/>
          <w:sz w:val="18"/>
          <w:lang w:val="ru-RU"/>
        </w:rPr>
        <w:footnoteRef/>
      </w:r>
      <w:r w:rsidRPr="00E1048B">
        <w:rPr>
          <w:lang w:val="ru-RU"/>
        </w:rPr>
        <w:t xml:space="preserve"> Армения не является автором этого документа зала заседаний.</w:t>
      </w:r>
    </w:p>
  </w:footnote>
  <w:footnote w:id="4">
    <w:p w14:paraId="025E93F8" w14:textId="0A73AF30" w:rsidR="0064468C" w:rsidRPr="00E1048B" w:rsidRDefault="003879C6" w:rsidP="00683338">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sidRPr="00E1048B">
        <w:rPr>
          <w:lang w:val="ru-RU"/>
        </w:rPr>
        <w:t xml:space="preserve">* </w:t>
      </w:r>
      <w:r w:rsidR="005C2FD9" w:rsidRPr="005C2FD9">
        <w:rPr>
          <w:lang w:val="ru-RU"/>
        </w:rPr>
        <w:t>Приложение представляется без официального редактирования на английском языке</w:t>
      </w:r>
      <w:r w:rsidR="0064468C" w:rsidRPr="00E1048B">
        <w:rPr>
          <w:lang w:val="ru-RU"/>
        </w:rPr>
        <w:t>.</w:t>
      </w:r>
    </w:p>
  </w:footnote>
  <w:footnote w:id="5">
    <w:p w14:paraId="3AC3611A" w14:textId="34839E81" w:rsidR="00A7562E" w:rsidRPr="00B33465" w:rsidRDefault="00A7562E" w:rsidP="00683338">
      <w:pPr>
        <w:pStyle w:val="Footnote-Text"/>
        <w:tabs>
          <w:tab w:val="clear" w:pos="624"/>
          <w:tab w:val="clear" w:pos="1247"/>
          <w:tab w:val="clear" w:pos="1871"/>
          <w:tab w:val="clear" w:pos="2495"/>
          <w:tab w:val="clear" w:pos="3119"/>
          <w:tab w:val="clear" w:pos="3742"/>
          <w:tab w:val="clear" w:pos="4366"/>
          <w:tab w:val="clear" w:pos="4990"/>
        </w:tabs>
        <w:rPr>
          <w:szCs w:val="18"/>
        </w:rPr>
      </w:pPr>
      <w:r w:rsidRPr="00E1048B">
        <w:rPr>
          <w:rStyle w:val="FootnoteReference"/>
          <w:sz w:val="18"/>
          <w:lang w:val="ru-RU"/>
        </w:rPr>
        <w:footnoteRef/>
      </w:r>
      <w:r w:rsidRPr="00B33465">
        <w:t xml:space="preserve"> UNEP/OzL.Pro.4/15.</w:t>
      </w:r>
    </w:p>
  </w:footnote>
  <w:footnote w:id="6">
    <w:p w14:paraId="22200E74" w14:textId="0CD3C141" w:rsidR="0072621D" w:rsidRPr="00C304D5" w:rsidRDefault="0072621D" w:rsidP="00683338">
      <w:pPr>
        <w:pStyle w:val="FootnoteText"/>
        <w:tabs>
          <w:tab w:val="clear" w:pos="1247"/>
          <w:tab w:val="clear" w:pos="1814"/>
          <w:tab w:val="clear" w:pos="2381"/>
          <w:tab w:val="clear" w:pos="2948"/>
          <w:tab w:val="clear" w:pos="3515"/>
        </w:tabs>
        <w:ind w:left="1247"/>
        <w:rPr>
          <w:sz w:val="18"/>
          <w:szCs w:val="18"/>
        </w:rPr>
      </w:pPr>
      <w:r w:rsidRPr="00C304D5">
        <w:rPr>
          <w:rStyle w:val="FootnoteReference"/>
          <w:sz w:val="18"/>
        </w:rPr>
        <w:t>2</w:t>
      </w:r>
      <w:r w:rsidRPr="00C304D5">
        <w:rPr>
          <w:sz w:val="18"/>
          <w:szCs w:val="18"/>
        </w:rPr>
        <w:t xml:space="preserve"> UNEP/OzL.Pro.37/7.</w:t>
      </w:r>
    </w:p>
  </w:footnote>
  <w:footnote w:id="7">
    <w:p w14:paraId="28282880" w14:textId="0946BBB3" w:rsidR="0072621D" w:rsidRPr="0072621D" w:rsidRDefault="0072621D" w:rsidP="00683338">
      <w:pPr>
        <w:pStyle w:val="FootnoteText"/>
        <w:tabs>
          <w:tab w:val="clear" w:pos="1247"/>
          <w:tab w:val="clear" w:pos="1814"/>
          <w:tab w:val="clear" w:pos="2381"/>
          <w:tab w:val="clear" w:pos="2948"/>
          <w:tab w:val="clear" w:pos="3515"/>
        </w:tabs>
        <w:ind w:left="1247"/>
      </w:pPr>
      <w:r w:rsidRPr="00C304D5">
        <w:rPr>
          <w:rStyle w:val="FootnoteReference"/>
          <w:sz w:val="18"/>
        </w:rPr>
        <w:t>3</w:t>
      </w:r>
      <w:r w:rsidRPr="00C304D5">
        <w:rPr>
          <w:sz w:val="18"/>
          <w:szCs w:val="18"/>
        </w:rPr>
        <w:t xml:space="preserve"> UNEP/OzL.Pro.WG.1/47/4.</w:t>
      </w:r>
    </w:p>
  </w:footnote>
  <w:footnote w:id="8">
    <w:p w14:paraId="2D738101" w14:textId="2C5B7C65" w:rsidR="0072621D" w:rsidRPr="007C6F75" w:rsidRDefault="0072621D" w:rsidP="00683338">
      <w:pPr>
        <w:pStyle w:val="FootnoteText"/>
        <w:tabs>
          <w:tab w:val="clear" w:pos="1247"/>
          <w:tab w:val="clear" w:pos="1814"/>
          <w:tab w:val="clear" w:pos="2381"/>
          <w:tab w:val="clear" w:pos="2948"/>
          <w:tab w:val="clear" w:pos="3515"/>
        </w:tabs>
        <w:ind w:left="1247"/>
      </w:pPr>
      <w:r w:rsidRPr="00C304D5">
        <w:rPr>
          <w:rStyle w:val="FootnoteReference"/>
          <w:sz w:val="18"/>
        </w:rPr>
        <w:t>4</w:t>
      </w:r>
      <w:r w:rsidRPr="007C6F75">
        <w:t xml:space="preserve"> </w:t>
      </w:r>
      <w:r w:rsidRPr="00C304D5">
        <w:rPr>
          <w:sz w:val="18"/>
          <w:szCs w:val="18"/>
        </w:rPr>
        <w:t>UNEP/</w:t>
      </w:r>
      <w:proofErr w:type="spellStart"/>
      <w:r w:rsidRPr="00C304D5">
        <w:rPr>
          <w:sz w:val="18"/>
          <w:szCs w:val="18"/>
        </w:rPr>
        <w:t>OzL.Pro</w:t>
      </w:r>
      <w:proofErr w:type="spellEnd"/>
      <w:r w:rsidRPr="00C304D5">
        <w:rPr>
          <w:sz w:val="18"/>
          <w:szCs w:val="18"/>
        </w:rPr>
        <w:t>/</w:t>
      </w:r>
      <w:proofErr w:type="spellStart"/>
      <w:r w:rsidRPr="00C304D5">
        <w:rPr>
          <w:sz w:val="18"/>
          <w:szCs w:val="18"/>
        </w:rPr>
        <w:t>ImpCom</w:t>
      </w:r>
      <w:proofErr w:type="spellEnd"/>
      <w:r w:rsidRPr="00C304D5">
        <w:rPr>
          <w:sz w:val="18"/>
          <w:szCs w:val="18"/>
        </w:rPr>
        <w:t>/74/6.</w:t>
      </w:r>
    </w:p>
  </w:footnote>
  <w:footnote w:id="9">
    <w:p w14:paraId="3E32BAF9" w14:textId="095429DB" w:rsidR="008C4D2B" w:rsidRPr="00E1048B" w:rsidRDefault="008C4D2B" w:rsidP="00683338">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sidRPr="00E1048B">
        <w:rPr>
          <w:rStyle w:val="FootnoteReference"/>
          <w:sz w:val="18"/>
          <w:vertAlign w:val="baseline"/>
          <w:lang w:val="ru-RU"/>
        </w:rPr>
        <w:t>*</w:t>
      </w:r>
      <w:r w:rsidRPr="00E1048B">
        <w:rPr>
          <w:szCs w:val="18"/>
          <w:lang w:val="ru-RU"/>
        </w:rPr>
        <w:t xml:space="preserve"> </w:t>
      </w:r>
      <w:r w:rsidR="005C2FD9" w:rsidRPr="005C2FD9">
        <w:rPr>
          <w:szCs w:val="18"/>
          <w:lang w:val="ru-RU"/>
        </w:rPr>
        <w:t>Приложение представляется без официального редактирования на английском языке</w:t>
      </w:r>
      <w:r w:rsidRPr="00E1048B">
        <w:rPr>
          <w:szCs w:val="18"/>
          <w:lang w:val="ru-RU"/>
        </w:rPr>
        <w:t>.</w:t>
      </w:r>
    </w:p>
  </w:footnote>
  <w:footnote w:id="10">
    <w:p w14:paraId="322DA339" w14:textId="3BA19F4B" w:rsidR="0064468C" w:rsidRPr="00E1048B" w:rsidRDefault="0064468C" w:rsidP="00683338">
      <w:pPr>
        <w:pStyle w:val="Footnote-Text"/>
        <w:tabs>
          <w:tab w:val="clear" w:pos="624"/>
          <w:tab w:val="clear" w:pos="1247"/>
          <w:tab w:val="clear" w:pos="1871"/>
          <w:tab w:val="clear" w:pos="2495"/>
          <w:tab w:val="clear" w:pos="3119"/>
          <w:tab w:val="clear" w:pos="3742"/>
          <w:tab w:val="clear" w:pos="4366"/>
          <w:tab w:val="clear" w:pos="4990"/>
        </w:tabs>
        <w:rPr>
          <w:szCs w:val="18"/>
          <w:lang w:val="ru-RU"/>
        </w:rPr>
      </w:pPr>
      <w:r w:rsidRPr="00E1048B">
        <w:rPr>
          <w:rStyle w:val="FootnoteReference"/>
          <w:sz w:val="18"/>
          <w:vertAlign w:val="baseline"/>
          <w:lang w:val="ru-RU"/>
        </w:rPr>
        <w:t>*</w:t>
      </w:r>
      <w:r w:rsidRPr="00E1048B">
        <w:rPr>
          <w:szCs w:val="18"/>
          <w:lang w:val="ru-RU"/>
        </w:rPr>
        <w:t xml:space="preserve"> </w:t>
      </w:r>
      <w:r w:rsidR="005C2FD9" w:rsidRPr="005C2FD9">
        <w:rPr>
          <w:szCs w:val="18"/>
          <w:lang w:val="ru-RU"/>
        </w:rPr>
        <w:t>Приложение представляется без официального редактирования на английском языке</w:t>
      </w:r>
      <w:r w:rsidRPr="00E1048B">
        <w:rPr>
          <w:szCs w:val="18"/>
          <w:lang w:val="ru-RU"/>
        </w:rPr>
        <w:t>.</w:t>
      </w:r>
    </w:p>
  </w:footnote>
  <w:footnote w:id="11">
    <w:p w14:paraId="1BDB7E54" w14:textId="6F29E6F7" w:rsidR="0064468C" w:rsidRPr="00527956" w:rsidRDefault="0064468C" w:rsidP="00683338">
      <w:pPr>
        <w:pStyle w:val="Footnote-Text"/>
        <w:tabs>
          <w:tab w:val="clear" w:pos="624"/>
          <w:tab w:val="clear" w:pos="1247"/>
          <w:tab w:val="clear" w:pos="1871"/>
          <w:tab w:val="clear" w:pos="2495"/>
          <w:tab w:val="clear" w:pos="3119"/>
          <w:tab w:val="clear" w:pos="3742"/>
          <w:tab w:val="clear" w:pos="4366"/>
          <w:tab w:val="clear" w:pos="4990"/>
        </w:tabs>
        <w:rPr>
          <w:lang w:val="ru-RU"/>
        </w:rPr>
      </w:pPr>
      <w:r w:rsidRPr="00527956">
        <w:rPr>
          <w:rStyle w:val="FootnoteReference"/>
          <w:vertAlign w:val="baseline"/>
          <w:lang w:val="ru-RU"/>
        </w:rPr>
        <w:t>*</w:t>
      </w:r>
      <w:r w:rsidRPr="00527956">
        <w:rPr>
          <w:lang w:val="ru-RU"/>
        </w:rPr>
        <w:t xml:space="preserve"> </w:t>
      </w:r>
      <w:r w:rsidR="005C2FD9" w:rsidRPr="005C2FD9">
        <w:rPr>
          <w:szCs w:val="18"/>
          <w:lang w:val="ru-RU"/>
        </w:rPr>
        <w:t>Приложение представляется без официального редактирования на английском языке</w:t>
      </w:r>
      <w:r w:rsidRPr="00527956">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6B870" w14:textId="009A87F1" w:rsidR="0064468C" w:rsidRPr="00E1048B" w:rsidRDefault="0064468C" w:rsidP="0064468C">
    <w:pPr>
      <w:pStyle w:val="Header-pool"/>
      <w:tabs>
        <w:tab w:val="clear" w:pos="1247"/>
        <w:tab w:val="clear" w:pos="1814"/>
        <w:tab w:val="clear" w:pos="2381"/>
        <w:tab w:val="clear" w:pos="2948"/>
        <w:tab w:val="clear" w:pos="3515"/>
        <w:tab w:val="clear" w:pos="9072"/>
      </w:tabs>
      <w:spacing w:after="120"/>
    </w:pPr>
    <w:r w:rsidRPr="00E1048B">
      <w:fldChar w:fldCharType="begin"/>
    </w:r>
    <w:r w:rsidRPr="00E1048B">
      <w:instrText xml:space="preserve"> StyleRef A_Symbol </w:instrText>
    </w:r>
    <w:r w:rsidRPr="00E1048B">
      <w:fldChar w:fldCharType="separate"/>
    </w:r>
    <w:r w:rsidR="00573AA1">
      <w:rPr>
        <w:noProof/>
      </w:rPr>
      <w:t>UNEP/OzL.Pro.WG.1/48/5</w:t>
    </w:r>
    <w:r w:rsidRPr="00E1048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F628" w14:textId="00424794" w:rsidR="0064468C" w:rsidRPr="00E1048B" w:rsidRDefault="0064468C" w:rsidP="0064468C">
    <w:pPr>
      <w:pStyle w:val="Header-pool"/>
      <w:tabs>
        <w:tab w:val="clear" w:pos="1247"/>
        <w:tab w:val="clear" w:pos="1814"/>
        <w:tab w:val="clear" w:pos="2381"/>
        <w:tab w:val="clear" w:pos="2948"/>
        <w:tab w:val="clear" w:pos="3515"/>
        <w:tab w:val="clear" w:pos="9072"/>
      </w:tabs>
      <w:spacing w:after="120"/>
      <w:jc w:val="right"/>
    </w:pPr>
    <w:r w:rsidRPr="00E1048B">
      <w:fldChar w:fldCharType="begin"/>
    </w:r>
    <w:r w:rsidRPr="00E1048B">
      <w:instrText xml:space="preserve"> StyleRef A_Symbol </w:instrText>
    </w:r>
    <w:r w:rsidRPr="00E1048B">
      <w:fldChar w:fldCharType="separate"/>
    </w:r>
    <w:r w:rsidR="00573AA1">
      <w:rPr>
        <w:noProof/>
      </w:rPr>
      <w:t>UNEP/OzL.Pro.WG.1/48/5</w:t>
    </w:r>
    <w:r w:rsidRPr="00E1048B">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B953" w14:textId="77777777" w:rsidR="00573AA1" w:rsidRDefault="00573A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1ADC" w14:textId="01EB7647" w:rsidR="0064468C" w:rsidRPr="00E1048B" w:rsidRDefault="007A404E" w:rsidP="007A404E">
    <w:pPr>
      <w:pStyle w:val="Header-pool"/>
      <w:tabs>
        <w:tab w:val="clear" w:pos="1247"/>
        <w:tab w:val="clear" w:pos="1814"/>
        <w:tab w:val="clear" w:pos="2381"/>
        <w:tab w:val="clear" w:pos="2948"/>
        <w:tab w:val="clear" w:pos="3515"/>
        <w:tab w:val="clear" w:pos="9072"/>
      </w:tabs>
      <w:spacing w:after="120"/>
    </w:pPr>
    <w:r w:rsidRPr="00E1048B">
      <w:fldChar w:fldCharType="begin"/>
    </w:r>
    <w:r w:rsidRPr="00E1048B">
      <w:instrText xml:space="preserve"> StyleRef A_Symbol </w:instrText>
    </w:r>
    <w:r w:rsidRPr="00E1048B">
      <w:fldChar w:fldCharType="separate"/>
    </w:r>
    <w:r w:rsidR="00573AA1">
      <w:rPr>
        <w:noProof/>
      </w:rPr>
      <w:t>UNEP/OzL.Pro.WG.1/48/5</w:t>
    </w:r>
    <w:r w:rsidRPr="00E1048B">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12EB" w14:textId="1F5B5725" w:rsidR="0064468C" w:rsidRPr="00E1048B" w:rsidRDefault="007A404E" w:rsidP="007A404E">
    <w:pPr>
      <w:pStyle w:val="Header-pool"/>
      <w:tabs>
        <w:tab w:val="clear" w:pos="1247"/>
        <w:tab w:val="clear" w:pos="1814"/>
        <w:tab w:val="clear" w:pos="2381"/>
        <w:tab w:val="clear" w:pos="2948"/>
        <w:tab w:val="clear" w:pos="3515"/>
        <w:tab w:val="clear" w:pos="9072"/>
      </w:tabs>
      <w:spacing w:after="120"/>
      <w:jc w:val="right"/>
    </w:pPr>
    <w:r w:rsidRPr="00E1048B">
      <w:fldChar w:fldCharType="begin"/>
    </w:r>
    <w:r w:rsidRPr="00E1048B">
      <w:instrText xml:space="preserve"> StyleRef A_Symbol </w:instrText>
    </w:r>
    <w:r w:rsidRPr="00E1048B">
      <w:fldChar w:fldCharType="separate"/>
    </w:r>
    <w:r w:rsidR="00573AA1">
      <w:rPr>
        <w:noProof/>
      </w:rPr>
      <w:t>UNEP/OzL.Pro.WG.1/48/5</w:t>
    </w:r>
    <w:r w:rsidRPr="00E1048B">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5B03" w14:textId="697373CF" w:rsidR="0064468C" w:rsidRPr="00E1048B" w:rsidRDefault="003879C6" w:rsidP="003879C6">
    <w:pPr>
      <w:pStyle w:val="Header-pool"/>
      <w:tabs>
        <w:tab w:val="clear" w:pos="1247"/>
        <w:tab w:val="clear" w:pos="1814"/>
        <w:tab w:val="clear" w:pos="2381"/>
        <w:tab w:val="clear" w:pos="2948"/>
        <w:tab w:val="clear" w:pos="3515"/>
        <w:tab w:val="clear" w:pos="9072"/>
      </w:tabs>
      <w:spacing w:after="120"/>
      <w:jc w:val="right"/>
    </w:pPr>
    <w:r w:rsidRPr="00E1048B">
      <w:fldChar w:fldCharType="begin"/>
    </w:r>
    <w:r w:rsidRPr="00E1048B">
      <w:instrText xml:space="preserve"> StyleRef A_Symbol </w:instrText>
    </w:r>
    <w:r w:rsidRPr="00E1048B">
      <w:fldChar w:fldCharType="separate"/>
    </w:r>
    <w:r w:rsidRPr="00E1048B">
      <w:t>UNEP/OzL.Pro.WG.1/48/5</w:t>
    </w:r>
    <w:r w:rsidRPr="00E1048B">
      <w:fldChar w:fldCharType="end"/>
    </w:r>
    <w:r w:rsidR="006829EF">
      <w:pict w14:anchorId="19F38A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845906" o:spid="_x0000_s1025" type="#_x0000_t136" alt="" style="position:absolute;left:0;text-align:left;margin-left:0;margin-top:0;width:494.85pt;height:141.35pt;rotation:315;z-index:-251658752;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Times New Roman&quot;;font-size:1pt" string="ADV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4F57" w14:textId="7B86959B" w:rsidR="00F66737" w:rsidRPr="00E1048B" w:rsidRDefault="00F66737" w:rsidP="00F66737">
    <w:pPr>
      <w:pStyle w:val="Header-pool"/>
      <w:tabs>
        <w:tab w:val="clear" w:pos="1247"/>
        <w:tab w:val="clear" w:pos="1814"/>
        <w:tab w:val="clear" w:pos="2381"/>
        <w:tab w:val="clear" w:pos="2948"/>
        <w:tab w:val="clear" w:pos="3515"/>
        <w:tab w:val="clear" w:pos="9072"/>
      </w:tabs>
      <w:spacing w:after="120"/>
    </w:pPr>
    <w:r w:rsidRPr="00E1048B">
      <w:fldChar w:fldCharType="begin"/>
    </w:r>
    <w:r w:rsidRPr="00E1048B">
      <w:instrText xml:space="preserve"> StyleRef A_Symbol </w:instrText>
    </w:r>
    <w:r w:rsidRPr="00E1048B">
      <w:fldChar w:fldCharType="separate"/>
    </w:r>
    <w:r w:rsidR="00573AA1">
      <w:rPr>
        <w:noProof/>
      </w:rPr>
      <w:t>UNEP/OzL.Pro.WG.1/48/5</w:t>
    </w:r>
    <w:r w:rsidRPr="00E1048B">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2F34" w14:textId="034F5733" w:rsidR="00F66737" w:rsidRPr="00E1048B" w:rsidRDefault="00F66737" w:rsidP="00F66737">
    <w:pPr>
      <w:pStyle w:val="Header-pool"/>
      <w:tabs>
        <w:tab w:val="clear" w:pos="1247"/>
        <w:tab w:val="clear" w:pos="1814"/>
        <w:tab w:val="clear" w:pos="2381"/>
        <w:tab w:val="clear" w:pos="2948"/>
        <w:tab w:val="clear" w:pos="3515"/>
        <w:tab w:val="clear" w:pos="9072"/>
      </w:tabs>
      <w:spacing w:after="120"/>
      <w:jc w:val="right"/>
    </w:pPr>
    <w:r w:rsidRPr="00E1048B">
      <w:fldChar w:fldCharType="begin"/>
    </w:r>
    <w:r w:rsidRPr="00E1048B">
      <w:instrText xml:space="preserve"> StyleRef A_Symbol </w:instrText>
    </w:r>
    <w:r w:rsidRPr="00E1048B">
      <w:fldChar w:fldCharType="separate"/>
    </w:r>
    <w:r w:rsidR="00573AA1">
      <w:rPr>
        <w:noProof/>
      </w:rPr>
      <w:t>UNEP/OzL.Pro.WG.1/48/5</w:t>
    </w:r>
    <w:r w:rsidRPr="00E104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F769C"/>
    <w:multiLevelType w:val="hybridMultilevel"/>
    <w:tmpl w:val="BFF4AC62"/>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BDC7433"/>
    <w:multiLevelType w:val="hybridMultilevel"/>
    <w:tmpl w:val="1F766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4" w15:restartNumberingAfterBreak="0">
    <w:nsid w:val="2B5350D6"/>
    <w:multiLevelType w:val="hybridMultilevel"/>
    <w:tmpl w:val="8300FDF8"/>
    <w:lvl w:ilvl="0" w:tplc="B0380142">
      <w:start w:val="1"/>
      <w:numFmt w:val="lowerLetter"/>
      <w:lvlText w:val="%1)"/>
      <w:lvlJc w:val="left"/>
      <w:pPr>
        <w:ind w:left="2260" w:hanging="360"/>
      </w:pPr>
      <w:rPr>
        <w:rFonts w:hint="default"/>
      </w:rPr>
    </w:lvl>
    <w:lvl w:ilvl="1" w:tplc="FFFFFFFF">
      <w:start w:val="1"/>
      <w:numFmt w:val="lowerLetter"/>
      <w:lvlText w:val="%2."/>
      <w:lvlJc w:val="left"/>
      <w:pPr>
        <w:ind w:left="1733" w:hanging="360"/>
      </w:pPr>
    </w:lvl>
    <w:lvl w:ilvl="2" w:tplc="FFFFFFFF">
      <w:start w:val="1"/>
      <w:numFmt w:val="lowerRoman"/>
      <w:lvlText w:val="%3."/>
      <w:lvlJc w:val="right"/>
      <w:pPr>
        <w:ind w:left="2453" w:hanging="180"/>
      </w:pPr>
    </w:lvl>
    <w:lvl w:ilvl="3" w:tplc="FFFFFFFF">
      <w:start w:val="1"/>
      <w:numFmt w:val="lowerLetter"/>
      <w:lvlText w:val="%4)"/>
      <w:lvlJc w:val="left"/>
      <w:pPr>
        <w:ind w:left="1108" w:hanging="360"/>
      </w:pPr>
      <w:rPr>
        <w:rFonts w:hint="default"/>
      </w:r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15" w15:restartNumberingAfterBreak="0">
    <w:nsid w:val="354C61A6"/>
    <w:multiLevelType w:val="hybridMultilevel"/>
    <w:tmpl w:val="13BC728C"/>
    <w:lvl w:ilvl="0" w:tplc="EACE8252">
      <w:start w:val="5"/>
      <w:numFmt w:val="decimal"/>
      <w:lvlText w:val="%1."/>
      <w:lvlJc w:val="left"/>
      <w:pPr>
        <w:ind w:left="1608" w:hanging="36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16" w15:restartNumberingAfterBreak="0">
    <w:nsid w:val="37434344"/>
    <w:multiLevelType w:val="hybridMultilevel"/>
    <w:tmpl w:val="BFF4AC62"/>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7" w15:restartNumberingAfterBreak="0">
    <w:nsid w:val="38E13E20"/>
    <w:multiLevelType w:val="hybridMultilevel"/>
    <w:tmpl w:val="B89E2C6A"/>
    <w:lvl w:ilvl="0" w:tplc="4C085EBC">
      <w:start w:val="1"/>
      <w:numFmt w:val="upperLetter"/>
      <w:lvlText w:val="%1."/>
      <w:lvlJc w:val="left"/>
      <w:pPr>
        <w:ind w:left="1209" w:hanging="8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47584270"/>
    <w:multiLevelType w:val="hybridMultilevel"/>
    <w:tmpl w:val="31B0743E"/>
    <w:lvl w:ilvl="0" w:tplc="F56E1EB8">
      <w:start w:val="1"/>
      <w:numFmt w:val="decimal"/>
      <w:lvlText w:val="%1."/>
      <w:lvlJc w:val="left"/>
      <w:pPr>
        <w:ind w:left="720" w:hanging="360"/>
      </w:pPr>
      <w:rPr>
        <w:rFonts w:ascii="Times New Roman" w:hAnsi="Times New Roman" w:cs="Times New Roman"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1" w15:restartNumberingAfterBreak="0">
    <w:nsid w:val="56CE7693"/>
    <w:multiLevelType w:val="hybridMultilevel"/>
    <w:tmpl w:val="507E7866"/>
    <w:lvl w:ilvl="0" w:tplc="C99E3B0C">
      <w:start w:val="1"/>
      <w:numFmt w:val="lowerLetter"/>
      <w:lvlText w:val="%1)"/>
      <w:lvlJc w:val="left"/>
      <w:pPr>
        <w:ind w:left="2687" w:hanging="360"/>
      </w:pPr>
      <w:rPr>
        <w:rFonts w:hint="default"/>
      </w:rPr>
    </w:lvl>
    <w:lvl w:ilvl="1" w:tplc="08090019" w:tentative="1">
      <w:start w:val="1"/>
      <w:numFmt w:val="lowerLetter"/>
      <w:lvlText w:val="%2."/>
      <w:lvlJc w:val="left"/>
      <w:pPr>
        <w:ind w:left="3407" w:hanging="360"/>
      </w:pPr>
    </w:lvl>
    <w:lvl w:ilvl="2" w:tplc="0809001B" w:tentative="1">
      <w:start w:val="1"/>
      <w:numFmt w:val="lowerRoman"/>
      <w:lvlText w:val="%3."/>
      <w:lvlJc w:val="right"/>
      <w:pPr>
        <w:ind w:left="4127" w:hanging="180"/>
      </w:pPr>
    </w:lvl>
    <w:lvl w:ilvl="3" w:tplc="0809000F" w:tentative="1">
      <w:start w:val="1"/>
      <w:numFmt w:val="decimal"/>
      <w:lvlText w:val="%4."/>
      <w:lvlJc w:val="left"/>
      <w:pPr>
        <w:ind w:left="4847" w:hanging="360"/>
      </w:pPr>
    </w:lvl>
    <w:lvl w:ilvl="4" w:tplc="08090019" w:tentative="1">
      <w:start w:val="1"/>
      <w:numFmt w:val="lowerLetter"/>
      <w:lvlText w:val="%5."/>
      <w:lvlJc w:val="left"/>
      <w:pPr>
        <w:ind w:left="5567" w:hanging="360"/>
      </w:pPr>
    </w:lvl>
    <w:lvl w:ilvl="5" w:tplc="0809001B" w:tentative="1">
      <w:start w:val="1"/>
      <w:numFmt w:val="lowerRoman"/>
      <w:lvlText w:val="%6."/>
      <w:lvlJc w:val="right"/>
      <w:pPr>
        <w:ind w:left="6287" w:hanging="180"/>
      </w:pPr>
    </w:lvl>
    <w:lvl w:ilvl="6" w:tplc="0809000F" w:tentative="1">
      <w:start w:val="1"/>
      <w:numFmt w:val="decimal"/>
      <w:lvlText w:val="%7."/>
      <w:lvlJc w:val="left"/>
      <w:pPr>
        <w:ind w:left="7007" w:hanging="360"/>
      </w:pPr>
    </w:lvl>
    <w:lvl w:ilvl="7" w:tplc="08090019" w:tentative="1">
      <w:start w:val="1"/>
      <w:numFmt w:val="lowerLetter"/>
      <w:lvlText w:val="%8."/>
      <w:lvlJc w:val="left"/>
      <w:pPr>
        <w:ind w:left="7727" w:hanging="360"/>
      </w:pPr>
    </w:lvl>
    <w:lvl w:ilvl="8" w:tplc="0809001B" w:tentative="1">
      <w:start w:val="1"/>
      <w:numFmt w:val="lowerRoman"/>
      <w:lvlText w:val="%9."/>
      <w:lvlJc w:val="right"/>
      <w:pPr>
        <w:ind w:left="8447" w:hanging="180"/>
      </w:pPr>
    </w:lvl>
  </w:abstractNum>
  <w:abstractNum w:abstractNumId="22" w15:restartNumberingAfterBreak="0">
    <w:nsid w:val="57354D20"/>
    <w:multiLevelType w:val="hybridMultilevel"/>
    <w:tmpl w:val="37A08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5D42F5"/>
    <w:multiLevelType w:val="hybridMultilevel"/>
    <w:tmpl w:val="BFF4AC62"/>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4" w15:restartNumberingAfterBreak="0">
    <w:nsid w:val="604E559A"/>
    <w:multiLevelType w:val="hybridMultilevel"/>
    <w:tmpl w:val="9B10402E"/>
    <w:lvl w:ilvl="0" w:tplc="304E7B02">
      <w:start w:val="1"/>
      <w:numFmt w:val="upperRoman"/>
      <w:lvlText w:val="%1."/>
      <w:lvlJc w:val="left"/>
      <w:pPr>
        <w:ind w:left="1215" w:hanging="85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BBC4811"/>
    <w:multiLevelType w:val="hybridMultilevel"/>
    <w:tmpl w:val="13200174"/>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6" w15:restartNumberingAfterBreak="0">
    <w:nsid w:val="71EF28B0"/>
    <w:multiLevelType w:val="hybridMultilevel"/>
    <w:tmpl w:val="DDF6E36C"/>
    <w:lvl w:ilvl="0" w:tplc="4148CD2A">
      <w:start w:val="1"/>
      <w:numFmt w:val="decimal"/>
      <w:lvlText w:val="%1."/>
      <w:lvlJc w:val="left"/>
      <w:pPr>
        <w:ind w:left="1248" w:hanging="360"/>
      </w:pPr>
      <w:rPr>
        <w:rFonts w:hint="default"/>
        <w:b w:val="0"/>
        <w:bCs/>
      </w:rPr>
    </w:lvl>
    <w:lvl w:ilvl="1" w:tplc="04090019" w:tentative="1">
      <w:start w:val="1"/>
      <w:numFmt w:val="lowerLetter"/>
      <w:lvlText w:val="%2."/>
      <w:lvlJc w:val="left"/>
      <w:pPr>
        <w:ind w:left="-353" w:hanging="360"/>
      </w:pPr>
    </w:lvl>
    <w:lvl w:ilvl="2" w:tplc="0409001B" w:tentative="1">
      <w:start w:val="1"/>
      <w:numFmt w:val="lowerRoman"/>
      <w:lvlText w:val="%3."/>
      <w:lvlJc w:val="right"/>
      <w:pPr>
        <w:ind w:left="367" w:hanging="180"/>
      </w:pPr>
    </w:lvl>
    <w:lvl w:ilvl="3" w:tplc="0409000F" w:tentative="1">
      <w:start w:val="1"/>
      <w:numFmt w:val="decimal"/>
      <w:lvlText w:val="%4."/>
      <w:lvlJc w:val="left"/>
      <w:pPr>
        <w:ind w:left="1087" w:hanging="360"/>
      </w:pPr>
    </w:lvl>
    <w:lvl w:ilvl="4" w:tplc="04090019" w:tentative="1">
      <w:start w:val="1"/>
      <w:numFmt w:val="lowerLetter"/>
      <w:lvlText w:val="%5."/>
      <w:lvlJc w:val="left"/>
      <w:pPr>
        <w:ind w:left="1807" w:hanging="360"/>
      </w:pPr>
    </w:lvl>
    <w:lvl w:ilvl="5" w:tplc="0409001B" w:tentative="1">
      <w:start w:val="1"/>
      <w:numFmt w:val="lowerRoman"/>
      <w:lvlText w:val="%6."/>
      <w:lvlJc w:val="right"/>
      <w:pPr>
        <w:ind w:left="2527" w:hanging="180"/>
      </w:pPr>
    </w:lvl>
    <w:lvl w:ilvl="6" w:tplc="0409000F" w:tentative="1">
      <w:start w:val="1"/>
      <w:numFmt w:val="decimal"/>
      <w:lvlText w:val="%7."/>
      <w:lvlJc w:val="left"/>
      <w:pPr>
        <w:ind w:left="3247" w:hanging="360"/>
      </w:pPr>
    </w:lvl>
    <w:lvl w:ilvl="7" w:tplc="04090019" w:tentative="1">
      <w:start w:val="1"/>
      <w:numFmt w:val="lowerLetter"/>
      <w:lvlText w:val="%8."/>
      <w:lvlJc w:val="left"/>
      <w:pPr>
        <w:ind w:left="3967" w:hanging="360"/>
      </w:pPr>
    </w:lvl>
    <w:lvl w:ilvl="8" w:tplc="0409001B" w:tentative="1">
      <w:start w:val="1"/>
      <w:numFmt w:val="lowerRoman"/>
      <w:lvlText w:val="%9."/>
      <w:lvlJc w:val="right"/>
      <w:pPr>
        <w:ind w:left="4687" w:hanging="180"/>
      </w:pPr>
    </w:lvl>
  </w:abstractNum>
  <w:abstractNum w:abstractNumId="27"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8"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344552741">
    <w:abstractNumId w:val="21"/>
  </w:num>
  <w:num w:numId="2" w16cid:durableId="1448887245">
    <w:abstractNumId w:val="14"/>
  </w:num>
  <w:num w:numId="3" w16cid:durableId="712538599">
    <w:abstractNumId w:val="15"/>
  </w:num>
  <w:num w:numId="4" w16cid:durableId="1126000753">
    <w:abstractNumId w:val="10"/>
  </w:num>
  <w:num w:numId="5" w16cid:durableId="1128931195">
    <w:abstractNumId w:val="16"/>
  </w:num>
  <w:num w:numId="6" w16cid:durableId="1930118075">
    <w:abstractNumId w:val="23"/>
  </w:num>
  <w:num w:numId="7" w16cid:durableId="560672902">
    <w:abstractNumId w:val="20"/>
  </w:num>
  <w:num w:numId="8" w16cid:durableId="1541893823">
    <w:abstractNumId w:val="9"/>
  </w:num>
  <w:num w:numId="9" w16cid:durableId="1705908734">
    <w:abstractNumId w:val="7"/>
  </w:num>
  <w:num w:numId="10" w16cid:durableId="669941145">
    <w:abstractNumId w:val="6"/>
  </w:num>
  <w:num w:numId="11" w16cid:durableId="1399128221">
    <w:abstractNumId w:val="5"/>
  </w:num>
  <w:num w:numId="12" w16cid:durableId="1539925865">
    <w:abstractNumId w:val="4"/>
  </w:num>
  <w:num w:numId="13" w16cid:durableId="369307452">
    <w:abstractNumId w:val="8"/>
  </w:num>
  <w:num w:numId="14" w16cid:durableId="1608343922">
    <w:abstractNumId w:val="3"/>
  </w:num>
  <w:num w:numId="15" w16cid:durableId="1326398188">
    <w:abstractNumId w:val="2"/>
  </w:num>
  <w:num w:numId="16" w16cid:durableId="906497301">
    <w:abstractNumId w:val="1"/>
  </w:num>
  <w:num w:numId="17" w16cid:durableId="1902211671">
    <w:abstractNumId w:val="0"/>
  </w:num>
  <w:num w:numId="18" w16cid:durableId="427972397">
    <w:abstractNumId w:val="13"/>
  </w:num>
  <w:num w:numId="19" w16cid:durableId="1793208357">
    <w:abstractNumId w:val="18"/>
  </w:num>
  <w:num w:numId="20" w16cid:durableId="232929743">
    <w:abstractNumId w:val="26"/>
  </w:num>
  <w:num w:numId="21" w16cid:durableId="2108504120">
    <w:abstractNumId w:val="11"/>
  </w:num>
  <w:num w:numId="22" w16cid:durableId="1683317142">
    <w:abstractNumId w:val="27"/>
  </w:num>
  <w:num w:numId="23" w16cid:durableId="1818643086">
    <w:abstractNumId w:val="28"/>
  </w:num>
  <w:num w:numId="24" w16cid:durableId="1712729003">
    <w:abstractNumId w:val="25"/>
  </w:num>
  <w:num w:numId="25" w16cid:durableId="1937712324">
    <w:abstractNumId w:val="12"/>
  </w:num>
  <w:num w:numId="26" w16cid:durableId="1067343809">
    <w:abstractNumId w:val="19"/>
  </w:num>
  <w:num w:numId="27" w16cid:durableId="1088841811">
    <w:abstractNumId w:val="24"/>
  </w:num>
  <w:num w:numId="28" w16cid:durableId="367219594">
    <w:abstractNumId w:val="22"/>
  </w:num>
  <w:num w:numId="29" w16cid:durableId="14411004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624"/>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D81"/>
    <w:rsid w:val="0000561A"/>
    <w:rsid w:val="00017CE5"/>
    <w:rsid w:val="0002545D"/>
    <w:rsid w:val="00033883"/>
    <w:rsid w:val="00033CE2"/>
    <w:rsid w:val="00036CAA"/>
    <w:rsid w:val="00045C03"/>
    <w:rsid w:val="000501D3"/>
    <w:rsid w:val="00054279"/>
    <w:rsid w:val="000544C3"/>
    <w:rsid w:val="000579D2"/>
    <w:rsid w:val="00060749"/>
    <w:rsid w:val="000631CE"/>
    <w:rsid w:val="000676A1"/>
    <w:rsid w:val="00067A23"/>
    <w:rsid w:val="00071895"/>
    <w:rsid w:val="000726C7"/>
    <w:rsid w:val="00072C35"/>
    <w:rsid w:val="00080D6C"/>
    <w:rsid w:val="00082372"/>
    <w:rsid w:val="000B67AB"/>
    <w:rsid w:val="000D460F"/>
    <w:rsid w:val="000D4F71"/>
    <w:rsid w:val="000E62A1"/>
    <w:rsid w:val="000F4F5A"/>
    <w:rsid w:val="000F6D4B"/>
    <w:rsid w:val="00104C2E"/>
    <w:rsid w:val="00111355"/>
    <w:rsid w:val="0012319A"/>
    <w:rsid w:val="0012539A"/>
    <w:rsid w:val="00125B0C"/>
    <w:rsid w:val="001401D2"/>
    <w:rsid w:val="00143674"/>
    <w:rsid w:val="00145514"/>
    <w:rsid w:val="00147EFB"/>
    <w:rsid w:val="00162BCC"/>
    <w:rsid w:val="00166003"/>
    <w:rsid w:val="00166E17"/>
    <w:rsid w:val="00167430"/>
    <w:rsid w:val="00171606"/>
    <w:rsid w:val="001741E0"/>
    <w:rsid w:val="00181738"/>
    <w:rsid w:val="001869EF"/>
    <w:rsid w:val="0018722F"/>
    <w:rsid w:val="00187D30"/>
    <w:rsid w:val="00190C28"/>
    <w:rsid w:val="00190C78"/>
    <w:rsid w:val="00191B30"/>
    <w:rsid w:val="001A0A1E"/>
    <w:rsid w:val="001A23FD"/>
    <w:rsid w:val="001A2AA4"/>
    <w:rsid w:val="001A4C99"/>
    <w:rsid w:val="001B232C"/>
    <w:rsid w:val="001B7250"/>
    <w:rsid w:val="001B752B"/>
    <w:rsid w:val="001C0C0A"/>
    <w:rsid w:val="001C6FA8"/>
    <w:rsid w:val="001D0AF6"/>
    <w:rsid w:val="001D1B05"/>
    <w:rsid w:val="001D1E81"/>
    <w:rsid w:val="001D2FF9"/>
    <w:rsid w:val="001D375C"/>
    <w:rsid w:val="001D42DD"/>
    <w:rsid w:val="001D6719"/>
    <w:rsid w:val="001E301A"/>
    <w:rsid w:val="001E38E2"/>
    <w:rsid w:val="001F3576"/>
    <w:rsid w:val="001F5291"/>
    <w:rsid w:val="001F59A4"/>
    <w:rsid w:val="0020050F"/>
    <w:rsid w:val="00206D9C"/>
    <w:rsid w:val="00211C13"/>
    <w:rsid w:val="002147C0"/>
    <w:rsid w:val="00220957"/>
    <w:rsid w:val="00221030"/>
    <w:rsid w:val="00221917"/>
    <w:rsid w:val="002244EF"/>
    <w:rsid w:val="0022594D"/>
    <w:rsid w:val="002269D4"/>
    <w:rsid w:val="0022754D"/>
    <w:rsid w:val="002277BE"/>
    <w:rsid w:val="00230A2A"/>
    <w:rsid w:val="00235FB7"/>
    <w:rsid w:val="0023617E"/>
    <w:rsid w:val="00236AE9"/>
    <w:rsid w:val="00236CF2"/>
    <w:rsid w:val="00242C30"/>
    <w:rsid w:val="0024786C"/>
    <w:rsid w:val="00250436"/>
    <w:rsid w:val="002636DF"/>
    <w:rsid w:val="00263992"/>
    <w:rsid w:val="00270E21"/>
    <w:rsid w:val="00274146"/>
    <w:rsid w:val="00274DA6"/>
    <w:rsid w:val="00275760"/>
    <w:rsid w:val="00275F7E"/>
    <w:rsid w:val="00277902"/>
    <w:rsid w:val="00284020"/>
    <w:rsid w:val="00290D7D"/>
    <w:rsid w:val="00293BEF"/>
    <w:rsid w:val="002963F7"/>
    <w:rsid w:val="002A129D"/>
    <w:rsid w:val="002A5016"/>
    <w:rsid w:val="002B1663"/>
    <w:rsid w:val="002B2507"/>
    <w:rsid w:val="002B2B81"/>
    <w:rsid w:val="002B2E9B"/>
    <w:rsid w:val="002B475C"/>
    <w:rsid w:val="002C5059"/>
    <w:rsid w:val="002C514F"/>
    <w:rsid w:val="002D723C"/>
    <w:rsid w:val="002E03CD"/>
    <w:rsid w:val="002E5D76"/>
    <w:rsid w:val="002F56D3"/>
    <w:rsid w:val="00300431"/>
    <w:rsid w:val="003009EE"/>
    <w:rsid w:val="003060D7"/>
    <w:rsid w:val="00311C7F"/>
    <w:rsid w:val="00312B0F"/>
    <w:rsid w:val="003202B4"/>
    <w:rsid w:val="00325991"/>
    <w:rsid w:val="003311EA"/>
    <w:rsid w:val="003324B7"/>
    <w:rsid w:val="00337B13"/>
    <w:rsid w:val="00337E31"/>
    <w:rsid w:val="00341946"/>
    <w:rsid w:val="00341F38"/>
    <w:rsid w:val="00344732"/>
    <w:rsid w:val="00345F0C"/>
    <w:rsid w:val="00350F2B"/>
    <w:rsid w:val="003634EC"/>
    <w:rsid w:val="00366103"/>
    <w:rsid w:val="003706D8"/>
    <w:rsid w:val="00376627"/>
    <w:rsid w:val="00384FDA"/>
    <w:rsid w:val="00385C77"/>
    <w:rsid w:val="003879C6"/>
    <w:rsid w:val="003A214A"/>
    <w:rsid w:val="003A23A9"/>
    <w:rsid w:val="003D3D35"/>
    <w:rsid w:val="003D5910"/>
    <w:rsid w:val="003E684D"/>
    <w:rsid w:val="00400598"/>
    <w:rsid w:val="00400B73"/>
    <w:rsid w:val="00402900"/>
    <w:rsid w:val="00414176"/>
    <w:rsid w:val="004221D9"/>
    <w:rsid w:val="0043414A"/>
    <w:rsid w:val="00434E87"/>
    <w:rsid w:val="004364CE"/>
    <w:rsid w:val="00441772"/>
    <w:rsid w:val="00446AE0"/>
    <w:rsid w:val="00447531"/>
    <w:rsid w:val="0045334D"/>
    <w:rsid w:val="00454DCB"/>
    <w:rsid w:val="004561C9"/>
    <w:rsid w:val="00456EBC"/>
    <w:rsid w:val="00457D8F"/>
    <w:rsid w:val="0046456D"/>
    <w:rsid w:val="004714DA"/>
    <w:rsid w:val="00485552"/>
    <w:rsid w:val="00485709"/>
    <w:rsid w:val="00490EDE"/>
    <w:rsid w:val="004A1C92"/>
    <w:rsid w:val="004A1ED5"/>
    <w:rsid w:val="004A489B"/>
    <w:rsid w:val="004A4B36"/>
    <w:rsid w:val="004B6416"/>
    <w:rsid w:val="004B6ACA"/>
    <w:rsid w:val="004B6D7F"/>
    <w:rsid w:val="004B7BB8"/>
    <w:rsid w:val="004C7E41"/>
    <w:rsid w:val="004D7DEF"/>
    <w:rsid w:val="004E3E84"/>
    <w:rsid w:val="00500F73"/>
    <w:rsid w:val="00504D0F"/>
    <w:rsid w:val="00513CFF"/>
    <w:rsid w:val="00514FC6"/>
    <w:rsid w:val="00517C89"/>
    <w:rsid w:val="00523CBD"/>
    <w:rsid w:val="00525C44"/>
    <w:rsid w:val="00525C5D"/>
    <w:rsid w:val="00527956"/>
    <w:rsid w:val="00533587"/>
    <w:rsid w:val="005504F5"/>
    <w:rsid w:val="00553095"/>
    <w:rsid w:val="00557203"/>
    <w:rsid w:val="0056270D"/>
    <w:rsid w:val="00573AA1"/>
    <w:rsid w:val="0058678C"/>
    <w:rsid w:val="00592155"/>
    <w:rsid w:val="00596899"/>
    <w:rsid w:val="005B0DF5"/>
    <w:rsid w:val="005B170A"/>
    <w:rsid w:val="005B3E64"/>
    <w:rsid w:val="005B7F4F"/>
    <w:rsid w:val="005C2FD9"/>
    <w:rsid w:val="005C5166"/>
    <w:rsid w:val="005D6968"/>
    <w:rsid w:val="005D7DFF"/>
    <w:rsid w:val="005E6BD4"/>
    <w:rsid w:val="005F00FD"/>
    <w:rsid w:val="005F32F6"/>
    <w:rsid w:val="005F6D81"/>
    <w:rsid w:val="00606EC3"/>
    <w:rsid w:val="00615AEF"/>
    <w:rsid w:val="006218D8"/>
    <w:rsid w:val="00622AC7"/>
    <w:rsid w:val="006311A4"/>
    <w:rsid w:val="006319FE"/>
    <w:rsid w:val="00633FE5"/>
    <w:rsid w:val="00635825"/>
    <w:rsid w:val="0064468C"/>
    <w:rsid w:val="00647FD7"/>
    <w:rsid w:val="00663157"/>
    <w:rsid w:val="0067245F"/>
    <w:rsid w:val="00673329"/>
    <w:rsid w:val="00673B3D"/>
    <w:rsid w:val="006771B2"/>
    <w:rsid w:val="00677969"/>
    <w:rsid w:val="0068218B"/>
    <w:rsid w:val="006825B5"/>
    <w:rsid w:val="006829EF"/>
    <w:rsid w:val="00683338"/>
    <w:rsid w:val="006838A9"/>
    <w:rsid w:val="00691A12"/>
    <w:rsid w:val="0069484C"/>
    <w:rsid w:val="006A7ADB"/>
    <w:rsid w:val="006B274E"/>
    <w:rsid w:val="006C0C39"/>
    <w:rsid w:val="006D4287"/>
    <w:rsid w:val="006F1ABA"/>
    <w:rsid w:val="006F2A2E"/>
    <w:rsid w:val="006F418E"/>
    <w:rsid w:val="006F5525"/>
    <w:rsid w:val="007010CD"/>
    <w:rsid w:val="00705DF8"/>
    <w:rsid w:val="00710A34"/>
    <w:rsid w:val="00712385"/>
    <w:rsid w:val="00713949"/>
    <w:rsid w:val="00714AC8"/>
    <w:rsid w:val="00720027"/>
    <w:rsid w:val="00723F6E"/>
    <w:rsid w:val="00724455"/>
    <w:rsid w:val="0072621D"/>
    <w:rsid w:val="00731FBB"/>
    <w:rsid w:val="00734ABC"/>
    <w:rsid w:val="007443A3"/>
    <w:rsid w:val="00744EAB"/>
    <w:rsid w:val="007452E9"/>
    <w:rsid w:val="00747B10"/>
    <w:rsid w:val="00750425"/>
    <w:rsid w:val="0075662B"/>
    <w:rsid w:val="007802FC"/>
    <w:rsid w:val="007815E3"/>
    <w:rsid w:val="007823CF"/>
    <w:rsid w:val="00783411"/>
    <w:rsid w:val="00787B1E"/>
    <w:rsid w:val="007904A6"/>
    <w:rsid w:val="007A1E25"/>
    <w:rsid w:val="007A404E"/>
    <w:rsid w:val="007B1901"/>
    <w:rsid w:val="007C0B26"/>
    <w:rsid w:val="007C6F75"/>
    <w:rsid w:val="007D262F"/>
    <w:rsid w:val="007D2CF1"/>
    <w:rsid w:val="007E23CC"/>
    <w:rsid w:val="007E28CB"/>
    <w:rsid w:val="007E60DD"/>
    <w:rsid w:val="007F346B"/>
    <w:rsid w:val="0080420D"/>
    <w:rsid w:val="00806477"/>
    <w:rsid w:val="008228B3"/>
    <w:rsid w:val="008231B8"/>
    <w:rsid w:val="0083342C"/>
    <w:rsid w:val="00842B7D"/>
    <w:rsid w:val="00843730"/>
    <w:rsid w:val="008540A4"/>
    <w:rsid w:val="008573FF"/>
    <w:rsid w:val="00865964"/>
    <w:rsid w:val="00866F4B"/>
    <w:rsid w:val="00866F7F"/>
    <w:rsid w:val="008712EF"/>
    <w:rsid w:val="00872BB7"/>
    <w:rsid w:val="00873502"/>
    <w:rsid w:val="008813B0"/>
    <w:rsid w:val="008822F6"/>
    <w:rsid w:val="00886EA5"/>
    <w:rsid w:val="008877F9"/>
    <w:rsid w:val="00890F59"/>
    <w:rsid w:val="00890F98"/>
    <w:rsid w:val="008A785E"/>
    <w:rsid w:val="008B1673"/>
    <w:rsid w:val="008C4D2B"/>
    <w:rsid w:val="008C752C"/>
    <w:rsid w:val="008D2B98"/>
    <w:rsid w:val="008D3D95"/>
    <w:rsid w:val="008D75FA"/>
    <w:rsid w:val="008D769E"/>
    <w:rsid w:val="008E11D3"/>
    <w:rsid w:val="008E3EBF"/>
    <w:rsid w:val="008E4588"/>
    <w:rsid w:val="008E54F9"/>
    <w:rsid w:val="008F2C5D"/>
    <w:rsid w:val="008F4360"/>
    <w:rsid w:val="008F7057"/>
    <w:rsid w:val="009063FE"/>
    <w:rsid w:val="0090725A"/>
    <w:rsid w:val="009147D5"/>
    <w:rsid w:val="009211C1"/>
    <w:rsid w:val="00922BD5"/>
    <w:rsid w:val="00923234"/>
    <w:rsid w:val="00927325"/>
    <w:rsid w:val="00931783"/>
    <w:rsid w:val="00941D21"/>
    <w:rsid w:val="00947665"/>
    <w:rsid w:val="009540BB"/>
    <w:rsid w:val="009542CC"/>
    <w:rsid w:val="0095681C"/>
    <w:rsid w:val="00957A59"/>
    <w:rsid w:val="00966136"/>
    <w:rsid w:val="00967A43"/>
    <w:rsid w:val="00972B41"/>
    <w:rsid w:val="009A65AD"/>
    <w:rsid w:val="009B2F49"/>
    <w:rsid w:val="009B57E4"/>
    <w:rsid w:val="009C1098"/>
    <w:rsid w:val="009C4FE6"/>
    <w:rsid w:val="009D48A6"/>
    <w:rsid w:val="009E13BE"/>
    <w:rsid w:val="009E2EB5"/>
    <w:rsid w:val="009E468E"/>
    <w:rsid w:val="00A03144"/>
    <w:rsid w:val="00A034F9"/>
    <w:rsid w:val="00A03AB6"/>
    <w:rsid w:val="00A05F17"/>
    <w:rsid w:val="00A11405"/>
    <w:rsid w:val="00A11761"/>
    <w:rsid w:val="00A2128C"/>
    <w:rsid w:val="00A21CC6"/>
    <w:rsid w:val="00A359F4"/>
    <w:rsid w:val="00A50297"/>
    <w:rsid w:val="00A512FF"/>
    <w:rsid w:val="00A5218D"/>
    <w:rsid w:val="00A61CE8"/>
    <w:rsid w:val="00A632E1"/>
    <w:rsid w:val="00A664D6"/>
    <w:rsid w:val="00A7562E"/>
    <w:rsid w:val="00A90D0D"/>
    <w:rsid w:val="00A931E5"/>
    <w:rsid w:val="00A95892"/>
    <w:rsid w:val="00A95C06"/>
    <w:rsid w:val="00AA2CA0"/>
    <w:rsid w:val="00AB0E71"/>
    <w:rsid w:val="00AB1738"/>
    <w:rsid w:val="00AB42EA"/>
    <w:rsid w:val="00AC0EAF"/>
    <w:rsid w:val="00AC37FC"/>
    <w:rsid w:val="00AC74AB"/>
    <w:rsid w:val="00AC7513"/>
    <w:rsid w:val="00AD4938"/>
    <w:rsid w:val="00AD5DF6"/>
    <w:rsid w:val="00AE0B85"/>
    <w:rsid w:val="00AF0481"/>
    <w:rsid w:val="00B04424"/>
    <w:rsid w:val="00B06969"/>
    <w:rsid w:val="00B11847"/>
    <w:rsid w:val="00B1764E"/>
    <w:rsid w:val="00B25692"/>
    <w:rsid w:val="00B3193F"/>
    <w:rsid w:val="00B33465"/>
    <w:rsid w:val="00B41E49"/>
    <w:rsid w:val="00B42042"/>
    <w:rsid w:val="00B434EB"/>
    <w:rsid w:val="00B45537"/>
    <w:rsid w:val="00B502DD"/>
    <w:rsid w:val="00B51DE7"/>
    <w:rsid w:val="00B52DFE"/>
    <w:rsid w:val="00B716E2"/>
    <w:rsid w:val="00B74AA9"/>
    <w:rsid w:val="00B81D36"/>
    <w:rsid w:val="00B90B6F"/>
    <w:rsid w:val="00B91ED9"/>
    <w:rsid w:val="00B9424D"/>
    <w:rsid w:val="00B95E63"/>
    <w:rsid w:val="00BA3515"/>
    <w:rsid w:val="00BA4976"/>
    <w:rsid w:val="00BA6A28"/>
    <w:rsid w:val="00BB6FA2"/>
    <w:rsid w:val="00BC2E42"/>
    <w:rsid w:val="00BC41FC"/>
    <w:rsid w:val="00BC4316"/>
    <w:rsid w:val="00BD170E"/>
    <w:rsid w:val="00BD4ED2"/>
    <w:rsid w:val="00BD50D9"/>
    <w:rsid w:val="00BD606A"/>
    <w:rsid w:val="00BD6E21"/>
    <w:rsid w:val="00BE2872"/>
    <w:rsid w:val="00BE48A7"/>
    <w:rsid w:val="00BF5735"/>
    <w:rsid w:val="00BF69D5"/>
    <w:rsid w:val="00C07118"/>
    <w:rsid w:val="00C21466"/>
    <w:rsid w:val="00C304D5"/>
    <w:rsid w:val="00C3389B"/>
    <w:rsid w:val="00C36D24"/>
    <w:rsid w:val="00C4491E"/>
    <w:rsid w:val="00C62285"/>
    <w:rsid w:val="00C66BF3"/>
    <w:rsid w:val="00C720E0"/>
    <w:rsid w:val="00C9225E"/>
    <w:rsid w:val="00C9328D"/>
    <w:rsid w:val="00C93634"/>
    <w:rsid w:val="00C964A3"/>
    <w:rsid w:val="00C97861"/>
    <w:rsid w:val="00CA72EC"/>
    <w:rsid w:val="00CB1488"/>
    <w:rsid w:val="00CD2FF6"/>
    <w:rsid w:val="00CE0DE9"/>
    <w:rsid w:val="00CF7E5C"/>
    <w:rsid w:val="00D14DAC"/>
    <w:rsid w:val="00D17510"/>
    <w:rsid w:val="00D20BBB"/>
    <w:rsid w:val="00D47B7F"/>
    <w:rsid w:val="00D51E69"/>
    <w:rsid w:val="00D521DE"/>
    <w:rsid w:val="00D52DBD"/>
    <w:rsid w:val="00D576F9"/>
    <w:rsid w:val="00D62294"/>
    <w:rsid w:val="00D64094"/>
    <w:rsid w:val="00D72338"/>
    <w:rsid w:val="00D73786"/>
    <w:rsid w:val="00D759BF"/>
    <w:rsid w:val="00D85015"/>
    <w:rsid w:val="00D85975"/>
    <w:rsid w:val="00D90128"/>
    <w:rsid w:val="00DB583A"/>
    <w:rsid w:val="00DC053E"/>
    <w:rsid w:val="00DC219F"/>
    <w:rsid w:val="00DD1AE7"/>
    <w:rsid w:val="00DE4010"/>
    <w:rsid w:val="00DE673B"/>
    <w:rsid w:val="00DF1B41"/>
    <w:rsid w:val="00DF2217"/>
    <w:rsid w:val="00DF3739"/>
    <w:rsid w:val="00DF659D"/>
    <w:rsid w:val="00E1048B"/>
    <w:rsid w:val="00E1286B"/>
    <w:rsid w:val="00E14B8D"/>
    <w:rsid w:val="00E14FCE"/>
    <w:rsid w:val="00E16D85"/>
    <w:rsid w:val="00E17BA3"/>
    <w:rsid w:val="00E23DE7"/>
    <w:rsid w:val="00E245A7"/>
    <w:rsid w:val="00E26BBA"/>
    <w:rsid w:val="00E2706E"/>
    <w:rsid w:val="00E27FB0"/>
    <w:rsid w:val="00E3036B"/>
    <w:rsid w:val="00E32378"/>
    <w:rsid w:val="00E32B8E"/>
    <w:rsid w:val="00E3629B"/>
    <w:rsid w:val="00E3657A"/>
    <w:rsid w:val="00E3759E"/>
    <w:rsid w:val="00E43AE1"/>
    <w:rsid w:val="00E447D8"/>
    <w:rsid w:val="00E44B0B"/>
    <w:rsid w:val="00E542D3"/>
    <w:rsid w:val="00E5432D"/>
    <w:rsid w:val="00E557EA"/>
    <w:rsid w:val="00E6032C"/>
    <w:rsid w:val="00E664A8"/>
    <w:rsid w:val="00E709F9"/>
    <w:rsid w:val="00E75828"/>
    <w:rsid w:val="00E80118"/>
    <w:rsid w:val="00E816A2"/>
    <w:rsid w:val="00E901DE"/>
    <w:rsid w:val="00E91238"/>
    <w:rsid w:val="00E912B4"/>
    <w:rsid w:val="00E93D06"/>
    <w:rsid w:val="00EA2172"/>
    <w:rsid w:val="00EA26FB"/>
    <w:rsid w:val="00EA3F54"/>
    <w:rsid w:val="00EA42C3"/>
    <w:rsid w:val="00EA591F"/>
    <w:rsid w:val="00EA7F48"/>
    <w:rsid w:val="00EB2BDC"/>
    <w:rsid w:val="00EB3ADA"/>
    <w:rsid w:val="00EC26D1"/>
    <w:rsid w:val="00EC44D3"/>
    <w:rsid w:val="00EE21C9"/>
    <w:rsid w:val="00EE3381"/>
    <w:rsid w:val="00EE4754"/>
    <w:rsid w:val="00EF5D1C"/>
    <w:rsid w:val="00F00B5C"/>
    <w:rsid w:val="00F0360B"/>
    <w:rsid w:val="00F04D68"/>
    <w:rsid w:val="00F10774"/>
    <w:rsid w:val="00F12D05"/>
    <w:rsid w:val="00F16A60"/>
    <w:rsid w:val="00F16FDE"/>
    <w:rsid w:val="00F174B8"/>
    <w:rsid w:val="00F21D83"/>
    <w:rsid w:val="00F30008"/>
    <w:rsid w:val="00F36196"/>
    <w:rsid w:val="00F5222D"/>
    <w:rsid w:val="00F647D2"/>
    <w:rsid w:val="00F66737"/>
    <w:rsid w:val="00F70C1C"/>
    <w:rsid w:val="00F7136A"/>
    <w:rsid w:val="00F72CFE"/>
    <w:rsid w:val="00F744CC"/>
    <w:rsid w:val="00F75390"/>
    <w:rsid w:val="00F76E63"/>
    <w:rsid w:val="00F86B66"/>
    <w:rsid w:val="00FB0D1B"/>
    <w:rsid w:val="00FB4A53"/>
    <w:rsid w:val="00FB5EEB"/>
    <w:rsid w:val="00FB65CA"/>
    <w:rsid w:val="00FB6779"/>
    <w:rsid w:val="00FC379E"/>
    <w:rsid w:val="00FC7C2C"/>
    <w:rsid w:val="00FD129C"/>
    <w:rsid w:val="00FD23C2"/>
    <w:rsid w:val="00FF0FBB"/>
    <w:rsid w:val="00FF4B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E7B76"/>
  <w15:chartTrackingRefBased/>
  <w15:docId w15:val="{16D744A4-1900-D941-B9AF-9D5D2039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6D81"/>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ru-RU"/>
      <w14:ligatures w14:val="none"/>
    </w:rPr>
  </w:style>
  <w:style w:type="paragraph" w:styleId="Heading1">
    <w:name w:val="heading 1"/>
    <w:basedOn w:val="Normal"/>
    <w:next w:val="Normal"/>
    <w:link w:val="Heading1Char"/>
    <w:qFormat/>
    <w:rsid w:val="005F6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F6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F6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5F6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F6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5F6D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5F6D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5F6D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5F6D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6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F6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F6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5F6D81"/>
    <w:rPr>
      <w:rFonts w:eastAsiaTheme="majorEastAsia" w:cstheme="majorBidi"/>
      <w:i/>
      <w:iCs/>
      <w:color w:val="0F4761" w:themeColor="accent1" w:themeShade="BF"/>
    </w:rPr>
  </w:style>
  <w:style w:type="character" w:customStyle="1" w:styleId="Heading5Char">
    <w:name w:val="Heading 5 Char"/>
    <w:basedOn w:val="DefaultParagraphFont"/>
    <w:link w:val="Heading5"/>
    <w:rsid w:val="005F6D81"/>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5F6D81"/>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5F6D81"/>
    <w:rPr>
      <w:rFonts w:eastAsiaTheme="majorEastAsia" w:cstheme="majorBidi"/>
      <w:color w:val="595959" w:themeColor="text1" w:themeTint="A6"/>
    </w:rPr>
  </w:style>
  <w:style w:type="character" w:customStyle="1" w:styleId="Heading8Char">
    <w:name w:val="Heading 8 Char"/>
    <w:basedOn w:val="DefaultParagraphFont"/>
    <w:link w:val="Heading8"/>
    <w:semiHidden/>
    <w:rsid w:val="005F6D81"/>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5F6D81"/>
    <w:rPr>
      <w:rFonts w:eastAsiaTheme="majorEastAsia" w:cstheme="majorBidi"/>
      <w:color w:val="272727" w:themeColor="text1" w:themeTint="D8"/>
    </w:rPr>
  </w:style>
  <w:style w:type="paragraph" w:styleId="Title">
    <w:name w:val="Title"/>
    <w:basedOn w:val="Normal"/>
    <w:next w:val="Normal"/>
    <w:link w:val="TitleChar"/>
    <w:qFormat/>
    <w:rsid w:val="005F6D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F6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F6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F6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D81"/>
    <w:pPr>
      <w:spacing w:before="160"/>
      <w:jc w:val="center"/>
    </w:pPr>
    <w:rPr>
      <w:i/>
      <w:iCs/>
      <w:color w:val="404040" w:themeColor="text1" w:themeTint="BF"/>
    </w:rPr>
  </w:style>
  <w:style w:type="character" w:customStyle="1" w:styleId="QuoteChar">
    <w:name w:val="Quote Char"/>
    <w:basedOn w:val="DefaultParagraphFont"/>
    <w:link w:val="Quote"/>
    <w:uiPriority w:val="29"/>
    <w:rsid w:val="005F6D81"/>
    <w:rPr>
      <w:i/>
      <w:iCs/>
      <w:color w:val="404040" w:themeColor="text1" w:themeTint="BF"/>
    </w:rPr>
  </w:style>
  <w:style w:type="paragraph" w:styleId="ListParagraph">
    <w:name w:val="List Paragraph"/>
    <w:basedOn w:val="Normal"/>
    <w:uiPriority w:val="34"/>
    <w:qFormat/>
    <w:rsid w:val="005F6D81"/>
    <w:pPr>
      <w:ind w:left="720"/>
      <w:contextualSpacing/>
    </w:pPr>
  </w:style>
  <w:style w:type="character" w:styleId="IntenseEmphasis">
    <w:name w:val="Intense Emphasis"/>
    <w:basedOn w:val="DefaultParagraphFont"/>
    <w:uiPriority w:val="21"/>
    <w:qFormat/>
    <w:rsid w:val="005F6D81"/>
    <w:rPr>
      <w:i/>
      <w:iCs/>
      <w:color w:val="0F4761" w:themeColor="accent1" w:themeShade="BF"/>
    </w:rPr>
  </w:style>
  <w:style w:type="paragraph" w:styleId="IntenseQuote">
    <w:name w:val="Intense Quote"/>
    <w:basedOn w:val="Normal"/>
    <w:next w:val="Normal"/>
    <w:link w:val="IntenseQuoteChar"/>
    <w:uiPriority w:val="30"/>
    <w:qFormat/>
    <w:rsid w:val="005F6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D81"/>
    <w:rPr>
      <w:i/>
      <w:iCs/>
      <w:color w:val="0F4761" w:themeColor="accent1" w:themeShade="BF"/>
    </w:rPr>
  </w:style>
  <w:style w:type="character" w:styleId="IntenseReference">
    <w:name w:val="Intense Reference"/>
    <w:basedOn w:val="DefaultParagraphFont"/>
    <w:uiPriority w:val="32"/>
    <w:qFormat/>
    <w:rsid w:val="005F6D81"/>
    <w:rPr>
      <w:b/>
      <w:bCs/>
      <w:smallCaps/>
      <w:color w:val="0F4761" w:themeColor="accent1" w:themeShade="BF"/>
      <w:spacing w:val="5"/>
    </w:rPr>
  </w:style>
  <w:style w:type="paragraph" w:customStyle="1" w:styleId="CH1">
    <w:name w:val="CH1"/>
    <w:basedOn w:val="Normal-pool"/>
    <w:next w:val="CH2"/>
    <w:qFormat/>
    <w:rsid w:val="005F6D81"/>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F6D81"/>
    <w:pPr>
      <w:keepNext/>
      <w:keepLines/>
      <w:tabs>
        <w:tab w:val="clear" w:pos="624"/>
        <w:tab w:val="right" w:pos="851"/>
      </w:tabs>
      <w:suppressAutoHyphens/>
      <w:spacing w:before="240" w:after="120"/>
      <w:ind w:left="1247" w:right="624" w:hanging="1247"/>
    </w:pPr>
    <w:rPr>
      <w:b/>
      <w:sz w:val="24"/>
      <w:szCs w:val="24"/>
    </w:rPr>
  </w:style>
  <w:style w:type="paragraph" w:customStyle="1" w:styleId="AATitle">
    <w:name w:val="AA_Title"/>
    <w:basedOn w:val="Normal-pool"/>
    <w:qFormat/>
    <w:rsid w:val="005F6D81"/>
    <w:pPr>
      <w:keepNext/>
      <w:keepLines/>
      <w:suppressAutoHyphens/>
    </w:pPr>
    <w:rPr>
      <w:b/>
    </w:rPr>
  </w:style>
  <w:style w:type="paragraph" w:customStyle="1" w:styleId="BBTitle">
    <w:name w:val="BB_Title"/>
    <w:basedOn w:val="Normal-pool"/>
    <w:link w:val="BBTitleChar"/>
    <w:qFormat/>
    <w:rsid w:val="005F6D81"/>
    <w:pPr>
      <w:keepNext/>
      <w:keepLines/>
      <w:suppressAutoHyphens/>
      <w:spacing w:before="320" w:after="240"/>
      <w:ind w:left="1247" w:right="567"/>
    </w:pPr>
    <w:rPr>
      <w:b/>
      <w:sz w:val="28"/>
      <w:szCs w:val="28"/>
    </w:rPr>
  </w:style>
  <w:style w:type="paragraph" w:customStyle="1" w:styleId="NormalNonumber">
    <w:name w:val="Normal_No_number"/>
    <w:basedOn w:val="Normal-pool"/>
    <w:link w:val="NormalNonumberChar"/>
    <w:qFormat/>
    <w:rsid w:val="005F6D81"/>
    <w:pPr>
      <w:spacing w:after="120"/>
      <w:ind w:left="1247"/>
    </w:pPr>
  </w:style>
  <w:style w:type="paragraph" w:customStyle="1" w:styleId="Normalnumber">
    <w:name w:val="Normal_number"/>
    <w:basedOn w:val="Normal"/>
    <w:link w:val="NormalnumberChar"/>
    <w:qFormat/>
    <w:rsid w:val="005F6D81"/>
    <w:pPr>
      <w:spacing w:after="120"/>
    </w:pPr>
  </w:style>
  <w:style w:type="paragraph" w:customStyle="1" w:styleId="AConvName">
    <w:name w:val="A_ConvName"/>
    <w:basedOn w:val="Normal-pool"/>
    <w:next w:val="Normal-pool"/>
    <w:rsid w:val="005F6D81"/>
    <w:pPr>
      <w:spacing w:before="120" w:after="240"/>
    </w:pPr>
    <w:rPr>
      <w:rFonts w:ascii="Arial" w:hAnsi="Arial"/>
      <w:b/>
      <w:sz w:val="28"/>
    </w:rPr>
  </w:style>
  <w:style w:type="paragraph" w:customStyle="1" w:styleId="ASymbol">
    <w:name w:val="A_Symbol"/>
    <w:basedOn w:val="Normal-pool"/>
    <w:rsid w:val="005F6D81"/>
    <w:pPr>
      <w:tabs>
        <w:tab w:val="clear" w:pos="624"/>
        <w:tab w:val="clear" w:pos="1247"/>
        <w:tab w:val="right" w:pos="2920"/>
      </w:tabs>
    </w:pPr>
    <w:rPr>
      <w:rFonts w:eastAsia="SimSun"/>
    </w:rPr>
  </w:style>
  <w:style w:type="paragraph" w:customStyle="1" w:styleId="AText">
    <w:name w:val="A_Text"/>
    <w:basedOn w:val="Normal-pool"/>
    <w:rsid w:val="005F6D81"/>
    <w:pPr>
      <w:spacing w:before="120"/>
    </w:pPr>
  </w:style>
  <w:style w:type="paragraph" w:customStyle="1" w:styleId="AUnitedNations">
    <w:name w:val="A_United_Nations"/>
    <w:basedOn w:val="Normal-pool"/>
    <w:next w:val="Normal-pool"/>
    <w:rsid w:val="005F6D81"/>
    <w:pPr>
      <w:tabs>
        <w:tab w:val="clear" w:pos="1247"/>
      </w:tabs>
      <w:spacing w:before="20" w:after="20"/>
    </w:pPr>
    <w:rPr>
      <w:rFonts w:ascii="Arial" w:hAnsi="Arial" w:cs="Times New Roman Bold"/>
      <w:b/>
      <w:color w:val="000000" w:themeColor="text1"/>
      <w:sz w:val="27"/>
    </w:rPr>
  </w:style>
  <w:style w:type="character" w:customStyle="1" w:styleId="NormalnumberChar">
    <w:name w:val="Normal_number Char"/>
    <w:link w:val="Normalnumber"/>
    <w:rsid w:val="005F6D81"/>
    <w:rPr>
      <w:rFonts w:ascii="Times New Roman" w:eastAsia="Times New Roman" w:hAnsi="Times New Roman" w:cs="Times New Roman"/>
      <w:kern w:val="0"/>
      <w:sz w:val="20"/>
      <w:szCs w:val="20"/>
      <w:lang w:val="en-GB"/>
      <w14:ligatures w14:val="none"/>
    </w:rPr>
  </w:style>
  <w:style w:type="paragraph" w:customStyle="1" w:styleId="ASpacer">
    <w:name w:val="A_Spacer"/>
    <w:basedOn w:val="Normal-pool"/>
    <w:link w:val="ASpacerChar"/>
    <w:qFormat/>
    <w:rsid w:val="005F6D81"/>
    <w:rPr>
      <w:sz w:val="2"/>
    </w:rPr>
  </w:style>
  <w:style w:type="character" w:customStyle="1" w:styleId="ASpacerChar">
    <w:name w:val="A_Spacer Char"/>
    <w:basedOn w:val="DefaultParagraphFont"/>
    <w:link w:val="ASpacer"/>
    <w:rsid w:val="005F6D81"/>
    <w:rPr>
      <w:rFonts w:ascii="Times New Roman" w:eastAsia="Times New Roman" w:hAnsi="Times New Roman" w:cs="Times New Roman"/>
      <w:kern w:val="0"/>
      <w:sz w:val="2"/>
      <w:szCs w:val="20"/>
      <w:lang w:val="en-GB"/>
      <w14:ligatures w14:val="none"/>
    </w:rPr>
  </w:style>
  <w:style w:type="paragraph" w:customStyle="1" w:styleId="AATitle1">
    <w:name w:val="AA_Title1"/>
    <w:basedOn w:val="Normal-pool"/>
    <w:qFormat/>
    <w:rsid w:val="005F6D81"/>
  </w:style>
  <w:style w:type="paragraph" w:customStyle="1" w:styleId="AText0">
    <w:name w:val="A_Text0"/>
    <w:basedOn w:val="AText"/>
    <w:next w:val="AText"/>
    <w:qFormat/>
    <w:rsid w:val="005F6D81"/>
    <w:pPr>
      <w:tabs>
        <w:tab w:val="clear" w:pos="4990"/>
      </w:tabs>
      <w:spacing w:before="0" w:after="120"/>
    </w:pPr>
  </w:style>
  <w:style w:type="paragraph" w:customStyle="1" w:styleId="Normal-pool">
    <w:name w:val="Normal-pool"/>
    <w:link w:val="Normal-poolChar"/>
    <w:qFormat/>
    <w:rsid w:val="005F6D81"/>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BBTitleChar">
    <w:name w:val="BB_Title Char"/>
    <w:link w:val="BBTitle"/>
    <w:rsid w:val="005F6D81"/>
    <w:rPr>
      <w:rFonts w:ascii="Times New Roman" w:eastAsia="Times New Roman" w:hAnsi="Times New Roman" w:cs="Times New Roman"/>
      <w:b/>
      <w:kern w:val="0"/>
      <w:sz w:val="28"/>
      <w:szCs w:val="28"/>
      <w:lang w:val="en-GB"/>
      <w14:ligatures w14:val="none"/>
    </w:rPr>
  </w:style>
  <w:style w:type="character" w:customStyle="1" w:styleId="CH2Char">
    <w:name w:val="CH2 Char"/>
    <w:link w:val="CH2"/>
    <w:locked/>
    <w:rsid w:val="005F6D81"/>
    <w:rPr>
      <w:rFonts w:ascii="Times New Roman" w:eastAsia="Times New Roman" w:hAnsi="Times New Roman" w:cs="Times New Roman"/>
      <w:b/>
      <w:kern w:val="0"/>
      <w:lang w:val="en-GB"/>
      <w14:ligatures w14:val="none"/>
    </w:rPr>
  </w:style>
  <w:style w:type="character" w:customStyle="1" w:styleId="Normal-poolChar">
    <w:name w:val="Normal-pool Char"/>
    <w:link w:val="Normal-pool"/>
    <w:locked/>
    <w:rsid w:val="005F6D81"/>
    <w:rPr>
      <w:rFonts w:ascii="Times New Roman" w:eastAsia="Times New Roman" w:hAnsi="Times New Roman" w:cs="Times New Roman"/>
      <w:kern w:val="0"/>
      <w:sz w:val="20"/>
      <w:szCs w:val="20"/>
      <w:lang w:val="en-GB"/>
      <w14:ligatures w14:val="none"/>
    </w:rPr>
  </w:style>
  <w:style w:type="character" w:customStyle="1" w:styleId="NormalNonumberChar">
    <w:name w:val="Normal_No_number Char"/>
    <w:link w:val="NormalNonumber"/>
    <w:locked/>
    <w:rsid w:val="005F6D81"/>
    <w:rPr>
      <w:rFonts w:ascii="Times New Roman" w:eastAsia="Times New Roman" w:hAnsi="Times New Roman" w:cs="Times New Roman"/>
      <w:kern w:val="0"/>
      <w:sz w:val="20"/>
      <w:szCs w:val="20"/>
      <w:lang w:val="en-GB"/>
      <w14:ligatures w14:val="none"/>
    </w:rPr>
  </w:style>
  <w:style w:type="paragraph" w:customStyle="1" w:styleId="CH3">
    <w:name w:val="CH3"/>
    <w:basedOn w:val="Normal-pool"/>
    <w:next w:val="Normalnumber"/>
    <w:qFormat/>
    <w:rsid w:val="00080D6C"/>
    <w:pPr>
      <w:keepNext/>
      <w:keepLines/>
      <w:tabs>
        <w:tab w:val="clear" w:pos="624"/>
        <w:tab w:val="right" w:pos="851"/>
      </w:tabs>
      <w:suppressAutoHyphens/>
      <w:spacing w:before="240" w:after="120"/>
      <w:ind w:left="1247" w:right="624" w:hanging="1247"/>
    </w:pPr>
    <w:rPr>
      <w:b/>
    </w:rPr>
  </w:style>
  <w:style w:type="character" w:styleId="CommentReference">
    <w:name w:val="annotation reference"/>
    <w:basedOn w:val="DefaultParagraphFont"/>
    <w:uiPriority w:val="99"/>
    <w:semiHidden/>
    <w:unhideWhenUsed/>
    <w:rsid w:val="00080D6C"/>
    <w:rPr>
      <w:sz w:val="16"/>
      <w:szCs w:val="16"/>
      <w:lang w:val="en-GB"/>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en-GB"/>
      <w14:ligatures w14:val="none"/>
    </w:rPr>
  </w:style>
  <w:style w:type="paragraph" w:customStyle="1" w:styleId="AATitle2">
    <w:name w:val="AA_Title2"/>
    <w:basedOn w:val="AATitle"/>
    <w:qFormat/>
    <w:rsid w:val="00F66737"/>
    <w:pPr>
      <w:keepNext w:val="0"/>
      <w:keepLines w:val="0"/>
      <w:tabs>
        <w:tab w:val="clear" w:pos="4990"/>
      </w:tabs>
      <w:spacing w:before="120" w:after="120"/>
    </w:pPr>
    <w:rPr>
      <w:lang w:val="ru-RU"/>
      <w14:ligatures w14:val="standardContextual"/>
    </w:rPr>
  </w:style>
  <w:style w:type="paragraph" w:styleId="Header">
    <w:name w:val="header"/>
    <w:basedOn w:val="Normal"/>
    <w:link w:val="HeaderChar"/>
    <w:unhideWhenUsed/>
    <w:rsid w:val="00F66737"/>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rsid w:val="00F66737"/>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nhideWhenUsed/>
    <w:rsid w:val="00F66737"/>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rsid w:val="00F66737"/>
    <w:rPr>
      <w:rFonts w:ascii="Times New Roman" w:eastAsia="Times New Roman" w:hAnsi="Times New Roman" w:cs="Times New Roman"/>
      <w:kern w:val="0"/>
      <w:sz w:val="20"/>
      <w:szCs w:val="20"/>
      <w:lang w:val="en-GB"/>
      <w14:ligatures w14:val="none"/>
    </w:rPr>
  </w:style>
  <w:style w:type="paragraph" w:customStyle="1" w:styleId="Footer-jobnumber">
    <w:name w:val="Footer-jobnumber"/>
    <w:basedOn w:val="Normal-pool"/>
    <w:qFormat/>
    <w:rsid w:val="00F66737"/>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Header-pool">
    <w:name w:val="Header-pool"/>
    <w:basedOn w:val="Normal"/>
    <w:next w:val="Normal"/>
    <w:rsid w:val="00F66737"/>
    <w:pPr>
      <w:pBdr>
        <w:bottom w:val="single" w:sz="4" w:space="1" w:color="auto"/>
      </w:pBdr>
      <w:tabs>
        <w:tab w:val="right" w:pos="9072"/>
      </w:tabs>
    </w:pPr>
    <w:rPr>
      <w:b/>
      <w:sz w:val="18"/>
    </w:rPr>
  </w:style>
  <w:style w:type="paragraph" w:styleId="CommentSubject">
    <w:name w:val="annotation subject"/>
    <w:basedOn w:val="CommentText"/>
    <w:next w:val="CommentText"/>
    <w:link w:val="CommentSubjectChar"/>
    <w:semiHidden/>
    <w:unhideWhenUsed/>
    <w:rsid w:val="007D2CF1"/>
    <w:rPr>
      <w:b/>
      <w:bCs/>
    </w:rPr>
  </w:style>
  <w:style w:type="character" w:customStyle="1" w:styleId="CommentSubjectChar">
    <w:name w:val="Comment Subject Char"/>
    <w:basedOn w:val="CommentTextChar"/>
    <w:link w:val="CommentSubject"/>
    <w:semiHidden/>
    <w:rsid w:val="007D2CF1"/>
    <w:rPr>
      <w:rFonts w:ascii="Times New Roman" w:eastAsia="Times New Roman" w:hAnsi="Times New Roman" w:cs="Times New Roman"/>
      <w:b/>
      <w:bCs/>
      <w:kern w:val="0"/>
      <w:sz w:val="20"/>
      <w:szCs w:val="20"/>
      <w:lang w:val="en-GB"/>
      <w14:ligatures w14:val="none"/>
    </w:rPr>
  </w:style>
  <w:style w:type="character" w:styleId="FootnoteReference">
    <w:name w:val="footnote reference"/>
    <w:aliases w:val="Footnote text,16 Point,Superscript 6 Point,Footnote Text1,Footnote Text2,ftref,number,SUPERS,Footnote Reference Superscript,(Ref. de nota al pie),Footnote Reference1,Ref,de nota al pie,註腳內容,de nota al pie + (Asian) MS Mincho,11 pt,fr"/>
    <w:link w:val="CharCharCharCharCarChar"/>
    <w:unhideWhenUsed/>
    <w:qFormat/>
    <w:rsid w:val="008D2B98"/>
    <w:rPr>
      <w:rFonts w:ascii="Times New Roman" w:hAnsi="Times New Roman"/>
      <w:sz w:val="20"/>
      <w:szCs w:val="18"/>
      <w:vertAlign w:val="superscript"/>
      <w:lang w:val="en-GB"/>
    </w:rPr>
  </w:style>
  <w:style w:type="paragraph" w:customStyle="1" w:styleId="Footnote-Text">
    <w:name w:val="Footnote-Text"/>
    <w:basedOn w:val="Normal-pool"/>
    <w:rsid w:val="008D2B98"/>
    <w:pPr>
      <w:spacing w:before="20" w:after="40"/>
      <w:ind w:left="1247"/>
    </w:pPr>
    <w:rPr>
      <w:sz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8D2B98"/>
    <w:pPr>
      <w:tabs>
        <w:tab w:val="clear" w:pos="1247"/>
        <w:tab w:val="clear" w:pos="1814"/>
        <w:tab w:val="clear" w:pos="2381"/>
        <w:tab w:val="clear" w:pos="2948"/>
        <w:tab w:val="clear" w:pos="3515"/>
      </w:tabs>
      <w:spacing w:after="160" w:line="240" w:lineRule="exact"/>
      <w:jc w:val="both"/>
    </w:pPr>
    <w:rPr>
      <w:rFonts w:eastAsiaTheme="minorHAnsi" w:cstheme="minorBidi"/>
      <w:kern w:val="2"/>
      <w:szCs w:val="18"/>
      <w:vertAlign w:val="superscript"/>
      <w14:ligatures w14:val="standardContextual"/>
    </w:rPr>
  </w:style>
  <w:style w:type="character" w:styleId="Hyperlink">
    <w:name w:val="Hyperlink"/>
    <w:basedOn w:val="DefaultParagraphFont"/>
    <w:uiPriority w:val="99"/>
    <w:unhideWhenUsed/>
    <w:rsid w:val="003A23A9"/>
    <w:rPr>
      <w:color w:val="467886" w:themeColor="hyperlink"/>
      <w:u w:val="single"/>
    </w:rPr>
  </w:style>
  <w:style w:type="character" w:styleId="UnresolvedMention">
    <w:name w:val="Unresolved Mention"/>
    <w:basedOn w:val="DefaultParagraphFont"/>
    <w:uiPriority w:val="99"/>
    <w:semiHidden/>
    <w:unhideWhenUsed/>
    <w:rsid w:val="003A23A9"/>
    <w:rPr>
      <w:color w:val="605E5C"/>
      <w:shd w:val="clear" w:color="auto" w:fill="E1DFDD"/>
    </w:rPr>
  </w:style>
  <w:style w:type="character" w:styleId="PageNumber">
    <w:name w:val="page number"/>
    <w:semiHidden/>
    <w:rsid w:val="0064468C"/>
    <w:rPr>
      <w:rFonts w:ascii="Times New Roman" w:hAnsi="Times New Roman"/>
      <w:b/>
      <w:sz w:val="18"/>
      <w:lang w:val="en-GB"/>
    </w:rPr>
  </w:style>
  <w:style w:type="table" w:customStyle="1" w:styleId="Tabledocright">
    <w:name w:val="Table_doc_right"/>
    <w:basedOn w:val="TableNormal"/>
    <w:rsid w:val="0064468C"/>
    <w:pPr>
      <w:spacing w:before="40" w:after="40" w:line="240" w:lineRule="auto"/>
    </w:pPr>
    <w:rPr>
      <w:rFonts w:ascii="Times New Roman" w:eastAsia="SimSun" w:hAnsi="Times New Roman" w:cs="Times New Roman"/>
      <w:kern w:val="0"/>
      <w:sz w:val="18"/>
      <w:szCs w:val="18"/>
      <w:lang w:val="fr-FR" w:eastAsia="zh-CN"/>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4468C"/>
    <w:pPr>
      <w:ind w:left="1000"/>
    </w:pPr>
    <w:rPr>
      <w:sz w:val="18"/>
      <w:szCs w:val="18"/>
      <w:lang w:val="en-GB"/>
    </w:rPr>
  </w:style>
  <w:style w:type="paragraph" w:styleId="TOC7">
    <w:name w:val="toc 7"/>
    <w:basedOn w:val="Normal"/>
    <w:next w:val="Normal"/>
    <w:autoRedefine/>
    <w:semiHidden/>
    <w:rsid w:val="0064468C"/>
    <w:pPr>
      <w:ind w:left="1200"/>
    </w:pPr>
    <w:rPr>
      <w:sz w:val="18"/>
      <w:szCs w:val="18"/>
      <w:lang w:val="en-GB"/>
    </w:rPr>
  </w:style>
  <w:style w:type="paragraph" w:styleId="TOC8">
    <w:name w:val="toc 8"/>
    <w:basedOn w:val="Normal"/>
    <w:next w:val="Normal"/>
    <w:autoRedefine/>
    <w:semiHidden/>
    <w:rsid w:val="0064468C"/>
    <w:pPr>
      <w:ind w:left="1400"/>
    </w:pPr>
    <w:rPr>
      <w:sz w:val="18"/>
      <w:szCs w:val="18"/>
      <w:lang w:val="en-GB"/>
    </w:rPr>
  </w:style>
  <w:style w:type="paragraph" w:styleId="TOC9">
    <w:name w:val="toc 9"/>
    <w:basedOn w:val="Normal"/>
    <w:next w:val="Normal"/>
    <w:autoRedefine/>
    <w:semiHidden/>
    <w:rsid w:val="0064468C"/>
    <w:pPr>
      <w:ind w:left="1600"/>
    </w:pPr>
    <w:rPr>
      <w:sz w:val="18"/>
      <w:szCs w:val="18"/>
      <w:lang w:val="en-GB"/>
    </w:rPr>
  </w:style>
  <w:style w:type="paragraph" w:customStyle="1" w:styleId="Titlefigure">
    <w:name w:val="Title_figure"/>
    <w:basedOn w:val="Titletable"/>
    <w:next w:val="NormalNonumber"/>
    <w:rsid w:val="0064468C"/>
    <w:pPr>
      <w:tabs>
        <w:tab w:val="clear" w:pos="4990"/>
      </w:tabs>
    </w:pPr>
    <w:rPr>
      <w:bCs w:val="0"/>
    </w:rPr>
  </w:style>
  <w:style w:type="paragraph" w:styleId="TableofFigures">
    <w:name w:val="table of figures"/>
    <w:basedOn w:val="Normal"/>
    <w:next w:val="Normal"/>
    <w:autoRedefine/>
    <w:semiHidden/>
    <w:rsid w:val="0064468C"/>
    <w:pPr>
      <w:ind w:left="1814" w:hanging="567"/>
    </w:pPr>
    <w:rPr>
      <w:lang w:val="en-GB"/>
    </w:rPr>
  </w:style>
  <w:style w:type="table" w:customStyle="1" w:styleId="Footertable">
    <w:name w:val="Footer_table"/>
    <w:basedOn w:val="TableNormal"/>
    <w:semiHidden/>
    <w:rsid w:val="0064468C"/>
    <w:pPr>
      <w:spacing w:after="0" w:line="240" w:lineRule="auto"/>
    </w:pPr>
    <w:rPr>
      <w:rFonts w:ascii="Arial" w:eastAsia="SimSun" w:hAnsi="Arial" w:cs="Times New Roman"/>
      <w:kern w:val="0"/>
      <w:sz w:val="16"/>
      <w:szCs w:val="20"/>
      <w:lang w:val="fr-FR" w:eastAsia="zh-CN"/>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4468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4468C"/>
    <w:pPr>
      <w:tabs>
        <w:tab w:val="left" w:pos="4321"/>
        <w:tab w:val="right" w:pos="8641"/>
      </w:tabs>
      <w:spacing w:before="60"/>
    </w:pPr>
    <w:rPr>
      <w:b/>
      <w:sz w:val="18"/>
      <w:lang w:val="en-GB"/>
    </w:rPr>
  </w:style>
  <w:style w:type="paragraph" w:customStyle="1" w:styleId="Footer-pool">
    <w:name w:val="Footer-pool"/>
    <w:basedOn w:val="Normal-pool"/>
    <w:next w:val="Normal-pool"/>
    <w:rsid w:val="0064468C"/>
    <w:pPr>
      <w:tabs>
        <w:tab w:val="right" w:pos="8641"/>
      </w:tabs>
      <w:spacing w:after="120"/>
    </w:pPr>
    <w:rPr>
      <w:b/>
      <w:sz w:val="18"/>
    </w:rPr>
  </w:style>
  <w:style w:type="table" w:customStyle="1" w:styleId="AATable">
    <w:name w:val="AA_Table"/>
    <w:basedOn w:val="TableNormal"/>
    <w:semiHidden/>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CH4">
    <w:name w:val="CH4"/>
    <w:basedOn w:val="Normal-pool"/>
    <w:next w:val="Normalnumber"/>
    <w:rsid w:val="0064468C"/>
    <w:pPr>
      <w:keepNext/>
      <w:keepLines/>
      <w:tabs>
        <w:tab w:val="clear" w:pos="624"/>
        <w:tab w:val="right" w:pos="851"/>
      </w:tabs>
      <w:suppressAutoHyphens/>
      <w:spacing w:before="120" w:after="120"/>
      <w:ind w:left="1247" w:right="284" w:hanging="1247"/>
    </w:pPr>
    <w:rPr>
      <w:b/>
    </w:rPr>
  </w:style>
  <w:style w:type="numbering" w:customStyle="1" w:styleId="Normallist">
    <w:name w:val="Normal_list"/>
    <w:basedOn w:val="NoList"/>
    <w:rsid w:val="0064468C"/>
    <w:pPr>
      <w:numPr>
        <w:numId w:val="7"/>
      </w:numPr>
    </w:pPr>
  </w:style>
  <w:style w:type="paragraph" w:customStyle="1" w:styleId="Titletable">
    <w:name w:val="Title_table"/>
    <w:basedOn w:val="Normal-pool"/>
    <w:next w:val="NormalNonumber"/>
    <w:rsid w:val="0064468C"/>
    <w:pPr>
      <w:keepNext/>
      <w:keepLines/>
      <w:suppressAutoHyphens/>
      <w:spacing w:after="60"/>
      <w:ind w:left="1247"/>
    </w:pPr>
    <w:rPr>
      <w:b/>
      <w:bCs/>
    </w:rPr>
  </w:style>
  <w:style w:type="paragraph" w:styleId="TOC1">
    <w:name w:val="toc 1"/>
    <w:basedOn w:val="Normal"/>
    <w:next w:val="Normal"/>
    <w:autoRedefine/>
    <w:uiPriority w:val="39"/>
    <w:unhideWhenUsed/>
    <w:rsid w:val="0064468C"/>
    <w:pPr>
      <w:tabs>
        <w:tab w:val="right" w:leader="dot" w:pos="9486"/>
      </w:tabs>
      <w:spacing w:before="240"/>
      <w:ind w:left="1984" w:hanging="737"/>
    </w:pPr>
    <w:rPr>
      <w:bCs/>
      <w:lang w:val="en-GB"/>
    </w:rPr>
  </w:style>
  <w:style w:type="paragraph" w:styleId="TOC2">
    <w:name w:val="toc 2"/>
    <w:basedOn w:val="Normal"/>
    <w:next w:val="Normal"/>
    <w:uiPriority w:val="39"/>
    <w:unhideWhenUsed/>
    <w:rsid w:val="0064468C"/>
    <w:pPr>
      <w:tabs>
        <w:tab w:val="right" w:leader="dot" w:pos="9486"/>
      </w:tabs>
      <w:spacing w:before="60"/>
      <w:ind w:left="2608" w:hanging="737"/>
    </w:pPr>
    <w:rPr>
      <w:lang w:val="en-GB"/>
    </w:rPr>
  </w:style>
  <w:style w:type="paragraph" w:styleId="TOC3">
    <w:name w:val="toc 3"/>
    <w:basedOn w:val="Normal"/>
    <w:next w:val="Normal"/>
    <w:uiPriority w:val="39"/>
    <w:unhideWhenUsed/>
    <w:rsid w:val="0064468C"/>
    <w:pPr>
      <w:tabs>
        <w:tab w:val="right" w:leader="dot" w:pos="9486"/>
      </w:tabs>
      <w:ind w:left="3232" w:hanging="737"/>
    </w:pPr>
    <w:rPr>
      <w:iCs/>
      <w:lang w:val="en-GB"/>
    </w:rPr>
  </w:style>
  <w:style w:type="paragraph" w:styleId="TOC4">
    <w:name w:val="toc 4"/>
    <w:basedOn w:val="Normal"/>
    <w:next w:val="Normal"/>
    <w:uiPriority w:val="39"/>
    <w:unhideWhenUsed/>
    <w:rsid w:val="0064468C"/>
    <w:pPr>
      <w:tabs>
        <w:tab w:val="left" w:pos="1000"/>
        <w:tab w:val="right" w:leader="dot" w:pos="9486"/>
      </w:tabs>
      <w:ind w:left="3856" w:hanging="737"/>
    </w:pPr>
    <w:rPr>
      <w:szCs w:val="18"/>
      <w:lang w:val="en-GB"/>
    </w:rPr>
  </w:style>
  <w:style w:type="paragraph" w:styleId="TOC5">
    <w:name w:val="toc 5"/>
    <w:basedOn w:val="Normal"/>
    <w:next w:val="Normal"/>
    <w:uiPriority w:val="39"/>
    <w:rsid w:val="0064468C"/>
    <w:pPr>
      <w:tabs>
        <w:tab w:val="right" w:leader="dot" w:pos="9486"/>
      </w:tabs>
      <w:ind w:left="4479" w:hanging="737"/>
    </w:pPr>
    <w:rPr>
      <w:sz w:val="18"/>
      <w:szCs w:val="18"/>
      <w:lang w:val="en-GB"/>
    </w:rPr>
  </w:style>
  <w:style w:type="paragraph" w:customStyle="1" w:styleId="ZZAnxheader">
    <w:name w:val="ZZ_Anx_header"/>
    <w:basedOn w:val="Normal-pool"/>
    <w:rsid w:val="0064468C"/>
    <w:rPr>
      <w:b/>
      <w:bCs/>
      <w:sz w:val="28"/>
      <w:szCs w:val="22"/>
    </w:rPr>
  </w:style>
  <w:style w:type="paragraph" w:customStyle="1" w:styleId="ZZAnxtitle">
    <w:name w:val="ZZ_Anx_title"/>
    <w:basedOn w:val="Normal-pool"/>
    <w:link w:val="ZZAnxtitleChar"/>
    <w:rsid w:val="0064468C"/>
    <w:pPr>
      <w:spacing w:before="360" w:after="120"/>
      <w:ind w:left="1247"/>
    </w:pPr>
    <w:rPr>
      <w:b/>
      <w:bCs/>
      <w:sz w:val="28"/>
      <w:szCs w:val="26"/>
    </w:rPr>
  </w:style>
  <w:style w:type="paragraph" w:styleId="NormalWeb">
    <w:name w:val="Normal (Web)"/>
    <w:basedOn w:val="Normal"/>
    <w:uiPriority w:val="99"/>
    <w:semiHidden/>
    <w:unhideWhenUsed/>
    <w:rsid w:val="0064468C"/>
    <w:pPr>
      <w:spacing w:before="100" w:beforeAutospacing="1" w:after="100" w:afterAutospacing="1"/>
    </w:pPr>
    <w:rPr>
      <w:rFonts w:eastAsiaTheme="minorEastAsia"/>
      <w:sz w:val="24"/>
      <w:szCs w:val="24"/>
      <w:lang w:val="en-GB"/>
    </w:rPr>
  </w:style>
  <w:style w:type="paragraph" w:customStyle="1" w:styleId="Normal-pool-Table">
    <w:name w:val="Normal-pool-Table"/>
    <w:basedOn w:val="Normal-pool"/>
    <w:rsid w:val="0064468C"/>
    <w:pPr>
      <w:spacing w:before="40" w:after="40"/>
    </w:pPr>
    <w:rPr>
      <w:sz w:val="18"/>
    </w:rPr>
  </w:style>
  <w:style w:type="paragraph" w:customStyle="1" w:styleId="ATwoLetters">
    <w:name w:val="A_TwoLetters"/>
    <w:basedOn w:val="Normal-pool"/>
    <w:next w:val="Normal-pool"/>
    <w:rsid w:val="0064468C"/>
    <w:pPr>
      <w:tabs>
        <w:tab w:val="clear" w:pos="1247"/>
      </w:tabs>
      <w:jc w:val="right"/>
    </w:pPr>
    <w:rPr>
      <w:rFonts w:ascii="Arial" w:hAnsi="Arial" w:cs="Arial"/>
      <w:b/>
      <w:sz w:val="64"/>
      <w:szCs w:val="64"/>
    </w:rPr>
  </w:style>
  <w:style w:type="paragraph" w:styleId="BalloonText">
    <w:name w:val="Balloon Text"/>
    <w:basedOn w:val="Normal"/>
    <w:link w:val="BalloonTextChar"/>
    <w:unhideWhenUsed/>
    <w:rsid w:val="0064468C"/>
    <w:rPr>
      <w:rFonts w:ascii="Tahoma" w:hAnsi="Tahoma" w:cs="Tahoma"/>
      <w:sz w:val="16"/>
      <w:szCs w:val="16"/>
      <w:lang w:val="en-GB"/>
    </w:rPr>
  </w:style>
  <w:style w:type="character" w:customStyle="1" w:styleId="BalloonTextChar">
    <w:name w:val="Balloon Text Char"/>
    <w:basedOn w:val="DefaultParagraphFont"/>
    <w:link w:val="BalloonText"/>
    <w:rsid w:val="0064468C"/>
    <w:rPr>
      <w:rFonts w:ascii="Tahoma" w:eastAsia="Times New Roman" w:hAnsi="Tahoma" w:cs="Tahoma"/>
      <w:kern w:val="0"/>
      <w:sz w:val="16"/>
      <w:szCs w:val="16"/>
      <w:lang w:val="en-GB"/>
      <w14:ligatures w14:val="none"/>
    </w:rPr>
  </w:style>
  <w:style w:type="character" w:styleId="FollowedHyperlink">
    <w:name w:val="FollowedHyperlink"/>
    <w:uiPriority w:val="99"/>
    <w:semiHidden/>
    <w:rsid w:val="0064468C"/>
    <w:rPr>
      <w:color w:val="0000FF"/>
      <w:u w:val="none"/>
      <w:lang w:val="en-GB"/>
    </w:rPr>
  </w:style>
  <w:style w:type="paragraph" w:styleId="NoSpacing">
    <w:name w:val="No Spacing"/>
    <w:uiPriority w:val="1"/>
    <w:qFormat/>
    <w:rsid w:val="0064468C"/>
    <w:pPr>
      <w:spacing w:after="0" w:line="240" w:lineRule="auto"/>
    </w:pPr>
    <w:rPr>
      <w:kern w:val="0"/>
      <w:sz w:val="22"/>
      <w:szCs w:val="22"/>
      <w:lang w:val="en-GB"/>
      <w14:ligatures w14:val="none"/>
    </w:rPr>
  </w:style>
  <w:style w:type="character" w:styleId="PlaceholderText">
    <w:name w:val="Placeholder Text"/>
    <w:basedOn w:val="DefaultParagraphFont"/>
    <w:uiPriority w:val="99"/>
    <w:semiHidden/>
    <w:rsid w:val="0064468C"/>
    <w:rPr>
      <w:color w:val="808080"/>
      <w:lang w:val="en-GB"/>
    </w:rPr>
  </w:style>
  <w:style w:type="table" w:styleId="TableGrid">
    <w:name w:val="Table Grid"/>
    <w:basedOn w:val="TableNormal"/>
    <w:rsid w:val="0064468C"/>
    <w:pPr>
      <w:spacing w:after="0" w:line="240" w:lineRule="auto"/>
    </w:pPr>
    <w:rPr>
      <w:rFonts w:ascii="Times New Roman" w:eastAsia="SimSun" w:hAnsi="Times New Roman" w:cs="Times New Roman"/>
      <w:kern w:val="0"/>
      <w:sz w:val="20"/>
      <w:szCs w:val="20"/>
      <w:lang w:val="fr-FR"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4468C"/>
    <w:pPr>
      <w:spacing w:before="120" w:after="240"/>
    </w:pPr>
  </w:style>
  <w:style w:type="character" w:customStyle="1" w:styleId="ALogoChar">
    <w:name w:val="A_Logo Char"/>
    <w:basedOn w:val="DefaultParagraphFont"/>
    <w:link w:val="ALogo"/>
    <w:rsid w:val="0064468C"/>
    <w:rPr>
      <w:rFonts w:ascii="Times New Roman" w:eastAsia="Times New Roman" w:hAnsi="Times New Roman" w:cs="Times New Roman"/>
      <w:kern w:val="0"/>
      <w:sz w:val="20"/>
      <w:szCs w:val="20"/>
      <w:lang w:val="en-GB"/>
      <w14:ligatures w14:val="none"/>
    </w:rPr>
  </w:style>
  <w:style w:type="paragraph" w:customStyle="1" w:styleId="ANormal">
    <w:name w:val="A_Normal"/>
    <w:basedOn w:val="Normal-pool"/>
    <w:rsid w:val="0064468C"/>
  </w:style>
  <w:style w:type="character" w:customStyle="1" w:styleId="FooterChar1">
    <w:name w:val="Footer Char1"/>
    <w:basedOn w:val="DefaultParagraphFont"/>
    <w:rsid w:val="0064468C"/>
    <w:rPr>
      <w:rFonts w:eastAsia="Times New Roman"/>
      <w:b/>
      <w:sz w:val="18"/>
      <w:lang w:val="en-GB" w:eastAsia="en-US"/>
    </w:rPr>
  </w:style>
  <w:style w:type="paragraph" w:customStyle="1" w:styleId="Footnote-Separator">
    <w:name w:val="Footnote-Separator"/>
    <w:basedOn w:val="Normal-pool"/>
    <w:next w:val="Normal"/>
    <w:unhideWhenUsed/>
    <w:rsid w:val="0064468C"/>
    <w:pPr>
      <w:spacing w:before="60"/>
      <w:ind w:left="624"/>
    </w:pPr>
    <w:rPr>
      <w:rFonts w:eastAsiaTheme="minorEastAsia"/>
      <w:sz w:val="18"/>
    </w:rPr>
  </w:style>
  <w:style w:type="paragraph" w:styleId="Bibliography">
    <w:name w:val="Bibliography"/>
    <w:basedOn w:val="Normal"/>
    <w:next w:val="Normal"/>
    <w:uiPriority w:val="37"/>
    <w:semiHidden/>
    <w:rsid w:val="0064468C"/>
    <w:rPr>
      <w:lang w:val="en-GB"/>
    </w:rPr>
  </w:style>
  <w:style w:type="paragraph" w:styleId="BlockText">
    <w:name w:val="Block Text"/>
    <w:basedOn w:val="Normal"/>
    <w:semiHidden/>
    <w:unhideWhenUsed/>
    <w:rsid w:val="0064468C"/>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lang w:val="en-GB"/>
    </w:rPr>
  </w:style>
  <w:style w:type="paragraph" w:styleId="BodyText">
    <w:name w:val="Body Text"/>
    <w:basedOn w:val="Normal"/>
    <w:link w:val="BodyTextChar"/>
    <w:semiHidden/>
    <w:unhideWhenUsed/>
    <w:rsid w:val="0064468C"/>
    <w:pPr>
      <w:spacing w:after="120"/>
    </w:pPr>
    <w:rPr>
      <w:lang w:val="en-GB"/>
    </w:rPr>
  </w:style>
  <w:style w:type="character" w:customStyle="1" w:styleId="BodyTextChar">
    <w:name w:val="Body Text Char"/>
    <w:basedOn w:val="DefaultParagraphFont"/>
    <w:link w:val="BodyText"/>
    <w:semiHidden/>
    <w:rsid w:val="0064468C"/>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semiHidden/>
    <w:unhideWhenUsed/>
    <w:rsid w:val="0064468C"/>
    <w:pPr>
      <w:spacing w:after="120" w:line="480" w:lineRule="auto"/>
    </w:pPr>
    <w:rPr>
      <w:lang w:val="en-GB"/>
    </w:rPr>
  </w:style>
  <w:style w:type="character" w:customStyle="1" w:styleId="BodyText2Char">
    <w:name w:val="Body Text 2 Char"/>
    <w:basedOn w:val="DefaultParagraphFont"/>
    <w:link w:val="BodyText2"/>
    <w:semiHidden/>
    <w:rsid w:val="0064468C"/>
    <w:rPr>
      <w:rFonts w:ascii="Times New Roman" w:eastAsia="Times New Roman" w:hAnsi="Times New Roman" w:cs="Times New Roman"/>
      <w:kern w:val="0"/>
      <w:sz w:val="20"/>
      <w:szCs w:val="20"/>
      <w:lang w:val="en-GB"/>
      <w14:ligatures w14:val="none"/>
    </w:rPr>
  </w:style>
  <w:style w:type="paragraph" w:styleId="BodyText3">
    <w:name w:val="Body Text 3"/>
    <w:basedOn w:val="Normal"/>
    <w:link w:val="BodyText3Char"/>
    <w:semiHidden/>
    <w:unhideWhenUsed/>
    <w:rsid w:val="0064468C"/>
    <w:pPr>
      <w:spacing w:after="120"/>
    </w:pPr>
    <w:rPr>
      <w:sz w:val="16"/>
      <w:szCs w:val="16"/>
      <w:lang w:val="en-GB"/>
    </w:rPr>
  </w:style>
  <w:style w:type="character" w:customStyle="1" w:styleId="BodyText3Char">
    <w:name w:val="Body Text 3 Char"/>
    <w:basedOn w:val="DefaultParagraphFont"/>
    <w:link w:val="BodyText3"/>
    <w:semiHidden/>
    <w:rsid w:val="0064468C"/>
    <w:rPr>
      <w:rFonts w:ascii="Times New Roman" w:eastAsia="Times New Roman" w:hAnsi="Times New Roman" w:cs="Times New Roman"/>
      <w:kern w:val="0"/>
      <w:sz w:val="16"/>
      <w:szCs w:val="16"/>
      <w:lang w:val="en-GB"/>
      <w14:ligatures w14:val="none"/>
    </w:rPr>
  </w:style>
  <w:style w:type="paragraph" w:styleId="BodyTextFirstIndent">
    <w:name w:val="Body Text First Indent"/>
    <w:basedOn w:val="BodyText"/>
    <w:link w:val="BodyTextFirstIndentChar"/>
    <w:semiHidden/>
    <w:unhideWhenUsed/>
    <w:rsid w:val="0064468C"/>
    <w:pPr>
      <w:spacing w:after="0"/>
      <w:ind w:firstLine="360"/>
    </w:pPr>
  </w:style>
  <w:style w:type="character" w:customStyle="1" w:styleId="BodyTextFirstIndentChar">
    <w:name w:val="Body Text First Indent Char"/>
    <w:basedOn w:val="BodyTextChar"/>
    <w:link w:val="BodyTextFirstIndent"/>
    <w:semiHidden/>
    <w:rsid w:val="0064468C"/>
    <w:rPr>
      <w:rFonts w:ascii="Times New Roman" w:eastAsia="Times New Roman" w:hAnsi="Times New Roman" w:cs="Times New Roman"/>
      <w:kern w:val="0"/>
      <w:sz w:val="20"/>
      <w:szCs w:val="20"/>
      <w:lang w:val="en-GB"/>
      <w14:ligatures w14:val="none"/>
    </w:rPr>
  </w:style>
  <w:style w:type="paragraph" w:styleId="BodyTextIndent">
    <w:name w:val="Body Text Indent"/>
    <w:basedOn w:val="Normal"/>
    <w:link w:val="BodyTextIndentChar"/>
    <w:semiHidden/>
    <w:unhideWhenUsed/>
    <w:rsid w:val="0064468C"/>
    <w:pPr>
      <w:spacing w:after="120"/>
      <w:ind w:left="283"/>
    </w:pPr>
    <w:rPr>
      <w:lang w:val="en-GB"/>
    </w:rPr>
  </w:style>
  <w:style w:type="character" w:customStyle="1" w:styleId="BodyTextIndentChar">
    <w:name w:val="Body Text Indent Char"/>
    <w:basedOn w:val="DefaultParagraphFont"/>
    <w:link w:val="BodyTextIndent"/>
    <w:semiHidden/>
    <w:rsid w:val="0064468C"/>
    <w:rPr>
      <w:rFonts w:ascii="Times New Roman" w:eastAsia="Times New Roman" w:hAnsi="Times New Roman" w:cs="Times New Roman"/>
      <w:kern w:val="0"/>
      <w:sz w:val="20"/>
      <w:szCs w:val="20"/>
      <w:lang w:val="en-GB"/>
      <w14:ligatures w14:val="none"/>
    </w:rPr>
  </w:style>
  <w:style w:type="paragraph" w:styleId="BodyTextFirstIndent2">
    <w:name w:val="Body Text First Indent 2"/>
    <w:basedOn w:val="BodyTextIndent"/>
    <w:link w:val="BodyTextFirstIndent2Char"/>
    <w:semiHidden/>
    <w:unhideWhenUsed/>
    <w:rsid w:val="0064468C"/>
    <w:pPr>
      <w:spacing w:after="0"/>
      <w:ind w:left="360" w:firstLine="360"/>
    </w:pPr>
  </w:style>
  <w:style w:type="character" w:customStyle="1" w:styleId="BodyTextFirstIndent2Char">
    <w:name w:val="Body Text First Indent 2 Char"/>
    <w:basedOn w:val="BodyTextIndentChar"/>
    <w:link w:val="BodyTextFirstIndent2"/>
    <w:semiHidden/>
    <w:rsid w:val="0064468C"/>
    <w:rPr>
      <w:rFonts w:ascii="Times New Roman" w:eastAsia="Times New Roman" w:hAnsi="Times New Roman" w:cs="Times New Roman"/>
      <w:kern w:val="0"/>
      <w:sz w:val="20"/>
      <w:szCs w:val="20"/>
      <w:lang w:val="en-GB"/>
      <w14:ligatures w14:val="none"/>
    </w:rPr>
  </w:style>
  <w:style w:type="paragraph" w:styleId="BodyTextIndent2">
    <w:name w:val="Body Text Indent 2"/>
    <w:basedOn w:val="Normal"/>
    <w:link w:val="BodyTextIndent2Char"/>
    <w:semiHidden/>
    <w:unhideWhenUsed/>
    <w:rsid w:val="0064468C"/>
    <w:pPr>
      <w:spacing w:after="120" w:line="480" w:lineRule="auto"/>
      <w:ind w:left="283"/>
    </w:pPr>
    <w:rPr>
      <w:lang w:val="en-GB"/>
    </w:rPr>
  </w:style>
  <w:style w:type="character" w:customStyle="1" w:styleId="BodyTextIndent2Char">
    <w:name w:val="Body Text Indent 2 Char"/>
    <w:basedOn w:val="DefaultParagraphFont"/>
    <w:link w:val="BodyTextIndent2"/>
    <w:semiHidden/>
    <w:rsid w:val="0064468C"/>
    <w:rPr>
      <w:rFonts w:ascii="Times New Roman" w:eastAsia="Times New Roman" w:hAnsi="Times New Roman" w:cs="Times New Roman"/>
      <w:kern w:val="0"/>
      <w:sz w:val="20"/>
      <w:szCs w:val="20"/>
      <w:lang w:val="en-GB"/>
      <w14:ligatures w14:val="none"/>
    </w:rPr>
  </w:style>
  <w:style w:type="paragraph" w:styleId="BodyTextIndent3">
    <w:name w:val="Body Text Indent 3"/>
    <w:basedOn w:val="Normal"/>
    <w:link w:val="BodyTextIndent3Char"/>
    <w:semiHidden/>
    <w:unhideWhenUsed/>
    <w:rsid w:val="0064468C"/>
    <w:pPr>
      <w:spacing w:after="120"/>
      <w:ind w:left="283"/>
    </w:pPr>
    <w:rPr>
      <w:sz w:val="16"/>
      <w:szCs w:val="16"/>
      <w:lang w:val="en-GB"/>
    </w:rPr>
  </w:style>
  <w:style w:type="character" w:customStyle="1" w:styleId="BodyTextIndent3Char">
    <w:name w:val="Body Text Indent 3 Char"/>
    <w:basedOn w:val="DefaultParagraphFont"/>
    <w:link w:val="BodyTextIndent3"/>
    <w:semiHidden/>
    <w:rsid w:val="0064468C"/>
    <w:rPr>
      <w:rFonts w:ascii="Times New Roman" w:eastAsia="Times New Roman" w:hAnsi="Times New Roman" w:cs="Times New Roman"/>
      <w:kern w:val="0"/>
      <w:sz w:val="16"/>
      <w:szCs w:val="16"/>
      <w:lang w:val="en-GB"/>
      <w14:ligatures w14:val="none"/>
    </w:rPr>
  </w:style>
  <w:style w:type="character" w:styleId="BookTitle">
    <w:name w:val="Book Title"/>
    <w:basedOn w:val="DefaultParagraphFont"/>
    <w:uiPriority w:val="33"/>
    <w:qFormat/>
    <w:rsid w:val="0064468C"/>
    <w:rPr>
      <w:b/>
      <w:bCs/>
      <w:i/>
      <w:iCs/>
      <w:spacing w:val="5"/>
      <w:lang w:val="en-GB"/>
    </w:rPr>
  </w:style>
  <w:style w:type="paragraph" w:styleId="Caption">
    <w:name w:val="caption"/>
    <w:basedOn w:val="Normal"/>
    <w:next w:val="Normal"/>
    <w:semiHidden/>
    <w:unhideWhenUsed/>
    <w:qFormat/>
    <w:rsid w:val="0064468C"/>
    <w:pPr>
      <w:spacing w:after="200"/>
    </w:pPr>
    <w:rPr>
      <w:i/>
      <w:iCs/>
      <w:color w:val="0E2841" w:themeColor="text2"/>
      <w:sz w:val="18"/>
      <w:szCs w:val="18"/>
      <w:lang w:val="en-GB"/>
    </w:rPr>
  </w:style>
  <w:style w:type="paragraph" w:styleId="Closing">
    <w:name w:val="Closing"/>
    <w:basedOn w:val="Normal"/>
    <w:link w:val="ClosingChar"/>
    <w:semiHidden/>
    <w:unhideWhenUsed/>
    <w:rsid w:val="0064468C"/>
    <w:pPr>
      <w:ind w:left="4252"/>
    </w:pPr>
    <w:rPr>
      <w:lang w:val="en-GB"/>
    </w:rPr>
  </w:style>
  <w:style w:type="character" w:customStyle="1" w:styleId="ClosingChar">
    <w:name w:val="Closing Char"/>
    <w:basedOn w:val="DefaultParagraphFont"/>
    <w:link w:val="Closing"/>
    <w:semiHidden/>
    <w:rsid w:val="0064468C"/>
    <w:rPr>
      <w:rFonts w:ascii="Times New Roman" w:eastAsia="Times New Roman" w:hAnsi="Times New Roman" w:cs="Times New Roman"/>
      <w:kern w:val="0"/>
      <w:sz w:val="20"/>
      <w:szCs w:val="20"/>
      <w:lang w:val="en-GB"/>
      <w14:ligatures w14:val="none"/>
    </w:rPr>
  </w:style>
  <w:style w:type="table" w:styleId="ColorfulGrid">
    <w:name w:val="Colorful Grid"/>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semiHidden/>
    <w:unhideWhenUsed/>
    <w:rsid w:val="0064468C"/>
    <w:rPr>
      <w:lang w:val="en-GB"/>
    </w:rPr>
  </w:style>
  <w:style w:type="character" w:customStyle="1" w:styleId="DateChar">
    <w:name w:val="Date Char"/>
    <w:basedOn w:val="DefaultParagraphFont"/>
    <w:link w:val="Date"/>
    <w:semiHidden/>
    <w:rsid w:val="0064468C"/>
    <w:rPr>
      <w:rFonts w:ascii="Times New Roman" w:eastAsia="Times New Roman" w:hAnsi="Times New Roman" w:cs="Times New Roman"/>
      <w:kern w:val="0"/>
      <w:sz w:val="20"/>
      <w:szCs w:val="20"/>
      <w:lang w:val="en-GB"/>
      <w14:ligatures w14:val="none"/>
    </w:rPr>
  </w:style>
  <w:style w:type="paragraph" w:styleId="DocumentMap">
    <w:name w:val="Document Map"/>
    <w:basedOn w:val="Normal"/>
    <w:link w:val="DocumentMapChar"/>
    <w:semiHidden/>
    <w:unhideWhenUsed/>
    <w:rsid w:val="0064468C"/>
    <w:rPr>
      <w:rFonts w:ascii="Segoe UI" w:hAnsi="Segoe UI" w:cs="Segoe UI"/>
      <w:sz w:val="16"/>
      <w:szCs w:val="16"/>
      <w:lang w:val="en-GB"/>
    </w:rPr>
  </w:style>
  <w:style w:type="character" w:customStyle="1" w:styleId="DocumentMapChar">
    <w:name w:val="Document Map Char"/>
    <w:basedOn w:val="DefaultParagraphFont"/>
    <w:link w:val="DocumentMap"/>
    <w:semiHidden/>
    <w:rsid w:val="0064468C"/>
    <w:rPr>
      <w:rFonts w:ascii="Segoe UI" w:eastAsia="Times New Roman" w:hAnsi="Segoe UI" w:cs="Segoe UI"/>
      <w:kern w:val="0"/>
      <w:sz w:val="16"/>
      <w:szCs w:val="16"/>
      <w:lang w:val="en-GB"/>
      <w14:ligatures w14:val="none"/>
    </w:rPr>
  </w:style>
  <w:style w:type="paragraph" w:styleId="E-mailSignature">
    <w:name w:val="E-mail Signature"/>
    <w:basedOn w:val="Normal"/>
    <w:link w:val="E-mailSignatureChar"/>
    <w:semiHidden/>
    <w:unhideWhenUsed/>
    <w:rsid w:val="0064468C"/>
    <w:rPr>
      <w:lang w:val="en-GB"/>
    </w:rPr>
  </w:style>
  <w:style w:type="character" w:customStyle="1" w:styleId="E-mailSignatureChar">
    <w:name w:val="E-mail Signature Char"/>
    <w:basedOn w:val="DefaultParagraphFont"/>
    <w:link w:val="E-mailSignature"/>
    <w:semiHidden/>
    <w:rsid w:val="0064468C"/>
    <w:rPr>
      <w:rFonts w:ascii="Times New Roman" w:eastAsia="Times New Roman" w:hAnsi="Times New Roman" w:cs="Times New Roman"/>
      <w:kern w:val="0"/>
      <w:sz w:val="20"/>
      <w:szCs w:val="20"/>
      <w:lang w:val="en-GB"/>
      <w14:ligatures w14:val="none"/>
    </w:rPr>
  </w:style>
  <w:style w:type="character" w:styleId="Emphasis">
    <w:name w:val="Emphasis"/>
    <w:basedOn w:val="DefaultParagraphFont"/>
    <w:qFormat/>
    <w:rsid w:val="0064468C"/>
    <w:rPr>
      <w:i/>
      <w:iCs/>
      <w:lang w:val="en-GB"/>
    </w:rPr>
  </w:style>
  <w:style w:type="character" w:styleId="EndnoteReference">
    <w:name w:val="endnote reference"/>
    <w:basedOn w:val="DefaultParagraphFont"/>
    <w:semiHidden/>
    <w:unhideWhenUsed/>
    <w:rsid w:val="0064468C"/>
    <w:rPr>
      <w:vertAlign w:val="superscript"/>
      <w:lang w:val="en-GB"/>
    </w:rPr>
  </w:style>
  <w:style w:type="paragraph" w:styleId="EndnoteText">
    <w:name w:val="endnote text"/>
    <w:basedOn w:val="Normal"/>
    <w:link w:val="EndnoteTextChar"/>
    <w:semiHidden/>
    <w:unhideWhenUsed/>
    <w:rsid w:val="0064468C"/>
    <w:rPr>
      <w:lang w:val="en-GB"/>
    </w:rPr>
  </w:style>
  <w:style w:type="character" w:customStyle="1" w:styleId="EndnoteTextChar">
    <w:name w:val="Endnote Text Char"/>
    <w:basedOn w:val="DefaultParagraphFont"/>
    <w:link w:val="EndnoteText"/>
    <w:semiHidden/>
    <w:rsid w:val="0064468C"/>
    <w:rPr>
      <w:rFonts w:ascii="Times New Roman" w:eastAsia="Times New Roman" w:hAnsi="Times New Roman" w:cs="Times New Roman"/>
      <w:kern w:val="0"/>
      <w:sz w:val="20"/>
      <w:szCs w:val="20"/>
      <w:lang w:val="en-GB"/>
      <w14:ligatures w14:val="none"/>
    </w:rPr>
  </w:style>
  <w:style w:type="paragraph" w:styleId="EnvelopeAddress">
    <w:name w:val="envelope address"/>
    <w:basedOn w:val="Normal"/>
    <w:semiHidden/>
    <w:unhideWhenUsed/>
    <w:rsid w:val="0064468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semiHidden/>
    <w:unhideWhenUsed/>
    <w:rsid w:val="0064468C"/>
    <w:rPr>
      <w:rFonts w:asciiTheme="majorHAnsi" w:eastAsiaTheme="majorEastAsia" w:hAnsiTheme="majorHAnsi" w:cstheme="majorBidi"/>
      <w:lang w:val="en-GB"/>
    </w:rPr>
  </w:style>
  <w:style w:type="paragraph" w:styleId="FootnoteText">
    <w:name w:val="footnote text"/>
    <w:basedOn w:val="Normal"/>
    <w:link w:val="FootnoteTextChar"/>
    <w:uiPriority w:val="99"/>
    <w:semiHidden/>
    <w:unhideWhenUsed/>
    <w:rsid w:val="0064468C"/>
    <w:rPr>
      <w:lang w:val="en-GB"/>
    </w:rPr>
  </w:style>
  <w:style w:type="character" w:customStyle="1" w:styleId="FootnoteTextChar">
    <w:name w:val="Footnote Text Char"/>
    <w:basedOn w:val="DefaultParagraphFont"/>
    <w:link w:val="FootnoteText"/>
    <w:uiPriority w:val="99"/>
    <w:semiHidden/>
    <w:rsid w:val="0064468C"/>
    <w:rPr>
      <w:rFonts w:ascii="Times New Roman" w:eastAsia="Times New Roman" w:hAnsi="Times New Roman" w:cs="Times New Roman"/>
      <w:kern w:val="0"/>
      <w:sz w:val="20"/>
      <w:szCs w:val="20"/>
      <w:lang w:val="en-GB"/>
      <w14:ligatures w14:val="none"/>
    </w:rPr>
  </w:style>
  <w:style w:type="table" w:styleId="GridTable1Light">
    <w:name w:val="Grid Table 1 Light"/>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468C"/>
    <w:pPr>
      <w:spacing w:after="0" w:line="240" w:lineRule="auto"/>
    </w:pPr>
    <w:rPr>
      <w:rFonts w:ascii="Times New Roman" w:eastAsia="SimSun" w:hAnsi="Times New Roman" w:cs="Times New Roman"/>
      <w:color w:val="0F4761" w:themeColor="accent1" w:themeShade="BF"/>
      <w:kern w:val="0"/>
      <w:sz w:val="20"/>
      <w:szCs w:val="20"/>
      <w:lang w:val="fr-FR" w:eastAsia="zh-CN"/>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4468C"/>
    <w:pPr>
      <w:spacing w:after="0" w:line="240" w:lineRule="auto"/>
    </w:pPr>
    <w:rPr>
      <w:rFonts w:ascii="Times New Roman" w:eastAsia="SimSun" w:hAnsi="Times New Roman" w:cs="Times New Roman"/>
      <w:color w:val="BF4E14" w:themeColor="accent2" w:themeShade="BF"/>
      <w:kern w:val="0"/>
      <w:sz w:val="20"/>
      <w:szCs w:val="20"/>
      <w:lang w:val="fr-FR" w:eastAsia="zh-CN"/>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4468C"/>
    <w:pPr>
      <w:spacing w:after="0" w:line="240" w:lineRule="auto"/>
    </w:pPr>
    <w:rPr>
      <w:rFonts w:ascii="Times New Roman" w:eastAsia="SimSun" w:hAnsi="Times New Roman" w:cs="Times New Roman"/>
      <w:color w:val="124F1A" w:themeColor="accent3" w:themeShade="BF"/>
      <w:kern w:val="0"/>
      <w:sz w:val="20"/>
      <w:szCs w:val="20"/>
      <w:lang w:val="fr-FR" w:eastAsia="zh-CN"/>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4468C"/>
    <w:pPr>
      <w:spacing w:after="0" w:line="240" w:lineRule="auto"/>
    </w:pPr>
    <w:rPr>
      <w:rFonts w:ascii="Times New Roman" w:eastAsia="SimSun" w:hAnsi="Times New Roman" w:cs="Times New Roman"/>
      <w:color w:val="0B769F" w:themeColor="accent4" w:themeShade="BF"/>
      <w:kern w:val="0"/>
      <w:sz w:val="20"/>
      <w:szCs w:val="20"/>
      <w:lang w:val="fr-FR" w:eastAsia="zh-CN"/>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4468C"/>
    <w:pPr>
      <w:spacing w:after="0" w:line="240" w:lineRule="auto"/>
    </w:pPr>
    <w:rPr>
      <w:rFonts w:ascii="Times New Roman" w:eastAsia="SimSun" w:hAnsi="Times New Roman" w:cs="Times New Roman"/>
      <w:color w:val="77206D" w:themeColor="accent5" w:themeShade="BF"/>
      <w:kern w:val="0"/>
      <w:sz w:val="20"/>
      <w:szCs w:val="20"/>
      <w:lang w:val="fr-FR" w:eastAsia="zh-CN"/>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4468C"/>
    <w:pPr>
      <w:spacing w:after="0" w:line="240" w:lineRule="auto"/>
    </w:pPr>
    <w:rPr>
      <w:rFonts w:ascii="Times New Roman" w:eastAsia="SimSun" w:hAnsi="Times New Roman" w:cs="Times New Roman"/>
      <w:color w:val="3A7C22" w:themeColor="accent6" w:themeShade="BF"/>
      <w:kern w:val="0"/>
      <w:sz w:val="20"/>
      <w:szCs w:val="20"/>
      <w:lang w:val="fr-FR" w:eastAsia="zh-CN"/>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468C"/>
    <w:pPr>
      <w:spacing w:after="0" w:line="240" w:lineRule="auto"/>
    </w:pPr>
    <w:rPr>
      <w:rFonts w:ascii="Times New Roman" w:eastAsia="SimSun" w:hAnsi="Times New Roman" w:cs="Times New Roman"/>
      <w:color w:val="0F4761" w:themeColor="accent1" w:themeShade="BF"/>
      <w:kern w:val="0"/>
      <w:sz w:val="20"/>
      <w:szCs w:val="20"/>
      <w:lang w:val="fr-FR" w:eastAsia="zh-CN"/>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4468C"/>
    <w:pPr>
      <w:spacing w:after="0" w:line="240" w:lineRule="auto"/>
    </w:pPr>
    <w:rPr>
      <w:rFonts w:ascii="Times New Roman" w:eastAsia="SimSun" w:hAnsi="Times New Roman" w:cs="Times New Roman"/>
      <w:color w:val="BF4E14" w:themeColor="accent2" w:themeShade="BF"/>
      <w:kern w:val="0"/>
      <w:sz w:val="20"/>
      <w:szCs w:val="20"/>
      <w:lang w:val="fr-FR" w:eastAsia="zh-CN"/>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4468C"/>
    <w:pPr>
      <w:spacing w:after="0" w:line="240" w:lineRule="auto"/>
    </w:pPr>
    <w:rPr>
      <w:rFonts w:ascii="Times New Roman" w:eastAsia="SimSun" w:hAnsi="Times New Roman" w:cs="Times New Roman"/>
      <w:color w:val="124F1A" w:themeColor="accent3" w:themeShade="BF"/>
      <w:kern w:val="0"/>
      <w:sz w:val="20"/>
      <w:szCs w:val="20"/>
      <w:lang w:val="fr-FR" w:eastAsia="zh-CN"/>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4468C"/>
    <w:pPr>
      <w:spacing w:after="0" w:line="240" w:lineRule="auto"/>
    </w:pPr>
    <w:rPr>
      <w:rFonts w:ascii="Times New Roman" w:eastAsia="SimSun" w:hAnsi="Times New Roman" w:cs="Times New Roman"/>
      <w:color w:val="0B769F" w:themeColor="accent4" w:themeShade="BF"/>
      <w:kern w:val="0"/>
      <w:sz w:val="20"/>
      <w:szCs w:val="20"/>
      <w:lang w:val="fr-FR" w:eastAsia="zh-CN"/>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4468C"/>
    <w:pPr>
      <w:spacing w:after="0" w:line="240" w:lineRule="auto"/>
    </w:pPr>
    <w:rPr>
      <w:rFonts w:ascii="Times New Roman" w:eastAsia="SimSun" w:hAnsi="Times New Roman" w:cs="Times New Roman"/>
      <w:color w:val="77206D" w:themeColor="accent5" w:themeShade="BF"/>
      <w:kern w:val="0"/>
      <w:sz w:val="20"/>
      <w:szCs w:val="20"/>
      <w:lang w:val="fr-FR" w:eastAsia="zh-CN"/>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4468C"/>
    <w:pPr>
      <w:spacing w:after="0" w:line="240" w:lineRule="auto"/>
    </w:pPr>
    <w:rPr>
      <w:rFonts w:ascii="Times New Roman" w:eastAsia="SimSun" w:hAnsi="Times New Roman" w:cs="Times New Roman"/>
      <w:color w:val="3A7C22" w:themeColor="accent6" w:themeShade="BF"/>
      <w:kern w:val="0"/>
      <w:sz w:val="20"/>
      <w:szCs w:val="20"/>
      <w:lang w:val="fr-FR" w:eastAsia="zh-CN"/>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rsid w:val="0064468C"/>
    <w:rPr>
      <w:color w:val="2B579A"/>
      <w:shd w:val="clear" w:color="auto" w:fill="E1DFDD"/>
      <w:lang w:val="en-GB"/>
    </w:rPr>
  </w:style>
  <w:style w:type="character" w:styleId="HTMLAcronym">
    <w:name w:val="HTML Acronym"/>
    <w:basedOn w:val="DefaultParagraphFont"/>
    <w:semiHidden/>
    <w:unhideWhenUsed/>
    <w:rsid w:val="0064468C"/>
    <w:rPr>
      <w:lang w:val="en-GB"/>
    </w:rPr>
  </w:style>
  <w:style w:type="paragraph" w:styleId="HTMLAddress">
    <w:name w:val="HTML Address"/>
    <w:basedOn w:val="Normal"/>
    <w:link w:val="HTMLAddressChar"/>
    <w:semiHidden/>
    <w:unhideWhenUsed/>
    <w:rsid w:val="0064468C"/>
    <w:rPr>
      <w:i/>
      <w:iCs/>
      <w:lang w:val="en-GB"/>
    </w:rPr>
  </w:style>
  <w:style w:type="character" w:customStyle="1" w:styleId="HTMLAddressChar">
    <w:name w:val="HTML Address Char"/>
    <w:basedOn w:val="DefaultParagraphFont"/>
    <w:link w:val="HTMLAddress"/>
    <w:semiHidden/>
    <w:rsid w:val="0064468C"/>
    <w:rPr>
      <w:rFonts w:ascii="Times New Roman" w:eastAsia="Times New Roman" w:hAnsi="Times New Roman" w:cs="Times New Roman"/>
      <w:i/>
      <w:iCs/>
      <w:kern w:val="0"/>
      <w:sz w:val="20"/>
      <w:szCs w:val="20"/>
      <w:lang w:val="en-GB"/>
      <w14:ligatures w14:val="none"/>
    </w:rPr>
  </w:style>
  <w:style w:type="character" w:styleId="HTMLCite">
    <w:name w:val="HTML Cite"/>
    <w:basedOn w:val="DefaultParagraphFont"/>
    <w:semiHidden/>
    <w:unhideWhenUsed/>
    <w:rsid w:val="0064468C"/>
    <w:rPr>
      <w:i/>
      <w:iCs/>
      <w:lang w:val="en-GB"/>
    </w:rPr>
  </w:style>
  <w:style w:type="character" w:styleId="HTMLCode">
    <w:name w:val="HTML Code"/>
    <w:basedOn w:val="DefaultParagraphFont"/>
    <w:semiHidden/>
    <w:unhideWhenUsed/>
    <w:rsid w:val="0064468C"/>
    <w:rPr>
      <w:rFonts w:ascii="Consolas" w:hAnsi="Consolas"/>
      <w:sz w:val="20"/>
      <w:szCs w:val="20"/>
      <w:lang w:val="en-GB"/>
    </w:rPr>
  </w:style>
  <w:style w:type="character" w:styleId="HTMLDefinition">
    <w:name w:val="HTML Definition"/>
    <w:basedOn w:val="DefaultParagraphFont"/>
    <w:semiHidden/>
    <w:unhideWhenUsed/>
    <w:rsid w:val="0064468C"/>
    <w:rPr>
      <w:i/>
      <w:iCs/>
      <w:lang w:val="en-GB"/>
    </w:rPr>
  </w:style>
  <w:style w:type="character" w:styleId="HTMLKeyboard">
    <w:name w:val="HTML Keyboard"/>
    <w:basedOn w:val="DefaultParagraphFont"/>
    <w:semiHidden/>
    <w:unhideWhenUsed/>
    <w:rsid w:val="0064468C"/>
    <w:rPr>
      <w:rFonts w:ascii="Consolas" w:hAnsi="Consolas"/>
      <w:sz w:val="20"/>
      <w:szCs w:val="20"/>
      <w:lang w:val="en-GB"/>
    </w:rPr>
  </w:style>
  <w:style w:type="paragraph" w:styleId="HTMLPreformatted">
    <w:name w:val="HTML Preformatted"/>
    <w:basedOn w:val="Normal"/>
    <w:link w:val="HTMLPreformattedChar"/>
    <w:semiHidden/>
    <w:unhideWhenUsed/>
    <w:rsid w:val="0064468C"/>
    <w:rPr>
      <w:rFonts w:ascii="Consolas" w:hAnsi="Consolas"/>
      <w:lang w:val="en-GB"/>
    </w:rPr>
  </w:style>
  <w:style w:type="character" w:customStyle="1" w:styleId="HTMLPreformattedChar">
    <w:name w:val="HTML Preformatted Char"/>
    <w:basedOn w:val="DefaultParagraphFont"/>
    <w:link w:val="HTMLPreformatted"/>
    <w:semiHidden/>
    <w:rsid w:val="0064468C"/>
    <w:rPr>
      <w:rFonts w:ascii="Consolas" w:eastAsia="Times New Roman" w:hAnsi="Consolas" w:cs="Times New Roman"/>
      <w:kern w:val="0"/>
      <w:sz w:val="20"/>
      <w:szCs w:val="20"/>
      <w:lang w:val="en-GB"/>
      <w14:ligatures w14:val="none"/>
    </w:rPr>
  </w:style>
  <w:style w:type="character" w:styleId="HTMLSample">
    <w:name w:val="HTML Sample"/>
    <w:basedOn w:val="DefaultParagraphFont"/>
    <w:semiHidden/>
    <w:unhideWhenUsed/>
    <w:rsid w:val="0064468C"/>
    <w:rPr>
      <w:rFonts w:ascii="Consolas" w:hAnsi="Consolas"/>
      <w:sz w:val="24"/>
      <w:szCs w:val="24"/>
      <w:lang w:val="en-GB"/>
    </w:rPr>
  </w:style>
  <w:style w:type="character" w:styleId="HTMLTypewriter">
    <w:name w:val="HTML Typewriter"/>
    <w:basedOn w:val="DefaultParagraphFont"/>
    <w:semiHidden/>
    <w:unhideWhenUsed/>
    <w:rsid w:val="0064468C"/>
    <w:rPr>
      <w:rFonts w:ascii="Consolas" w:hAnsi="Consolas"/>
      <w:sz w:val="20"/>
      <w:szCs w:val="20"/>
      <w:lang w:val="en-GB"/>
    </w:rPr>
  </w:style>
  <w:style w:type="character" w:styleId="HTMLVariable">
    <w:name w:val="HTML Variable"/>
    <w:basedOn w:val="DefaultParagraphFont"/>
    <w:semiHidden/>
    <w:unhideWhenUsed/>
    <w:rsid w:val="0064468C"/>
    <w:rPr>
      <w:i/>
      <w:iCs/>
      <w:lang w:val="en-GB"/>
    </w:rPr>
  </w:style>
  <w:style w:type="paragraph" w:styleId="Index1">
    <w:name w:val="index 1"/>
    <w:basedOn w:val="Normal"/>
    <w:next w:val="Normal"/>
    <w:autoRedefine/>
    <w:semiHidden/>
    <w:unhideWhenUsed/>
    <w:rsid w:val="0064468C"/>
    <w:pPr>
      <w:tabs>
        <w:tab w:val="clear" w:pos="1247"/>
      </w:tabs>
      <w:ind w:left="200" w:hanging="200"/>
    </w:pPr>
    <w:rPr>
      <w:lang w:val="en-GB"/>
    </w:rPr>
  </w:style>
  <w:style w:type="paragraph" w:styleId="Index2">
    <w:name w:val="index 2"/>
    <w:basedOn w:val="Normal"/>
    <w:next w:val="Normal"/>
    <w:autoRedefine/>
    <w:semiHidden/>
    <w:unhideWhenUsed/>
    <w:rsid w:val="0064468C"/>
    <w:pPr>
      <w:tabs>
        <w:tab w:val="clear" w:pos="1247"/>
      </w:tabs>
      <w:ind w:left="400" w:hanging="200"/>
    </w:pPr>
    <w:rPr>
      <w:lang w:val="en-GB"/>
    </w:rPr>
  </w:style>
  <w:style w:type="paragraph" w:styleId="Index3">
    <w:name w:val="index 3"/>
    <w:basedOn w:val="Normal"/>
    <w:next w:val="Normal"/>
    <w:autoRedefine/>
    <w:semiHidden/>
    <w:unhideWhenUsed/>
    <w:rsid w:val="0064468C"/>
    <w:pPr>
      <w:tabs>
        <w:tab w:val="clear" w:pos="1247"/>
      </w:tabs>
      <w:ind w:left="600" w:hanging="200"/>
    </w:pPr>
    <w:rPr>
      <w:lang w:val="en-GB"/>
    </w:rPr>
  </w:style>
  <w:style w:type="paragraph" w:styleId="Index4">
    <w:name w:val="index 4"/>
    <w:basedOn w:val="Normal"/>
    <w:next w:val="Normal"/>
    <w:autoRedefine/>
    <w:semiHidden/>
    <w:unhideWhenUsed/>
    <w:rsid w:val="0064468C"/>
    <w:pPr>
      <w:tabs>
        <w:tab w:val="clear" w:pos="1247"/>
      </w:tabs>
      <w:ind w:left="800" w:hanging="200"/>
    </w:pPr>
    <w:rPr>
      <w:lang w:val="en-GB"/>
    </w:rPr>
  </w:style>
  <w:style w:type="paragraph" w:styleId="Index5">
    <w:name w:val="index 5"/>
    <w:basedOn w:val="Normal"/>
    <w:next w:val="Normal"/>
    <w:autoRedefine/>
    <w:semiHidden/>
    <w:unhideWhenUsed/>
    <w:rsid w:val="0064468C"/>
    <w:pPr>
      <w:tabs>
        <w:tab w:val="clear" w:pos="1247"/>
      </w:tabs>
      <w:ind w:left="1000" w:hanging="200"/>
    </w:pPr>
    <w:rPr>
      <w:lang w:val="en-GB"/>
    </w:rPr>
  </w:style>
  <w:style w:type="paragraph" w:styleId="Index6">
    <w:name w:val="index 6"/>
    <w:basedOn w:val="Normal"/>
    <w:next w:val="Normal"/>
    <w:autoRedefine/>
    <w:semiHidden/>
    <w:unhideWhenUsed/>
    <w:rsid w:val="0064468C"/>
    <w:pPr>
      <w:tabs>
        <w:tab w:val="clear" w:pos="1247"/>
      </w:tabs>
      <w:ind w:left="1200" w:hanging="200"/>
    </w:pPr>
    <w:rPr>
      <w:lang w:val="en-GB"/>
    </w:rPr>
  </w:style>
  <w:style w:type="paragraph" w:styleId="Index7">
    <w:name w:val="index 7"/>
    <w:basedOn w:val="Normal"/>
    <w:next w:val="Normal"/>
    <w:autoRedefine/>
    <w:semiHidden/>
    <w:unhideWhenUsed/>
    <w:rsid w:val="0064468C"/>
    <w:pPr>
      <w:tabs>
        <w:tab w:val="clear" w:pos="1247"/>
      </w:tabs>
      <w:ind w:left="1400" w:hanging="200"/>
    </w:pPr>
    <w:rPr>
      <w:lang w:val="en-GB"/>
    </w:rPr>
  </w:style>
  <w:style w:type="paragraph" w:styleId="Index8">
    <w:name w:val="index 8"/>
    <w:basedOn w:val="Normal"/>
    <w:next w:val="Normal"/>
    <w:autoRedefine/>
    <w:semiHidden/>
    <w:unhideWhenUsed/>
    <w:rsid w:val="0064468C"/>
    <w:pPr>
      <w:tabs>
        <w:tab w:val="clear" w:pos="1247"/>
      </w:tabs>
      <w:ind w:left="1600" w:hanging="200"/>
    </w:pPr>
    <w:rPr>
      <w:lang w:val="en-GB"/>
    </w:rPr>
  </w:style>
  <w:style w:type="paragraph" w:styleId="Index9">
    <w:name w:val="index 9"/>
    <w:basedOn w:val="Normal"/>
    <w:next w:val="Normal"/>
    <w:autoRedefine/>
    <w:semiHidden/>
    <w:unhideWhenUsed/>
    <w:rsid w:val="0064468C"/>
    <w:pPr>
      <w:tabs>
        <w:tab w:val="clear" w:pos="1247"/>
      </w:tabs>
      <w:ind w:left="1800" w:hanging="200"/>
    </w:pPr>
    <w:rPr>
      <w:lang w:val="en-GB"/>
    </w:rPr>
  </w:style>
  <w:style w:type="paragraph" w:styleId="IndexHeading">
    <w:name w:val="index heading"/>
    <w:basedOn w:val="Normal"/>
    <w:next w:val="Index1"/>
    <w:semiHidden/>
    <w:unhideWhenUsed/>
    <w:rsid w:val="0064468C"/>
    <w:rPr>
      <w:rFonts w:asciiTheme="majorHAnsi" w:eastAsiaTheme="majorEastAsia" w:hAnsiTheme="majorHAnsi" w:cstheme="majorBidi"/>
      <w:b/>
      <w:bCs/>
      <w:lang w:val="en-GB"/>
    </w:rPr>
  </w:style>
  <w:style w:type="table" w:styleId="LightGrid">
    <w:name w:val="Light Grid"/>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4468C"/>
    <w:pPr>
      <w:spacing w:after="0" w:line="240" w:lineRule="auto"/>
    </w:pPr>
    <w:rPr>
      <w:rFonts w:ascii="Times New Roman" w:eastAsia="SimSun" w:hAnsi="Times New Roman" w:cs="Times New Roman"/>
      <w:color w:val="000000" w:themeColor="text1" w:themeShade="BF"/>
      <w:kern w:val="0"/>
      <w:sz w:val="20"/>
      <w:szCs w:val="20"/>
      <w:lang w:val="fr-FR" w:eastAsia="zh-CN"/>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468C"/>
    <w:pPr>
      <w:spacing w:after="0" w:line="240" w:lineRule="auto"/>
    </w:pPr>
    <w:rPr>
      <w:rFonts w:ascii="Times New Roman" w:eastAsia="SimSun" w:hAnsi="Times New Roman" w:cs="Times New Roman"/>
      <w:color w:val="0F4761" w:themeColor="accent1" w:themeShade="BF"/>
      <w:kern w:val="0"/>
      <w:sz w:val="20"/>
      <w:szCs w:val="20"/>
      <w:lang w:val="fr-FR" w:eastAsia="zh-CN"/>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4468C"/>
    <w:pPr>
      <w:spacing w:after="0" w:line="240" w:lineRule="auto"/>
    </w:pPr>
    <w:rPr>
      <w:rFonts w:ascii="Times New Roman" w:eastAsia="SimSun" w:hAnsi="Times New Roman" w:cs="Times New Roman"/>
      <w:color w:val="BF4E14" w:themeColor="accent2" w:themeShade="BF"/>
      <w:kern w:val="0"/>
      <w:sz w:val="20"/>
      <w:szCs w:val="20"/>
      <w:lang w:val="fr-FR" w:eastAsia="zh-CN"/>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4468C"/>
    <w:pPr>
      <w:spacing w:after="0" w:line="240" w:lineRule="auto"/>
    </w:pPr>
    <w:rPr>
      <w:rFonts w:ascii="Times New Roman" w:eastAsia="SimSun" w:hAnsi="Times New Roman" w:cs="Times New Roman"/>
      <w:color w:val="124F1A" w:themeColor="accent3" w:themeShade="BF"/>
      <w:kern w:val="0"/>
      <w:sz w:val="20"/>
      <w:szCs w:val="20"/>
      <w:lang w:val="fr-FR" w:eastAsia="zh-CN"/>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4468C"/>
    <w:pPr>
      <w:spacing w:after="0" w:line="240" w:lineRule="auto"/>
    </w:pPr>
    <w:rPr>
      <w:rFonts w:ascii="Times New Roman" w:eastAsia="SimSun" w:hAnsi="Times New Roman" w:cs="Times New Roman"/>
      <w:color w:val="0B769F" w:themeColor="accent4" w:themeShade="BF"/>
      <w:kern w:val="0"/>
      <w:sz w:val="20"/>
      <w:szCs w:val="20"/>
      <w:lang w:val="fr-FR" w:eastAsia="zh-CN"/>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4468C"/>
    <w:pPr>
      <w:spacing w:after="0" w:line="240" w:lineRule="auto"/>
    </w:pPr>
    <w:rPr>
      <w:rFonts w:ascii="Times New Roman" w:eastAsia="SimSun" w:hAnsi="Times New Roman" w:cs="Times New Roman"/>
      <w:color w:val="77206D" w:themeColor="accent5" w:themeShade="BF"/>
      <w:kern w:val="0"/>
      <w:sz w:val="20"/>
      <w:szCs w:val="20"/>
      <w:lang w:val="fr-FR" w:eastAsia="zh-CN"/>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4468C"/>
    <w:pPr>
      <w:spacing w:after="0" w:line="240" w:lineRule="auto"/>
    </w:pPr>
    <w:rPr>
      <w:rFonts w:ascii="Times New Roman" w:eastAsia="SimSun" w:hAnsi="Times New Roman" w:cs="Times New Roman"/>
      <w:color w:val="3A7C22" w:themeColor="accent6" w:themeShade="BF"/>
      <w:kern w:val="0"/>
      <w:sz w:val="20"/>
      <w:szCs w:val="20"/>
      <w:lang w:val="fr-FR" w:eastAsia="zh-CN"/>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semiHidden/>
    <w:unhideWhenUsed/>
    <w:rsid w:val="0064468C"/>
    <w:rPr>
      <w:lang w:val="en-GB"/>
    </w:rPr>
  </w:style>
  <w:style w:type="paragraph" w:styleId="List">
    <w:name w:val="List"/>
    <w:basedOn w:val="Normal"/>
    <w:semiHidden/>
    <w:unhideWhenUsed/>
    <w:rsid w:val="0064468C"/>
    <w:pPr>
      <w:ind w:left="283" w:hanging="283"/>
      <w:contextualSpacing/>
    </w:pPr>
    <w:rPr>
      <w:lang w:val="en-GB"/>
    </w:rPr>
  </w:style>
  <w:style w:type="paragraph" w:styleId="List2">
    <w:name w:val="List 2"/>
    <w:basedOn w:val="Normal"/>
    <w:semiHidden/>
    <w:unhideWhenUsed/>
    <w:rsid w:val="0064468C"/>
    <w:pPr>
      <w:ind w:left="566" w:hanging="283"/>
      <w:contextualSpacing/>
    </w:pPr>
    <w:rPr>
      <w:lang w:val="en-GB"/>
    </w:rPr>
  </w:style>
  <w:style w:type="paragraph" w:styleId="List3">
    <w:name w:val="List 3"/>
    <w:basedOn w:val="Normal"/>
    <w:semiHidden/>
    <w:unhideWhenUsed/>
    <w:rsid w:val="0064468C"/>
    <w:pPr>
      <w:ind w:left="849" w:hanging="283"/>
      <w:contextualSpacing/>
    </w:pPr>
    <w:rPr>
      <w:lang w:val="en-GB"/>
    </w:rPr>
  </w:style>
  <w:style w:type="paragraph" w:styleId="List4">
    <w:name w:val="List 4"/>
    <w:basedOn w:val="Normal"/>
    <w:semiHidden/>
    <w:unhideWhenUsed/>
    <w:rsid w:val="0064468C"/>
    <w:pPr>
      <w:ind w:left="1132" w:hanging="283"/>
      <w:contextualSpacing/>
    </w:pPr>
    <w:rPr>
      <w:lang w:val="en-GB"/>
    </w:rPr>
  </w:style>
  <w:style w:type="paragraph" w:styleId="List5">
    <w:name w:val="List 5"/>
    <w:basedOn w:val="Normal"/>
    <w:semiHidden/>
    <w:unhideWhenUsed/>
    <w:rsid w:val="0064468C"/>
    <w:pPr>
      <w:ind w:left="1415" w:hanging="283"/>
      <w:contextualSpacing/>
    </w:pPr>
    <w:rPr>
      <w:lang w:val="en-GB"/>
    </w:rPr>
  </w:style>
  <w:style w:type="paragraph" w:styleId="ListBullet">
    <w:name w:val="List Bullet"/>
    <w:basedOn w:val="Normal"/>
    <w:semiHidden/>
    <w:rsid w:val="0064468C"/>
    <w:pPr>
      <w:numPr>
        <w:numId w:val="8"/>
      </w:numPr>
      <w:tabs>
        <w:tab w:val="clear" w:pos="360"/>
      </w:tabs>
      <w:ind w:left="0" w:firstLine="0"/>
      <w:contextualSpacing/>
    </w:pPr>
    <w:rPr>
      <w:lang w:val="en-GB"/>
    </w:rPr>
  </w:style>
  <w:style w:type="paragraph" w:styleId="ListBullet2">
    <w:name w:val="List Bullet 2"/>
    <w:basedOn w:val="Normal"/>
    <w:semiHidden/>
    <w:unhideWhenUsed/>
    <w:rsid w:val="0064468C"/>
    <w:pPr>
      <w:numPr>
        <w:numId w:val="9"/>
      </w:numPr>
      <w:tabs>
        <w:tab w:val="clear" w:pos="643"/>
      </w:tabs>
      <w:ind w:left="0" w:firstLine="0"/>
      <w:contextualSpacing/>
    </w:pPr>
    <w:rPr>
      <w:lang w:val="en-GB"/>
    </w:rPr>
  </w:style>
  <w:style w:type="paragraph" w:styleId="ListBullet3">
    <w:name w:val="List Bullet 3"/>
    <w:basedOn w:val="Normal"/>
    <w:semiHidden/>
    <w:unhideWhenUsed/>
    <w:rsid w:val="0064468C"/>
    <w:pPr>
      <w:numPr>
        <w:numId w:val="10"/>
      </w:numPr>
      <w:tabs>
        <w:tab w:val="clear" w:pos="926"/>
      </w:tabs>
      <w:ind w:left="0" w:firstLine="0"/>
      <w:contextualSpacing/>
    </w:pPr>
    <w:rPr>
      <w:lang w:val="en-GB"/>
    </w:rPr>
  </w:style>
  <w:style w:type="paragraph" w:styleId="ListBullet4">
    <w:name w:val="List Bullet 4"/>
    <w:basedOn w:val="Normal"/>
    <w:semiHidden/>
    <w:unhideWhenUsed/>
    <w:rsid w:val="0064468C"/>
    <w:pPr>
      <w:numPr>
        <w:numId w:val="11"/>
      </w:numPr>
      <w:tabs>
        <w:tab w:val="clear" w:pos="1209"/>
      </w:tabs>
      <w:ind w:left="0" w:firstLine="0"/>
      <w:contextualSpacing/>
    </w:pPr>
    <w:rPr>
      <w:lang w:val="en-GB"/>
    </w:rPr>
  </w:style>
  <w:style w:type="paragraph" w:styleId="ListBullet5">
    <w:name w:val="List Bullet 5"/>
    <w:basedOn w:val="Normal"/>
    <w:semiHidden/>
    <w:unhideWhenUsed/>
    <w:rsid w:val="0064468C"/>
    <w:pPr>
      <w:numPr>
        <w:numId w:val="12"/>
      </w:numPr>
      <w:tabs>
        <w:tab w:val="clear" w:pos="1492"/>
      </w:tabs>
      <w:ind w:left="0" w:firstLine="0"/>
      <w:contextualSpacing/>
    </w:pPr>
    <w:rPr>
      <w:lang w:val="en-GB"/>
    </w:rPr>
  </w:style>
  <w:style w:type="paragraph" w:styleId="ListContinue">
    <w:name w:val="List Continue"/>
    <w:basedOn w:val="Normal"/>
    <w:semiHidden/>
    <w:unhideWhenUsed/>
    <w:rsid w:val="0064468C"/>
    <w:pPr>
      <w:spacing w:after="120"/>
      <w:ind w:left="283"/>
      <w:contextualSpacing/>
    </w:pPr>
    <w:rPr>
      <w:lang w:val="en-GB"/>
    </w:rPr>
  </w:style>
  <w:style w:type="paragraph" w:styleId="ListContinue2">
    <w:name w:val="List Continue 2"/>
    <w:basedOn w:val="Normal"/>
    <w:semiHidden/>
    <w:unhideWhenUsed/>
    <w:rsid w:val="0064468C"/>
    <w:pPr>
      <w:spacing w:after="120"/>
      <w:ind w:left="566"/>
      <w:contextualSpacing/>
    </w:pPr>
    <w:rPr>
      <w:lang w:val="en-GB"/>
    </w:rPr>
  </w:style>
  <w:style w:type="paragraph" w:styleId="ListContinue3">
    <w:name w:val="List Continue 3"/>
    <w:basedOn w:val="Normal"/>
    <w:semiHidden/>
    <w:rsid w:val="0064468C"/>
    <w:pPr>
      <w:spacing w:after="120"/>
      <w:ind w:left="849"/>
      <w:contextualSpacing/>
    </w:pPr>
    <w:rPr>
      <w:lang w:val="en-GB"/>
    </w:rPr>
  </w:style>
  <w:style w:type="paragraph" w:styleId="ListContinue4">
    <w:name w:val="List Continue 4"/>
    <w:basedOn w:val="Normal"/>
    <w:semiHidden/>
    <w:rsid w:val="0064468C"/>
    <w:pPr>
      <w:spacing w:after="120"/>
      <w:ind w:left="1132"/>
      <w:contextualSpacing/>
    </w:pPr>
    <w:rPr>
      <w:lang w:val="en-GB"/>
    </w:rPr>
  </w:style>
  <w:style w:type="paragraph" w:styleId="ListContinue5">
    <w:name w:val="List Continue 5"/>
    <w:basedOn w:val="Normal"/>
    <w:semiHidden/>
    <w:rsid w:val="0064468C"/>
    <w:pPr>
      <w:spacing w:after="120"/>
      <w:ind w:left="1415"/>
      <w:contextualSpacing/>
    </w:pPr>
    <w:rPr>
      <w:lang w:val="en-GB"/>
    </w:rPr>
  </w:style>
  <w:style w:type="paragraph" w:styleId="ListNumber">
    <w:name w:val="List Number"/>
    <w:basedOn w:val="Normal"/>
    <w:semiHidden/>
    <w:rsid w:val="0064468C"/>
    <w:pPr>
      <w:numPr>
        <w:numId w:val="13"/>
      </w:numPr>
      <w:tabs>
        <w:tab w:val="clear" w:pos="360"/>
      </w:tabs>
      <w:ind w:left="0" w:firstLine="0"/>
      <w:contextualSpacing/>
    </w:pPr>
    <w:rPr>
      <w:lang w:val="en-GB"/>
    </w:rPr>
  </w:style>
  <w:style w:type="paragraph" w:styleId="ListNumber2">
    <w:name w:val="List Number 2"/>
    <w:basedOn w:val="Normal"/>
    <w:semiHidden/>
    <w:unhideWhenUsed/>
    <w:rsid w:val="0064468C"/>
    <w:pPr>
      <w:numPr>
        <w:numId w:val="14"/>
      </w:numPr>
      <w:tabs>
        <w:tab w:val="clear" w:pos="643"/>
      </w:tabs>
      <w:ind w:left="0" w:firstLine="0"/>
      <w:contextualSpacing/>
    </w:pPr>
    <w:rPr>
      <w:lang w:val="en-GB"/>
    </w:rPr>
  </w:style>
  <w:style w:type="paragraph" w:styleId="ListNumber3">
    <w:name w:val="List Number 3"/>
    <w:basedOn w:val="Normal"/>
    <w:semiHidden/>
    <w:unhideWhenUsed/>
    <w:rsid w:val="0064468C"/>
    <w:pPr>
      <w:numPr>
        <w:numId w:val="15"/>
      </w:numPr>
      <w:tabs>
        <w:tab w:val="clear" w:pos="926"/>
      </w:tabs>
      <w:ind w:left="0" w:firstLine="0"/>
      <w:contextualSpacing/>
    </w:pPr>
    <w:rPr>
      <w:lang w:val="en-GB"/>
    </w:rPr>
  </w:style>
  <w:style w:type="paragraph" w:styleId="ListNumber4">
    <w:name w:val="List Number 4"/>
    <w:basedOn w:val="Normal"/>
    <w:semiHidden/>
    <w:unhideWhenUsed/>
    <w:rsid w:val="0064468C"/>
    <w:pPr>
      <w:numPr>
        <w:numId w:val="16"/>
      </w:numPr>
      <w:tabs>
        <w:tab w:val="clear" w:pos="1209"/>
      </w:tabs>
      <w:ind w:left="0" w:firstLine="0"/>
      <w:contextualSpacing/>
    </w:pPr>
    <w:rPr>
      <w:lang w:val="en-GB"/>
    </w:rPr>
  </w:style>
  <w:style w:type="paragraph" w:styleId="ListNumber5">
    <w:name w:val="List Number 5"/>
    <w:basedOn w:val="Normal"/>
    <w:semiHidden/>
    <w:unhideWhenUsed/>
    <w:rsid w:val="0064468C"/>
    <w:pPr>
      <w:numPr>
        <w:numId w:val="17"/>
      </w:numPr>
      <w:tabs>
        <w:tab w:val="clear" w:pos="1492"/>
      </w:tabs>
      <w:ind w:left="0" w:firstLine="0"/>
      <w:contextualSpacing/>
    </w:pPr>
    <w:rPr>
      <w:lang w:val="en-GB"/>
    </w:rPr>
  </w:style>
  <w:style w:type="table" w:styleId="ListTable1Light">
    <w:name w:val="List Table 1 Light"/>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468C"/>
    <w:pPr>
      <w:spacing w:after="0" w:line="240" w:lineRule="auto"/>
    </w:pPr>
    <w:rPr>
      <w:rFonts w:ascii="Times New Roman" w:eastAsia="SimSun" w:hAnsi="Times New Roman" w:cs="Times New Roman"/>
      <w:color w:val="FFFFFF" w:themeColor="background1"/>
      <w:kern w:val="0"/>
      <w:sz w:val="20"/>
      <w:szCs w:val="20"/>
      <w:lang w:val="fr-FR" w:eastAsia="zh-CN"/>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468C"/>
    <w:pPr>
      <w:spacing w:after="0" w:line="240" w:lineRule="auto"/>
    </w:pPr>
    <w:rPr>
      <w:rFonts w:ascii="Times New Roman" w:eastAsia="SimSun" w:hAnsi="Times New Roman" w:cs="Times New Roman"/>
      <w:color w:val="0F4761" w:themeColor="accent1" w:themeShade="BF"/>
      <w:kern w:val="0"/>
      <w:sz w:val="20"/>
      <w:szCs w:val="20"/>
      <w:lang w:val="fr-FR" w:eastAsia="zh-CN"/>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4468C"/>
    <w:pPr>
      <w:spacing w:after="0" w:line="240" w:lineRule="auto"/>
    </w:pPr>
    <w:rPr>
      <w:rFonts w:ascii="Times New Roman" w:eastAsia="SimSun" w:hAnsi="Times New Roman" w:cs="Times New Roman"/>
      <w:color w:val="BF4E14" w:themeColor="accent2" w:themeShade="BF"/>
      <w:kern w:val="0"/>
      <w:sz w:val="20"/>
      <w:szCs w:val="20"/>
      <w:lang w:val="fr-FR" w:eastAsia="zh-CN"/>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4468C"/>
    <w:pPr>
      <w:spacing w:after="0" w:line="240" w:lineRule="auto"/>
    </w:pPr>
    <w:rPr>
      <w:rFonts w:ascii="Times New Roman" w:eastAsia="SimSun" w:hAnsi="Times New Roman" w:cs="Times New Roman"/>
      <w:color w:val="124F1A" w:themeColor="accent3" w:themeShade="BF"/>
      <w:kern w:val="0"/>
      <w:sz w:val="20"/>
      <w:szCs w:val="20"/>
      <w:lang w:val="fr-FR" w:eastAsia="zh-CN"/>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4468C"/>
    <w:pPr>
      <w:spacing w:after="0" w:line="240" w:lineRule="auto"/>
    </w:pPr>
    <w:rPr>
      <w:rFonts w:ascii="Times New Roman" w:eastAsia="SimSun" w:hAnsi="Times New Roman" w:cs="Times New Roman"/>
      <w:color w:val="0B769F" w:themeColor="accent4" w:themeShade="BF"/>
      <w:kern w:val="0"/>
      <w:sz w:val="20"/>
      <w:szCs w:val="20"/>
      <w:lang w:val="fr-FR" w:eastAsia="zh-CN"/>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4468C"/>
    <w:pPr>
      <w:spacing w:after="0" w:line="240" w:lineRule="auto"/>
    </w:pPr>
    <w:rPr>
      <w:rFonts w:ascii="Times New Roman" w:eastAsia="SimSun" w:hAnsi="Times New Roman" w:cs="Times New Roman"/>
      <w:color w:val="77206D" w:themeColor="accent5" w:themeShade="BF"/>
      <w:kern w:val="0"/>
      <w:sz w:val="20"/>
      <w:szCs w:val="20"/>
      <w:lang w:val="fr-FR" w:eastAsia="zh-CN"/>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4468C"/>
    <w:pPr>
      <w:spacing w:after="0" w:line="240" w:lineRule="auto"/>
    </w:pPr>
    <w:rPr>
      <w:rFonts w:ascii="Times New Roman" w:eastAsia="SimSun" w:hAnsi="Times New Roman" w:cs="Times New Roman"/>
      <w:color w:val="3A7C22" w:themeColor="accent6" w:themeShade="BF"/>
      <w:kern w:val="0"/>
      <w:sz w:val="20"/>
      <w:szCs w:val="20"/>
      <w:lang w:val="fr-FR" w:eastAsia="zh-CN"/>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468C"/>
    <w:pPr>
      <w:spacing w:after="0" w:line="240" w:lineRule="auto"/>
    </w:pPr>
    <w:rPr>
      <w:rFonts w:ascii="Times New Roman" w:eastAsia="SimSun" w:hAnsi="Times New Roman" w:cs="Times New Roman"/>
      <w:color w:val="0F4761" w:themeColor="accent1" w:themeShade="BF"/>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468C"/>
    <w:pPr>
      <w:spacing w:after="0" w:line="240" w:lineRule="auto"/>
    </w:pPr>
    <w:rPr>
      <w:rFonts w:ascii="Times New Roman" w:eastAsia="SimSun" w:hAnsi="Times New Roman" w:cs="Times New Roman"/>
      <w:color w:val="BF4E14" w:themeColor="accent2" w:themeShade="BF"/>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468C"/>
    <w:pPr>
      <w:spacing w:after="0" w:line="240" w:lineRule="auto"/>
    </w:pPr>
    <w:rPr>
      <w:rFonts w:ascii="Times New Roman" w:eastAsia="SimSun" w:hAnsi="Times New Roman" w:cs="Times New Roman"/>
      <w:color w:val="124F1A" w:themeColor="accent3" w:themeShade="BF"/>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468C"/>
    <w:pPr>
      <w:spacing w:after="0" w:line="240" w:lineRule="auto"/>
    </w:pPr>
    <w:rPr>
      <w:rFonts w:ascii="Times New Roman" w:eastAsia="SimSun" w:hAnsi="Times New Roman" w:cs="Times New Roman"/>
      <w:color w:val="0B769F" w:themeColor="accent4" w:themeShade="BF"/>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468C"/>
    <w:pPr>
      <w:spacing w:after="0" w:line="240" w:lineRule="auto"/>
    </w:pPr>
    <w:rPr>
      <w:rFonts w:ascii="Times New Roman" w:eastAsia="SimSun" w:hAnsi="Times New Roman" w:cs="Times New Roman"/>
      <w:color w:val="77206D" w:themeColor="accent5" w:themeShade="BF"/>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468C"/>
    <w:pPr>
      <w:spacing w:after="0" w:line="240" w:lineRule="auto"/>
    </w:pPr>
    <w:rPr>
      <w:rFonts w:ascii="Times New Roman" w:eastAsia="SimSun" w:hAnsi="Times New Roman" w:cs="Times New Roman"/>
      <w:color w:val="3A7C22" w:themeColor="accent6" w:themeShade="BF"/>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64468C"/>
    <w:pPr>
      <w:tabs>
        <w:tab w:val="left" w:pos="480"/>
        <w:tab w:val="left" w:pos="960"/>
        <w:tab w:val="left" w:pos="1440"/>
        <w:tab w:val="left" w:pos="1920"/>
        <w:tab w:val="left" w:pos="2400"/>
        <w:tab w:val="left" w:pos="2880"/>
        <w:tab w:val="left" w:pos="3360"/>
        <w:tab w:val="left" w:pos="3840"/>
        <w:tab w:val="left" w:pos="4320"/>
      </w:tabs>
      <w:adjustRightInd w:val="0"/>
      <w:snapToGrid w:val="0"/>
      <w:spacing w:after="0" w:line="240" w:lineRule="auto"/>
    </w:pPr>
    <w:rPr>
      <w:rFonts w:ascii="Consolas" w:eastAsia="Times New Roman" w:hAnsi="Consolas" w:cs="Times New Roman"/>
      <w:kern w:val="0"/>
      <w:sz w:val="20"/>
      <w:szCs w:val="20"/>
      <w:lang w:val="en-GB"/>
      <w14:ligatures w14:val="none"/>
    </w:rPr>
  </w:style>
  <w:style w:type="character" w:customStyle="1" w:styleId="MacroTextChar">
    <w:name w:val="Macro Text Char"/>
    <w:basedOn w:val="DefaultParagraphFont"/>
    <w:link w:val="MacroText"/>
    <w:semiHidden/>
    <w:rsid w:val="0064468C"/>
    <w:rPr>
      <w:rFonts w:ascii="Consolas" w:eastAsia="Times New Roman" w:hAnsi="Consolas" w:cs="Times New Roman"/>
      <w:kern w:val="0"/>
      <w:sz w:val="20"/>
      <w:szCs w:val="20"/>
      <w:lang w:val="en-GB"/>
      <w14:ligatures w14:val="none"/>
    </w:rPr>
  </w:style>
  <w:style w:type="table" w:styleId="MediumGrid1">
    <w:name w:val="Medium Grid 1"/>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4468C"/>
    <w:pPr>
      <w:spacing w:after="0" w:line="240" w:lineRule="auto"/>
    </w:pPr>
    <w:rPr>
      <w:rFonts w:ascii="Times New Roman" w:eastAsia="SimSun" w:hAnsi="Times New Roman" w:cs="Times New Roman"/>
      <w:color w:val="000000" w:themeColor="text1"/>
      <w:kern w:val="0"/>
      <w:sz w:val="20"/>
      <w:szCs w:val="20"/>
      <w:lang w:val="fr-FR" w:eastAsia="zh-CN"/>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468C"/>
    <w:pPr>
      <w:spacing w:after="0" w:line="240" w:lineRule="auto"/>
    </w:pPr>
    <w:rPr>
      <w:rFonts w:asciiTheme="majorHAnsi" w:eastAsiaTheme="majorEastAsia" w:hAnsiTheme="majorHAnsi" w:cstheme="majorBidi"/>
      <w:color w:val="000000" w:themeColor="text1"/>
      <w:kern w:val="0"/>
      <w:sz w:val="20"/>
      <w:szCs w:val="20"/>
      <w:lang w:val="fr-FR" w:eastAsia="zh-CN"/>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4468C"/>
    <w:rPr>
      <w:color w:val="2B579A"/>
      <w:shd w:val="clear" w:color="auto" w:fill="E1DFDD"/>
      <w:lang w:val="en-GB"/>
    </w:rPr>
  </w:style>
  <w:style w:type="paragraph" w:styleId="MessageHeader">
    <w:name w:val="Message Header"/>
    <w:basedOn w:val="Normal"/>
    <w:link w:val="MessageHeaderChar"/>
    <w:semiHidden/>
    <w:rsid w:val="0064468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semiHidden/>
    <w:rsid w:val="0064468C"/>
    <w:rPr>
      <w:rFonts w:asciiTheme="majorHAnsi" w:eastAsiaTheme="majorEastAsia" w:hAnsiTheme="majorHAnsi" w:cstheme="majorBidi"/>
      <w:kern w:val="0"/>
      <w:shd w:val="pct20" w:color="auto" w:fill="auto"/>
      <w:lang w:val="en-GB"/>
      <w14:ligatures w14:val="none"/>
    </w:rPr>
  </w:style>
  <w:style w:type="paragraph" w:styleId="NormalIndent">
    <w:name w:val="Normal Indent"/>
    <w:basedOn w:val="Normal"/>
    <w:semiHidden/>
    <w:unhideWhenUsed/>
    <w:rsid w:val="0064468C"/>
    <w:pPr>
      <w:ind w:left="720"/>
    </w:pPr>
    <w:rPr>
      <w:lang w:val="en-GB"/>
    </w:rPr>
  </w:style>
  <w:style w:type="paragraph" w:styleId="NoteHeading">
    <w:name w:val="Note Heading"/>
    <w:basedOn w:val="Normal"/>
    <w:next w:val="Normal"/>
    <w:link w:val="NoteHeadingChar"/>
    <w:semiHidden/>
    <w:unhideWhenUsed/>
    <w:rsid w:val="0064468C"/>
    <w:rPr>
      <w:lang w:val="en-GB"/>
    </w:rPr>
  </w:style>
  <w:style w:type="character" w:customStyle="1" w:styleId="NoteHeadingChar">
    <w:name w:val="Note Heading Char"/>
    <w:basedOn w:val="DefaultParagraphFont"/>
    <w:link w:val="NoteHeading"/>
    <w:semiHidden/>
    <w:rsid w:val="0064468C"/>
    <w:rPr>
      <w:rFonts w:ascii="Times New Roman" w:eastAsia="Times New Roman" w:hAnsi="Times New Roman" w:cs="Times New Roman"/>
      <w:kern w:val="0"/>
      <w:sz w:val="20"/>
      <w:szCs w:val="20"/>
      <w:lang w:val="en-GB"/>
      <w14:ligatures w14:val="none"/>
    </w:rPr>
  </w:style>
  <w:style w:type="table" w:styleId="PlainTable1">
    <w:name w:val="Plain Table 1"/>
    <w:basedOn w:val="TableNormal"/>
    <w:uiPriority w:val="41"/>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468C"/>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64468C"/>
    <w:rPr>
      <w:rFonts w:ascii="Consolas" w:hAnsi="Consolas"/>
      <w:sz w:val="21"/>
      <w:szCs w:val="21"/>
      <w:lang w:val="en-GB"/>
    </w:rPr>
  </w:style>
  <w:style w:type="character" w:customStyle="1" w:styleId="PlainTextChar">
    <w:name w:val="Plain Text Char"/>
    <w:basedOn w:val="DefaultParagraphFont"/>
    <w:link w:val="PlainText"/>
    <w:semiHidden/>
    <w:rsid w:val="0064468C"/>
    <w:rPr>
      <w:rFonts w:ascii="Consolas" w:eastAsia="Times New Roman" w:hAnsi="Consolas" w:cs="Times New Roman"/>
      <w:kern w:val="0"/>
      <w:sz w:val="21"/>
      <w:szCs w:val="21"/>
      <w:lang w:val="en-GB"/>
      <w14:ligatures w14:val="none"/>
    </w:rPr>
  </w:style>
  <w:style w:type="paragraph" w:styleId="Salutation">
    <w:name w:val="Salutation"/>
    <w:basedOn w:val="Normal"/>
    <w:next w:val="Normal"/>
    <w:link w:val="SalutationChar"/>
    <w:semiHidden/>
    <w:unhideWhenUsed/>
    <w:rsid w:val="0064468C"/>
    <w:rPr>
      <w:lang w:val="en-GB"/>
    </w:rPr>
  </w:style>
  <w:style w:type="character" w:customStyle="1" w:styleId="SalutationChar">
    <w:name w:val="Salutation Char"/>
    <w:basedOn w:val="DefaultParagraphFont"/>
    <w:link w:val="Salutation"/>
    <w:semiHidden/>
    <w:rsid w:val="0064468C"/>
    <w:rPr>
      <w:rFonts w:ascii="Times New Roman" w:eastAsia="Times New Roman" w:hAnsi="Times New Roman" w:cs="Times New Roman"/>
      <w:kern w:val="0"/>
      <w:sz w:val="20"/>
      <w:szCs w:val="20"/>
      <w:lang w:val="en-GB"/>
      <w14:ligatures w14:val="none"/>
    </w:rPr>
  </w:style>
  <w:style w:type="paragraph" w:styleId="Signature">
    <w:name w:val="Signature"/>
    <w:basedOn w:val="Normal"/>
    <w:link w:val="SignatureChar"/>
    <w:semiHidden/>
    <w:unhideWhenUsed/>
    <w:rsid w:val="0064468C"/>
    <w:pPr>
      <w:ind w:left="4252"/>
    </w:pPr>
    <w:rPr>
      <w:lang w:val="en-GB"/>
    </w:rPr>
  </w:style>
  <w:style w:type="character" w:customStyle="1" w:styleId="SignatureChar">
    <w:name w:val="Signature Char"/>
    <w:basedOn w:val="DefaultParagraphFont"/>
    <w:link w:val="Signature"/>
    <w:semiHidden/>
    <w:rsid w:val="0064468C"/>
    <w:rPr>
      <w:rFonts w:ascii="Times New Roman" w:eastAsia="Times New Roman" w:hAnsi="Times New Roman" w:cs="Times New Roman"/>
      <w:kern w:val="0"/>
      <w:sz w:val="20"/>
      <w:szCs w:val="20"/>
      <w:lang w:val="en-GB"/>
      <w14:ligatures w14:val="none"/>
    </w:rPr>
  </w:style>
  <w:style w:type="character" w:styleId="SmartHyperlink">
    <w:name w:val="Smart Hyperlink"/>
    <w:basedOn w:val="DefaultParagraphFont"/>
    <w:uiPriority w:val="99"/>
    <w:semiHidden/>
    <w:rsid w:val="0064468C"/>
    <w:rPr>
      <w:u w:val="dotted"/>
      <w:lang w:val="en-GB"/>
    </w:rPr>
  </w:style>
  <w:style w:type="character" w:styleId="SmartLink">
    <w:name w:val="Smart Link"/>
    <w:basedOn w:val="DefaultParagraphFont"/>
    <w:uiPriority w:val="99"/>
    <w:semiHidden/>
    <w:unhideWhenUsed/>
    <w:rsid w:val="0064468C"/>
    <w:rPr>
      <w:color w:val="0000FF"/>
      <w:u w:val="single"/>
      <w:shd w:val="clear" w:color="auto" w:fill="F3F2F1"/>
      <w:lang w:val="en-GB"/>
    </w:rPr>
  </w:style>
  <w:style w:type="character" w:styleId="Strong">
    <w:name w:val="Strong"/>
    <w:basedOn w:val="DefaultParagraphFont"/>
    <w:uiPriority w:val="22"/>
    <w:qFormat/>
    <w:rsid w:val="0064468C"/>
    <w:rPr>
      <w:b/>
      <w:bCs/>
      <w:lang w:val="en-GB"/>
    </w:rPr>
  </w:style>
  <w:style w:type="character" w:styleId="SubtleEmphasis">
    <w:name w:val="Subtle Emphasis"/>
    <w:basedOn w:val="DefaultParagraphFont"/>
    <w:uiPriority w:val="19"/>
    <w:qFormat/>
    <w:rsid w:val="0064468C"/>
    <w:rPr>
      <w:i/>
      <w:iCs/>
      <w:color w:val="404040" w:themeColor="text1" w:themeTint="BF"/>
      <w:lang w:val="en-GB"/>
    </w:rPr>
  </w:style>
  <w:style w:type="character" w:styleId="SubtleReference">
    <w:name w:val="Subtle Reference"/>
    <w:basedOn w:val="DefaultParagraphFont"/>
    <w:uiPriority w:val="31"/>
    <w:qFormat/>
    <w:rsid w:val="0064468C"/>
    <w:rPr>
      <w:smallCaps/>
      <w:color w:val="5A5A5A" w:themeColor="text1" w:themeTint="A5"/>
      <w:lang w:val="en-GB"/>
    </w:rPr>
  </w:style>
  <w:style w:type="table" w:styleId="Table3Deffects1">
    <w:name w:val="Table 3D effects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color w:val="000080"/>
      <w:kern w:val="0"/>
      <w:sz w:val="20"/>
      <w:szCs w:val="20"/>
      <w:lang w:val="fr-FR" w:eastAsia="zh-CN"/>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color w:val="FFFFFF"/>
      <w:kern w:val="0"/>
      <w:sz w:val="20"/>
      <w:szCs w:val="20"/>
      <w:lang w:val="fr-FR" w:eastAsia="zh-CN"/>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b/>
      <w:bCs/>
      <w:kern w:val="0"/>
      <w:sz w:val="20"/>
      <w:szCs w:val="20"/>
      <w:lang w:val="fr-FR" w:eastAsia="zh-CN"/>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b/>
      <w:bCs/>
      <w:kern w:val="0"/>
      <w:sz w:val="20"/>
      <w:szCs w:val="20"/>
      <w:lang w:val="fr-FR" w:eastAsia="zh-CN"/>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b/>
      <w:bCs/>
      <w:kern w:val="0"/>
      <w:sz w:val="20"/>
      <w:szCs w:val="20"/>
      <w:lang w:val="fr-FR" w:eastAsia="zh-CN"/>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b/>
      <w:bCs/>
      <w:kern w:val="0"/>
      <w:sz w:val="20"/>
      <w:szCs w:val="20"/>
      <w:lang w:val="fr-FR" w:eastAsia="zh-CN"/>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468C"/>
    <w:pPr>
      <w:spacing w:after="0" w:line="240" w:lineRule="auto"/>
    </w:pPr>
    <w:rPr>
      <w:rFonts w:ascii="Times New Roman" w:eastAsia="SimSun" w:hAnsi="Times New Roman" w:cs="Times New Roman"/>
      <w:kern w:val="0"/>
      <w:sz w:val="20"/>
      <w:szCs w:val="20"/>
      <w:lang w:val="fr-FR" w:eastAsia="zh-C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4468C"/>
    <w:pPr>
      <w:tabs>
        <w:tab w:val="clear" w:pos="1247"/>
      </w:tabs>
      <w:ind w:left="200" w:hanging="200"/>
    </w:pPr>
    <w:rPr>
      <w:lang w:val="en-GB"/>
    </w:rPr>
  </w:style>
  <w:style w:type="table" w:styleId="TableProfessional">
    <w:name w:val="Table Professional"/>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4468C"/>
    <w:pPr>
      <w:tabs>
        <w:tab w:val="left" w:pos="624"/>
        <w:tab w:val="left" w:pos="1247"/>
        <w:tab w:val="left" w:pos="1871"/>
        <w:tab w:val="left" w:pos="2495"/>
        <w:tab w:val="left" w:pos="3119"/>
        <w:tab w:val="left" w:pos="3742"/>
        <w:tab w:val="left" w:pos="4366"/>
      </w:tabs>
      <w:adjustRightInd w:val="0"/>
      <w:snapToGrid w:val="0"/>
      <w:spacing w:after="0" w:line="240" w:lineRule="auto"/>
    </w:pPr>
    <w:rPr>
      <w:rFonts w:ascii="Times New Roman" w:eastAsia="SimSun" w:hAnsi="Times New Roman" w:cs="Times New Roman"/>
      <w:kern w:val="0"/>
      <w:sz w:val="20"/>
      <w:szCs w:val="20"/>
      <w:lang w:val="fr-FR" w:eastAsia="zh-CN"/>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64468C"/>
    <w:pPr>
      <w:spacing w:before="120"/>
    </w:pPr>
    <w:rPr>
      <w:rFonts w:asciiTheme="majorHAnsi" w:eastAsiaTheme="majorEastAsia" w:hAnsiTheme="majorHAnsi" w:cstheme="majorBidi"/>
      <w:b/>
      <w:bCs/>
      <w:sz w:val="24"/>
      <w:szCs w:val="24"/>
      <w:lang w:val="en-GB"/>
    </w:rPr>
  </w:style>
  <w:style w:type="paragraph" w:styleId="TOCHeading">
    <w:name w:val="TOC Heading"/>
    <w:basedOn w:val="Heading1"/>
    <w:next w:val="Normal"/>
    <w:uiPriority w:val="39"/>
    <w:semiHidden/>
    <w:unhideWhenUsed/>
    <w:qFormat/>
    <w:rsid w:val="0064468C"/>
    <w:pPr>
      <w:tabs>
        <w:tab w:val="clear" w:pos="1814"/>
        <w:tab w:val="clear" w:pos="2381"/>
        <w:tab w:val="clear" w:pos="2948"/>
        <w:tab w:val="clear" w:pos="3515"/>
        <w:tab w:val="left" w:pos="624"/>
        <w:tab w:val="left" w:pos="1871"/>
        <w:tab w:val="left" w:pos="2495"/>
        <w:tab w:val="left" w:pos="3119"/>
        <w:tab w:val="left" w:pos="3742"/>
        <w:tab w:val="left" w:pos="4366"/>
      </w:tabs>
      <w:adjustRightInd w:val="0"/>
      <w:snapToGrid w:val="0"/>
      <w:spacing w:before="240" w:after="0"/>
      <w:outlineLvl w:val="9"/>
    </w:pPr>
    <w:rPr>
      <w:sz w:val="32"/>
      <w:szCs w:val="32"/>
      <w:lang w:val="en-GB"/>
    </w:rPr>
  </w:style>
  <w:style w:type="paragraph" w:styleId="Revision">
    <w:name w:val="Revision"/>
    <w:hidden/>
    <w:uiPriority w:val="99"/>
    <w:semiHidden/>
    <w:rsid w:val="0064468C"/>
    <w:pPr>
      <w:spacing w:after="0" w:line="240" w:lineRule="auto"/>
    </w:pPr>
    <w:rPr>
      <w:rFonts w:ascii="Times New Roman" w:eastAsia="Times New Roman" w:hAnsi="Times New Roman" w:cs="Times New Roman"/>
      <w:kern w:val="0"/>
      <w:sz w:val="20"/>
      <w:szCs w:val="20"/>
      <w:lang w:val="en-GB"/>
      <w14:ligatures w14:val="none"/>
    </w:rPr>
  </w:style>
  <w:style w:type="numbering" w:customStyle="1" w:styleId="CurrentList1">
    <w:name w:val="Current List1"/>
    <w:uiPriority w:val="99"/>
    <w:rsid w:val="0064468C"/>
    <w:pPr>
      <w:numPr>
        <w:numId w:val="18"/>
      </w:numPr>
    </w:pPr>
  </w:style>
  <w:style w:type="character" w:customStyle="1" w:styleId="ZZAnxtitleChar">
    <w:name w:val="ZZ_Anx_title Char"/>
    <w:link w:val="ZZAnxtitle"/>
    <w:rsid w:val="0064468C"/>
    <w:rPr>
      <w:rFonts w:ascii="Times New Roman" w:eastAsia="Times New Roman" w:hAnsi="Times New Roman" w:cs="Times New Roman"/>
      <w:b/>
      <w:bCs/>
      <w:kern w:val="0"/>
      <w:sz w:val="28"/>
      <w:szCs w:val="2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yperlink" Target="file:///D:\2026\mea-ozoneinfo@un.org"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file:///D:\2026\sandeep.bhambra@un.org" TargetMode="Externa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file:///D:\2026\meg.seki@un.org" TargetMode="External"/><Relationship Id="rId27" Type="http://schemas.openxmlformats.org/officeDocument/2006/relationships/footer" Target="footer8.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mea-ozoneinfo@un.org" TargetMode="External"/><Relationship Id="rId1" Type="http://schemas.openxmlformats.org/officeDocument/2006/relationships/hyperlink" Target="mailto:mea-ozoneinfo@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70D16-F12A-C84B-95E0-12155DBBA14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73</TotalTime>
  <Pages>63</Pages>
  <Words>38847</Words>
  <Characters>221433</Characters>
  <Application>Microsoft Office Word</Application>
  <DocSecurity>0</DocSecurity>
  <Lines>1845</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Taira Mamedova</dc:creator>
  <cp:keywords/>
  <dc:description/>
  <cp:lastModifiedBy>Natalia Tcomaia</cp:lastModifiedBy>
  <cp:revision>11</cp:revision>
  <dcterms:created xsi:type="dcterms:W3CDTF">2026-09-08T08:03:00Z</dcterms:created>
  <dcterms:modified xsi:type="dcterms:W3CDTF">2026-09-09T07:05:00Z</dcterms:modified>
</cp:coreProperties>
</file>