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6C65C8" w:rsidRPr="006C65C8" w14:paraId="633128BE" w14:textId="77777777" w:rsidTr="00F25EDF">
        <w:trPr>
          <w:trHeight w:val="850"/>
        </w:trPr>
        <w:tc>
          <w:tcPr>
            <w:tcW w:w="1559" w:type="dxa"/>
          </w:tcPr>
          <w:p w14:paraId="360C2B4A" w14:textId="77777777" w:rsidR="006C65C8" w:rsidRPr="006C65C8" w:rsidRDefault="006C65C8" w:rsidP="006C65C8">
            <w:pPr>
              <w:spacing w:before="20" w:after="20" w:line="240" w:lineRule="auto"/>
              <w:rPr>
                <w:rFonts w:ascii="Arial" w:eastAsia="Times New Roman" w:hAnsi="Arial" w:cs="Times New Roman Bold"/>
                <w:b/>
                <w:caps/>
                <w:color w:val="000000"/>
                <w:kern w:val="0"/>
                <w:sz w:val="27"/>
                <w:szCs w:val="20"/>
                <w14:ligatures w14:val="none"/>
              </w:rPr>
            </w:pPr>
            <w:r w:rsidRPr="006C65C8">
              <w:rPr>
                <w:rFonts w:ascii="Arial" w:eastAsia="Times New Roman" w:hAnsi="Arial" w:cs="Times New Roman Bold"/>
                <w:b/>
                <w:caps/>
                <w:color w:val="000000"/>
                <w:kern w:val="0"/>
                <w:sz w:val="27"/>
                <w:szCs w:val="20"/>
                <w14:ligatures w14:val="none"/>
              </w:rPr>
              <w:t xml:space="preserve">United </w:t>
            </w:r>
            <w:r w:rsidRPr="006C65C8">
              <w:rPr>
                <w:rFonts w:ascii="Arial" w:eastAsia="Times New Roman" w:hAnsi="Arial" w:cs="Times New Roman Bold"/>
                <w:b/>
                <w:caps/>
                <w:color w:val="000000"/>
                <w:kern w:val="0"/>
                <w:sz w:val="27"/>
                <w:szCs w:val="20"/>
                <w14:ligatures w14:val="none"/>
              </w:rPr>
              <w:br/>
              <w:t>Nations</w:t>
            </w:r>
          </w:p>
        </w:tc>
        <w:tc>
          <w:tcPr>
            <w:tcW w:w="4819" w:type="dxa"/>
          </w:tcPr>
          <w:p w14:paraId="0BE57ABF" w14:textId="77777777" w:rsidR="006C65C8" w:rsidRPr="006C65C8" w:rsidRDefault="006C65C8" w:rsidP="006C65C8">
            <w:pPr>
              <w:tabs>
                <w:tab w:val="left" w:pos="1247"/>
                <w:tab w:val="left" w:pos="1814"/>
                <w:tab w:val="left" w:pos="2381"/>
                <w:tab w:val="left" w:pos="2948"/>
                <w:tab w:val="left" w:pos="3515"/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65C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658240" behindDoc="0" locked="0" layoutInCell="1" allowOverlap="0" wp14:anchorId="606C945E" wp14:editId="4084D4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267200" cy="572400"/>
                  <wp:effectExtent l="0" t="0" r="0" b="0"/>
                  <wp:wrapNone/>
                  <wp:docPr id="1" name="Picture 1" descr="A picture containing sketch, fa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ketch, fan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2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</w:tcPr>
          <w:p w14:paraId="7DA2A216" w14:textId="77777777" w:rsidR="006C65C8" w:rsidRPr="006C65C8" w:rsidRDefault="006C65C8" w:rsidP="006C65C8">
            <w:pPr>
              <w:tabs>
                <w:tab w:val="left" w:pos="1247"/>
                <w:tab w:val="left" w:pos="1814"/>
                <w:tab w:val="left" w:pos="2381"/>
                <w:tab w:val="left" w:pos="2948"/>
                <w:tab w:val="left" w:pos="3515"/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F4D983" w14:textId="77777777" w:rsidR="006C65C8" w:rsidRPr="006C65C8" w:rsidRDefault="006C65C8" w:rsidP="006C65C8">
      <w:pPr>
        <w:tabs>
          <w:tab w:val="left" w:pos="1247"/>
          <w:tab w:val="left" w:pos="1814"/>
          <w:tab w:val="left" w:pos="2381"/>
          <w:tab w:val="left" w:pos="2948"/>
          <w:tab w:val="left" w:pos="3515"/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</w:p>
    <w:tbl>
      <w:tblPr>
        <w:tblW w:w="9497" w:type="dxa"/>
        <w:tblLook w:val="0000" w:firstRow="0" w:lastRow="0" w:firstColumn="0" w:lastColumn="0" w:noHBand="0" w:noVBand="0"/>
      </w:tblPr>
      <w:tblGrid>
        <w:gridCol w:w="6378"/>
        <w:gridCol w:w="3119"/>
      </w:tblGrid>
      <w:tr w:rsidR="006C65C8" w:rsidRPr="006C65C8" w14:paraId="55BB8644" w14:textId="77777777" w:rsidTr="00F25EDF">
        <w:trPr>
          <w:trHeight w:val="340"/>
        </w:trPr>
        <w:tc>
          <w:tcPr>
            <w:tcW w:w="6378" w:type="dxa"/>
            <w:vAlign w:val="bottom"/>
          </w:tcPr>
          <w:p w14:paraId="1F49644A" w14:textId="77777777" w:rsidR="006C65C8" w:rsidRPr="006C65C8" w:rsidRDefault="006C65C8" w:rsidP="006C65C8">
            <w:pPr>
              <w:tabs>
                <w:tab w:val="left" w:pos="1247"/>
                <w:tab w:val="left" w:pos="1814"/>
                <w:tab w:val="left" w:pos="2381"/>
                <w:tab w:val="left" w:pos="2948"/>
                <w:tab w:val="left" w:pos="351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9" w:type="dxa"/>
            <w:noWrap/>
            <w:vAlign w:val="bottom"/>
          </w:tcPr>
          <w:p w14:paraId="5D991B5C" w14:textId="04C65144" w:rsidR="006C65C8" w:rsidRPr="006C65C8" w:rsidRDefault="006C65C8" w:rsidP="006C65C8">
            <w:pPr>
              <w:tabs>
                <w:tab w:val="right" w:pos="2920"/>
              </w:tabs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65C8">
              <w:rPr>
                <w:rFonts w:ascii="Times New Roman" w:eastAsia="SimSu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UNEP</w:t>
            </w:r>
            <w:r w:rsidRPr="006C65C8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/OzL.Pro.WG.</w:t>
            </w:r>
            <w:bookmarkStart w:id="0" w:name="Symbol1A"/>
            <w:r w:rsidRPr="006C65C8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bookmarkStart w:id="1" w:name="Symbol1B"/>
            <w:bookmarkEnd w:id="0"/>
            <w:r w:rsidRPr="006C65C8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/4</w:t>
            </w:r>
            <w:bookmarkStart w:id="2" w:name="Symbol1C"/>
            <w:bookmarkEnd w:id="1"/>
            <w:r w:rsidR="00F3555D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  <w:r w:rsidRPr="006C65C8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/</w:t>
            </w:r>
            <w:bookmarkEnd w:id="2"/>
            <w:r w:rsidRPr="006C65C8"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INF/</w:t>
            </w: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</w:tbl>
    <w:p w14:paraId="161AC37C" w14:textId="77777777" w:rsidR="006C65C8" w:rsidRPr="006C65C8" w:rsidRDefault="006C65C8" w:rsidP="006C65C8">
      <w:pPr>
        <w:tabs>
          <w:tab w:val="left" w:pos="1247"/>
          <w:tab w:val="left" w:pos="1814"/>
          <w:tab w:val="left" w:pos="2381"/>
          <w:tab w:val="left" w:pos="2948"/>
          <w:tab w:val="left" w:pos="3515"/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14:ligatures w14:val="none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42"/>
        <w:gridCol w:w="3118"/>
      </w:tblGrid>
      <w:tr w:rsidR="006C65C8" w:rsidRPr="006C65C8" w14:paraId="776B0A07" w14:textId="77777777" w:rsidTr="00F25EDF">
        <w:trPr>
          <w:trHeight w:val="2098"/>
        </w:trPr>
        <w:tc>
          <w:tcPr>
            <w:tcW w:w="4536" w:type="dxa"/>
          </w:tcPr>
          <w:p w14:paraId="1BCA2B4A" w14:textId="77777777" w:rsidR="006C65C8" w:rsidRPr="006C65C8" w:rsidRDefault="006C65C8" w:rsidP="006C65C8">
            <w:pPr>
              <w:spacing w:before="120" w:after="240" w:line="240" w:lineRule="auto"/>
              <w:rPr>
                <w:rFonts w:ascii="Arial" w:eastAsia="Times New Roman" w:hAnsi="Arial" w:cs="Times New Roman"/>
                <w:b/>
                <w:kern w:val="0"/>
                <w:sz w:val="28"/>
                <w:szCs w:val="20"/>
                <w14:ligatures w14:val="none"/>
              </w:rPr>
            </w:pPr>
            <w:r w:rsidRPr="006C65C8">
              <w:rPr>
                <w:rFonts w:ascii="Arial" w:eastAsia="Calibri" w:hAnsi="Arial" w:cs="Times New Roman"/>
                <w:b/>
                <w:kern w:val="0"/>
                <w:sz w:val="28"/>
                <w:szCs w:val="20"/>
                <w14:ligatures w14:val="none"/>
              </w:rPr>
              <w:t xml:space="preserve">Montreal Protocol </w:t>
            </w:r>
            <w:r w:rsidRPr="006C65C8">
              <w:rPr>
                <w:rFonts w:ascii="Arial" w:eastAsia="Calibri" w:hAnsi="Arial" w:cs="Times New Roman"/>
                <w:b/>
                <w:kern w:val="0"/>
                <w:sz w:val="28"/>
                <w:szCs w:val="20"/>
                <w14:ligatures w14:val="none"/>
              </w:rPr>
              <w:br/>
              <w:t xml:space="preserve">on Substances that </w:t>
            </w:r>
            <w:r w:rsidRPr="006C65C8">
              <w:rPr>
                <w:rFonts w:ascii="Arial" w:eastAsia="Calibri" w:hAnsi="Arial" w:cs="Times New Roman"/>
                <w:b/>
                <w:kern w:val="0"/>
                <w:sz w:val="28"/>
                <w:szCs w:val="20"/>
                <w14:ligatures w14:val="none"/>
              </w:rPr>
              <w:br/>
              <w:t>Deplete the Ozone Layer</w:t>
            </w:r>
          </w:p>
        </w:tc>
        <w:tc>
          <w:tcPr>
            <w:tcW w:w="1842" w:type="dxa"/>
          </w:tcPr>
          <w:p w14:paraId="35EB750C" w14:textId="77777777" w:rsidR="006C65C8" w:rsidRPr="006C65C8" w:rsidRDefault="006C65C8" w:rsidP="006C65C8">
            <w:pPr>
              <w:tabs>
                <w:tab w:val="left" w:pos="1247"/>
                <w:tab w:val="left" w:pos="1814"/>
                <w:tab w:val="left" w:pos="2381"/>
                <w:tab w:val="left" w:pos="2948"/>
                <w:tab w:val="left" w:pos="3515"/>
                <w:tab w:val="left" w:pos="408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</w:tcPr>
          <w:p w14:paraId="24F62BEC" w14:textId="038A6CAB" w:rsidR="006C65C8" w:rsidRPr="006C65C8" w:rsidRDefault="006C65C8" w:rsidP="006C65C8">
            <w:pPr>
              <w:tabs>
                <w:tab w:val="left" w:pos="1247"/>
                <w:tab w:val="left" w:pos="1814"/>
                <w:tab w:val="left" w:pos="2381"/>
                <w:tab w:val="left" w:pos="2948"/>
                <w:tab w:val="left" w:pos="3515"/>
                <w:tab w:val="left" w:pos="408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C65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Distr.: General </w:t>
            </w:r>
            <w:r w:rsidRPr="006C65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bookmarkStart w:id="3" w:name="DistributionDate"/>
            <w:r w:rsidR="00A03793" w:rsidRPr="00DD64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 w:themeFill="background1"/>
                <w14:ligatures w14:val="none"/>
              </w:rPr>
              <w:t xml:space="preserve">23 </w:t>
            </w:r>
            <w:r w:rsidR="00AA6F61" w:rsidRPr="00DD64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 w:themeFill="background1"/>
                <w14:ligatures w14:val="none"/>
              </w:rPr>
              <w:t>June</w:t>
            </w:r>
            <w:r w:rsidRPr="00F06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AA6F61" w:rsidRPr="00F067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bookmarkEnd w:id="3"/>
            <w:r w:rsidRPr="006C65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2FFB90E" w14:textId="77777777" w:rsidR="006C65C8" w:rsidRPr="006C65C8" w:rsidRDefault="006C65C8" w:rsidP="006C65C8">
            <w:pPr>
              <w:tabs>
                <w:tab w:val="left" w:pos="1247"/>
                <w:tab w:val="left" w:pos="1814"/>
                <w:tab w:val="left" w:pos="2381"/>
                <w:tab w:val="left" w:pos="2948"/>
                <w:tab w:val="left" w:pos="3515"/>
                <w:tab w:val="left" w:pos="4082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4" w:name="DistributionLang"/>
            <w:r w:rsidRPr="006C65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English</w:t>
            </w:r>
            <w:bookmarkEnd w:id="4"/>
            <w:r w:rsidRPr="006C65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only</w:t>
            </w:r>
          </w:p>
        </w:tc>
      </w:tr>
    </w:tbl>
    <w:p w14:paraId="3A80F229" w14:textId="77777777" w:rsidR="00126666" w:rsidRDefault="00126666" w:rsidP="00126666">
      <w:pPr>
        <w:pStyle w:val="AATitle"/>
      </w:pPr>
      <w:bookmarkStart w:id="5" w:name="CorNot1Text"/>
      <w:r>
        <w:t xml:space="preserve">Open-ended Working Group of the Parties </w:t>
      </w:r>
      <w:r>
        <w:br/>
        <w:t xml:space="preserve">to the Montreal Protocol on Substances </w:t>
      </w:r>
      <w:r>
        <w:br/>
        <w:t xml:space="preserve">that Deplete the Ozone Layer </w:t>
      </w:r>
    </w:p>
    <w:p w14:paraId="7FD6F4DF" w14:textId="6F583A54" w:rsidR="00126666" w:rsidRDefault="00126666" w:rsidP="00126666">
      <w:pPr>
        <w:pStyle w:val="AATitle"/>
      </w:pPr>
      <w:r>
        <w:t>Forty-</w:t>
      </w:r>
      <w:r w:rsidR="00F3555D">
        <w:t>eigh</w:t>
      </w:r>
      <w:r>
        <w:t>th meeting</w:t>
      </w:r>
      <w:bookmarkEnd w:id="5"/>
      <w:r>
        <w:t xml:space="preserve"> </w:t>
      </w:r>
    </w:p>
    <w:p w14:paraId="747D0805" w14:textId="35804D6E" w:rsidR="00126666" w:rsidRDefault="00126666" w:rsidP="00126666">
      <w:pPr>
        <w:pStyle w:val="AATitle1"/>
      </w:pPr>
      <w:r w:rsidRPr="0064495A">
        <w:rPr>
          <w:bCs/>
          <w:lang w:val="en-GB"/>
        </w:rPr>
        <w:t xml:space="preserve">Bangkok, </w:t>
      </w:r>
      <w:r w:rsidR="000E47FE">
        <w:rPr>
          <w:bCs/>
          <w:lang w:val="en-GB"/>
        </w:rPr>
        <w:t>1</w:t>
      </w:r>
      <w:r w:rsidR="00D01656">
        <w:rPr>
          <w:bCs/>
          <w:lang w:val="en-GB"/>
        </w:rPr>
        <w:t>3</w:t>
      </w:r>
      <w:r w:rsidRPr="0064495A">
        <w:rPr>
          <w:bCs/>
          <w:lang w:val="en-GB"/>
        </w:rPr>
        <w:t>–</w:t>
      </w:r>
      <w:r w:rsidR="005C0AE5">
        <w:rPr>
          <w:bCs/>
          <w:lang w:val="en-GB"/>
        </w:rPr>
        <w:t>1</w:t>
      </w:r>
      <w:r w:rsidR="00D01656">
        <w:rPr>
          <w:bCs/>
          <w:lang w:val="en-GB"/>
        </w:rPr>
        <w:t>7</w:t>
      </w:r>
      <w:r w:rsidRPr="0064495A">
        <w:rPr>
          <w:bCs/>
          <w:lang w:val="en-GB"/>
        </w:rPr>
        <w:t xml:space="preserve"> July 202</w:t>
      </w:r>
      <w:r w:rsidR="000E47FE">
        <w:rPr>
          <w:bCs/>
          <w:lang w:val="en-GB"/>
        </w:rPr>
        <w:t>6</w:t>
      </w:r>
      <w:r>
        <w:t xml:space="preserve"> </w:t>
      </w:r>
    </w:p>
    <w:p w14:paraId="16A6D4F2" w14:textId="17FD8DF1" w:rsidR="00126666" w:rsidRDefault="00126666" w:rsidP="00126666">
      <w:pPr>
        <w:pStyle w:val="AATitle1"/>
        <w:rPr>
          <w:bCs/>
          <w:lang w:val="en-GB"/>
        </w:rPr>
      </w:pPr>
      <w:r w:rsidRPr="00BE368E">
        <w:rPr>
          <w:bCs/>
          <w:lang w:val="en-GB"/>
        </w:rPr>
        <w:t xml:space="preserve">Item </w:t>
      </w:r>
      <w:r w:rsidR="002E4B14" w:rsidRPr="002A4458">
        <w:rPr>
          <w:bCs/>
          <w:lang w:val="en-GB"/>
        </w:rPr>
        <w:t>3</w:t>
      </w:r>
      <w:r>
        <w:t xml:space="preserve"> </w:t>
      </w:r>
      <w:r w:rsidRPr="00BE368E">
        <w:rPr>
          <w:bCs/>
          <w:lang w:val="en-GB"/>
        </w:rPr>
        <w:t>of the provisional agenda</w:t>
      </w:r>
      <w:r w:rsidR="009715AE">
        <w:rPr>
          <w:rStyle w:val="FootnoteReference"/>
          <w:bCs/>
          <w:lang w:val="en-GB"/>
        </w:rPr>
        <w:footnoteReference w:id="1"/>
      </w:r>
    </w:p>
    <w:p w14:paraId="60A7C13A" w14:textId="77777777" w:rsidR="00252162" w:rsidRDefault="00252162" w:rsidP="00126666">
      <w:pPr>
        <w:pStyle w:val="AATitle1"/>
        <w:rPr>
          <w:bCs/>
          <w:lang w:val="en-GB"/>
        </w:rPr>
      </w:pPr>
    </w:p>
    <w:p w14:paraId="68BA2B9B" w14:textId="753B27B2" w:rsidR="00A51E2D" w:rsidRDefault="00747ADF" w:rsidP="00126666">
      <w:pPr>
        <w:pStyle w:val="AATitle1"/>
        <w:rPr>
          <w:bCs/>
          <w:lang w:val="en-GB"/>
        </w:rPr>
      </w:pPr>
      <w:r w:rsidRPr="00252162">
        <w:rPr>
          <w:b/>
          <w:lang w:val="en-GB"/>
        </w:rPr>
        <w:t xml:space="preserve">Report of the Technology and Economic Assessment Panel on </w:t>
      </w:r>
      <w:r w:rsidRPr="00252162">
        <w:rPr>
          <w:b/>
          <w:lang w:val="en-GB"/>
        </w:rPr>
        <w:br/>
        <w:t xml:space="preserve">the 2027–2029 replenishment of the Multilateral Fund </w:t>
      </w:r>
      <w:r w:rsidRPr="00252162">
        <w:rPr>
          <w:b/>
          <w:lang w:val="en-GB"/>
        </w:rPr>
        <w:br/>
        <w:t xml:space="preserve">for the Implementation of the Montreal Protocol </w:t>
      </w:r>
    </w:p>
    <w:p w14:paraId="244CD389" w14:textId="77777777" w:rsidR="00890451" w:rsidRDefault="00890451" w:rsidP="00126666">
      <w:pPr>
        <w:pStyle w:val="AATitle1"/>
        <w:rPr>
          <w:b/>
          <w:bCs/>
          <w:lang w:val="en-GB"/>
        </w:rPr>
      </w:pPr>
    </w:p>
    <w:p w14:paraId="2619F94E" w14:textId="77777777" w:rsidR="00680998" w:rsidRDefault="00680998" w:rsidP="00126666">
      <w:pPr>
        <w:pStyle w:val="AATitle1"/>
        <w:rPr>
          <w:b/>
          <w:bCs/>
          <w:lang w:val="en-GB"/>
        </w:rPr>
      </w:pPr>
    </w:p>
    <w:p w14:paraId="5F05D5D0" w14:textId="77777777" w:rsidR="00A51E2D" w:rsidRPr="00126666" w:rsidRDefault="00A51E2D" w:rsidP="00126666">
      <w:pPr>
        <w:pStyle w:val="AATitle1"/>
        <w:rPr>
          <w:b/>
          <w:bCs/>
          <w:lang w:val="en-GB"/>
        </w:rPr>
      </w:pPr>
    </w:p>
    <w:p w14:paraId="74018AE7" w14:textId="70779B6F" w:rsidR="00680998" w:rsidRDefault="00680998" w:rsidP="00680998">
      <w:pPr>
        <w:pStyle w:val="CH2"/>
        <w:tabs>
          <w:tab w:val="clear" w:pos="851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76" w:right="289" w:hanging="125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420B72" w:rsidRPr="00420B72">
        <w:rPr>
          <w:sz w:val="28"/>
          <w:szCs w:val="28"/>
          <w:lang w:val="en-US"/>
        </w:rPr>
        <w:t xml:space="preserve">Scale of assessments, rates of exchange and average inflation rates for the period </w:t>
      </w:r>
      <w:r w:rsidR="00420B72" w:rsidRPr="002A4458">
        <w:rPr>
          <w:sz w:val="28"/>
          <w:szCs w:val="28"/>
          <w:lang w:val="en-US"/>
        </w:rPr>
        <w:t>2024</w:t>
      </w:r>
      <w:r w:rsidR="00D424B0">
        <w:rPr>
          <w:sz w:val="28"/>
          <w:szCs w:val="28"/>
          <w:lang w:val="en-US"/>
        </w:rPr>
        <w:t>–</w:t>
      </w:r>
      <w:r w:rsidR="00420B72" w:rsidRPr="002A4458">
        <w:rPr>
          <w:sz w:val="28"/>
          <w:szCs w:val="28"/>
          <w:lang w:val="en-US"/>
        </w:rPr>
        <w:t>2026</w:t>
      </w:r>
      <w:r w:rsidR="00420B72" w:rsidRPr="00420B72">
        <w:rPr>
          <w:sz w:val="28"/>
          <w:szCs w:val="28"/>
          <w:lang w:val="en-US"/>
        </w:rPr>
        <w:t xml:space="preserve"> for contributions by parties to</w:t>
      </w:r>
      <w:r w:rsidR="006428BD">
        <w:rPr>
          <w:sz w:val="28"/>
          <w:szCs w:val="28"/>
          <w:lang w:val="en-US"/>
        </w:rPr>
        <w:br/>
      </w:r>
      <w:r w:rsidR="00420B72" w:rsidRPr="00420B72">
        <w:rPr>
          <w:sz w:val="28"/>
          <w:szCs w:val="28"/>
          <w:lang w:val="en-US"/>
        </w:rPr>
        <w:t xml:space="preserve">the </w:t>
      </w:r>
      <w:r w:rsidR="00420B72" w:rsidRPr="002A4458">
        <w:rPr>
          <w:sz w:val="28"/>
          <w:szCs w:val="28"/>
          <w:lang w:val="en-US"/>
        </w:rPr>
        <w:t>2027–202</w:t>
      </w:r>
      <w:r w:rsidR="00420B72" w:rsidRPr="00252162">
        <w:rPr>
          <w:sz w:val="28"/>
          <w:szCs w:val="28"/>
          <w:lang w:val="en-US"/>
        </w:rPr>
        <w:t>9</w:t>
      </w:r>
      <w:r w:rsidR="00420B72" w:rsidRPr="00420B72">
        <w:rPr>
          <w:sz w:val="28"/>
          <w:szCs w:val="28"/>
          <w:lang w:val="en-US"/>
        </w:rPr>
        <w:t xml:space="preserve"> replenishment of the Multilateral Fund for the Implementation of the Montreal Protocol</w:t>
      </w:r>
    </w:p>
    <w:p w14:paraId="190F9DC5" w14:textId="338449CE" w:rsidR="0067432B" w:rsidRPr="005B13D7" w:rsidRDefault="0067432B" w:rsidP="00680998">
      <w:pPr>
        <w:pStyle w:val="CH2"/>
        <w:tabs>
          <w:tab w:val="clear" w:pos="851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76" w:right="289" w:hanging="28"/>
      </w:pPr>
      <w:r w:rsidRPr="005B13D7">
        <w:t xml:space="preserve">Note by the </w:t>
      </w:r>
      <w:r w:rsidR="00890451">
        <w:t>S</w:t>
      </w:r>
      <w:r w:rsidRPr="005B13D7">
        <w:t>ecretariat</w:t>
      </w:r>
    </w:p>
    <w:p w14:paraId="6B212A9B" w14:textId="6299D77E" w:rsidR="0026406A" w:rsidRPr="00680998" w:rsidRDefault="003E49E3" w:rsidP="00680998">
      <w:pPr>
        <w:pStyle w:val="Normalnumber"/>
        <w:numPr>
          <w:ilvl w:val="0"/>
          <w:numId w:val="47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568"/>
          <w:tab w:val="left" w:pos="624"/>
        </w:tabs>
        <w:spacing w:after="100"/>
        <w:ind w:left="1248" w:firstLine="0"/>
      </w:pPr>
      <w:r w:rsidRPr="00680998">
        <w:t xml:space="preserve">The annex to </w:t>
      </w:r>
      <w:r w:rsidR="002D73B2" w:rsidRPr="00680998">
        <w:t xml:space="preserve">the present note </w:t>
      </w:r>
      <w:r w:rsidR="009E64B3" w:rsidRPr="00680998">
        <w:t xml:space="preserve">contains </w:t>
      </w:r>
      <w:r w:rsidR="00DC1A9B" w:rsidRPr="00680998">
        <w:t xml:space="preserve">a table showing the </w:t>
      </w:r>
      <w:r w:rsidR="00BA3C84" w:rsidRPr="00680998">
        <w:t xml:space="preserve">scale of </w:t>
      </w:r>
      <w:r w:rsidR="00651274" w:rsidRPr="00680998">
        <w:t xml:space="preserve">assessments </w:t>
      </w:r>
      <w:r w:rsidR="007D4BED">
        <w:t xml:space="preserve">for </w:t>
      </w:r>
      <w:r w:rsidR="00651274" w:rsidRPr="00680998">
        <w:t>202</w:t>
      </w:r>
      <w:r w:rsidR="007A09D4">
        <w:t>5</w:t>
      </w:r>
      <w:r w:rsidR="009B086D">
        <w:t>–</w:t>
      </w:r>
      <w:r w:rsidR="007D4BED">
        <w:t>20</w:t>
      </w:r>
      <w:r w:rsidR="00BB2D7A" w:rsidRPr="00680998">
        <w:t>2</w:t>
      </w:r>
      <w:r w:rsidR="009B086D">
        <w:t xml:space="preserve">7 </w:t>
      </w:r>
      <w:r w:rsidR="00D97C17" w:rsidRPr="00680998">
        <w:t xml:space="preserve">and </w:t>
      </w:r>
      <w:r w:rsidR="00E00DDF" w:rsidRPr="00680998">
        <w:t>average U</w:t>
      </w:r>
      <w:r w:rsidR="007D4BED">
        <w:t xml:space="preserve">nited </w:t>
      </w:r>
      <w:r w:rsidR="00E00DDF" w:rsidRPr="00680998">
        <w:t>N</w:t>
      </w:r>
      <w:r w:rsidR="007D4BED">
        <w:t>ations</w:t>
      </w:r>
      <w:r w:rsidR="00E00DDF" w:rsidRPr="00680998">
        <w:t xml:space="preserve"> </w:t>
      </w:r>
      <w:r w:rsidR="00D97C17" w:rsidRPr="00680998">
        <w:t>rates of exchange</w:t>
      </w:r>
      <w:r w:rsidR="00E00DDF" w:rsidRPr="00680998">
        <w:t xml:space="preserve"> from </w:t>
      </w:r>
      <w:r w:rsidR="00E00DDF" w:rsidRPr="002A4458">
        <w:t>1 January to 30 June 202</w:t>
      </w:r>
      <w:r w:rsidR="006A1223" w:rsidRPr="002A4458">
        <w:t>6</w:t>
      </w:r>
      <w:r w:rsidR="00D97C17" w:rsidRPr="00680998">
        <w:t xml:space="preserve"> </w:t>
      </w:r>
      <w:r w:rsidR="004E587B" w:rsidRPr="00680998">
        <w:t xml:space="preserve">for contributions by </w:t>
      </w:r>
      <w:r w:rsidR="00A27A9B" w:rsidRPr="00680998">
        <w:t>p</w:t>
      </w:r>
      <w:r w:rsidR="005C7DED" w:rsidRPr="00680998">
        <w:t>arties</w:t>
      </w:r>
      <w:r w:rsidR="002D73B2" w:rsidRPr="00680998">
        <w:t xml:space="preserve"> </w:t>
      </w:r>
      <w:r w:rsidR="00DC1A9B" w:rsidRPr="00680998">
        <w:t>not operating under</w:t>
      </w:r>
      <w:r w:rsidR="002D73B2" w:rsidRPr="00680998">
        <w:t xml:space="preserve"> paragraph 1 of</w:t>
      </w:r>
      <w:r w:rsidR="00DC1A9B" w:rsidRPr="00680998">
        <w:t xml:space="preserve"> </w:t>
      </w:r>
      <w:r w:rsidR="0052195F">
        <w:t>A</w:t>
      </w:r>
      <w:r w:rsidR="00DC1A9B" w:rsidRPr="00680998">
        <w:t>rticle 5</w:t>
      </w:r>
      <w:r w:rsidR="002D73B2" w:rsidRPr="00680998">
        <w:t xml:space="preserve"> </w:t>
      </w:r>
      <w:r w:rsidR="004E587B" w:rsidRPr="00680998">
        <w:t xml:space="preserve">of the Montreal Protocol </w:t>
      </w:r>
      <w:r w:rsidR="00DB5126" w:rsidRPr="00680998">
        <w:t>on Substances that Deplete the Ozone Layer</w:t>
      </w:r>
      <w:r w:rsidR="0026406A" w:rsidRPr="00680998">
        <w:t>.</w:t>
      </w:r>
    </w:p>
    <w:p w14:paraId="072448F0" w14:textId="639A0997" w:rsidR="007A0A78" w:rsidRPr="00680998" w:rsidRDefault="0026406A" w:rsidP="00680998">
      <w:pPr>
        <w:pStyle w:val="Normalnumber"/>
        <w:numPr>
          <w:ilvl w:val="0"/>
          <w:numId w:val="47"/>
        </w:numPr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568"/>
          <w:tab w:val="left" w:pos="624"/>
        </w:tabs>
        <w:spacing w:after="100"/>
        <w:ind w:left="1248" w:firstLine="0"/>
      </w:pPr>
      <w:r w:rsidRPr="00680998">
        <w:t>The scale of assessment</w:t>
      </w:r>
      <w:r w:rsidR="00D677A2">
        <w:t>s</w:t>
      </w:r>
      <w:r w:rsidRPr="00680998">
        <w:t xml:space="preserve"> is for the information of the parties at the time of consideration of the </w:t>
      </w:r>
      <w:r w:rsidR="00BA3C84" w:rsidRPr="00680998">
        <w:t>20</w:t>
      </w:r>
      <w:r w:rsidR="00C31F18" w:rsidRPr="00680998">
        <w:t>2</w:t>
      </w:r>
      <w:r w:rsidR="00573BA2">
        <w:t>7</w:t>
      </w:r>
      <w:r w:rsidR="00BA3C84" w:rsidRPr="00680998">
        <w:t>–20</w:t>
      </w:r>
      <w:r w:rsidR="00B13EFB" w:rsidRPr="00680998">
        <w:t>2</w:t>
      </w:r>
      <w:r w:rsidR="00573BA2">
        <w:t>9</w:t>
      </w:r>
      <w:r w:rsidR="002D73B2" w:rsidRPr="00680998">
        <w:t xml:space="preserve"> replenishment of the Multilateral Fund for the Implementation of the Montreal Protocol</w:t>
      </w:r>
      <w:r w:rsidR="00DC1A9B" w:rsidRPr="00680998">
        <w:t>.</w:t>
      </w:r>
      <w:r w:rsidR="0067432B" w:rsidRPr="00680998">
        <w:t xml:space="preserve"> </w:t>
      </w:r>
      <w:r w:rsidR="00614E03" w:rsidRPr="00680998">
        <w:t xml:space="preserve">The scale has been adjusted for the purpose of </w:t>
      </w:r>
      <w:r w:rsidRPr="00680998">
        <w:t xml:space="preserve">contributions to </w:t>
      </w:r>
      <w:r w:rsidR="00614E03" w:rsidRPr="00680998">
        <w:t xml:space="preserve">the </w:t>
      </w:r>
      <w:r w:rsidR="006B14CF" w:rsidRPr="00680998">
        <w:t xml:space="preserve">Multilateral Fund </w:t>
      </w:r>
      <w:r w:rsidRPr="00680998">
        <w:t>based on</w:t>
      </w:r>
      <w:r w:rsidR="00614E03" w:rsidRPr="00680998">
        <w:t xml:space="preserve"> the United Nations scale of assessments for the </w:t>
      </w:r>
      <w:r w:rsidR="00651274" w:rsidRPr="00680998">
        <w:t xml:space="preserve">period </w:t>
      </w:r>
      <w:r w:rsidR="00651274" w:rsidRPr="002A4458">
        <w:t>202</w:t>
      </w:r>
      <w:r w:rsidR="00EF7C98" w:rsidRPr="002A4458">
        <w:t>5</w:t>
      </w:r>
      <w:r w:rsidR="00A666AF">
        <w:t>–</w:t>
      </w:r>
      <w:r w:rsidR="00E578A9" w:rsidRPr="002A4458">
        <w:t>202</w:t>
      </w:r>
      <w:r w:rsidR="00EF7C98" w:rsidRPr="002A4458">
        <w:t>7</w:t>
      </w:r>
      <w:r w:rsidR="004F1A95" w:rsidRPr="00680998">
        <w:t xml:space="preserve"> (see</w:t>
      </w:r>
      <w:r w:rsidR="00BB0234" w:rsidRPr="00680998">
        <w:t> </w:t>
      </w:r>
      <w:r w:rsidR="004F1A95" w:rsidRPr="00680998">
        <w:t xml:space="preserve">General Assembly </w:t>
      </w:r>
      <w:r w:rsidR="00651274" w:rsidRPr="00680998">
        <w:t xml:space="preserve">resolution </w:t>
      </w:r>
      <w:r w:rsidR="00FC0EE8" w:rsidRPr="00FC0EE8">
        <w:t>79/</w:t>
      </w:r>
      <w:r w:rsidR="00FC0EE8" w:rsidRPr="00D62EC7">
        <w:t>249</w:t>
      </w:r>
      <w:r w:rsidR="00C61A47" w:rsidRPr="00D62EC7">
        <w:t xml:space="preserve"> dated 24 Dec</w:t>
      </w:r>
      <w:r w:rsidRPr="00D62EC7">
        <w:t>ember</w:t>
      </w:r>
      <w:r w:rsidR="00C61A47" w:rsidRPr="00D62EC7">
        <w:t xml:space="preserve"> 20</w:t>
      </w:r>
      <w:r w:rsidR="00B57280" w:rsidRPr="00D62EC7">
        <w:t>2</w:t>
      </w:r>
      <w:r w:rsidR="0070658C">
        <w:t>4</w:t>
      </w:r>
      <w:r w:rsidR="004F1A95" w:rsidRPr="00680998">
        <w:t>)</w:t>
      </w:r>
      <w:r w:rsidR="00614E03" w:rsidRPr="00680998">
        <w:t xml:space="preserve">. </w:t>
      </w:r>
      <w:r w:rsidR="004E587B" w:rsidRPr="00680998">
        <w:t>The adjusted scale of assessment</w:t>
      </w:r>
      <w:r w:rsidR="00614E03" w:rsidRPr="00680998">
        <w:t>s</w:t>
      </w:r>
      <w:r w:rsidR="004E587B" w:rsidRPr="00680998">
        <w:t xml:space="preserve"> </w:t>
      </w:r>
      <w:r w:rsidR="00D97C17" w:rsidRPr="00680998">
        <w:t xml:space="preserve">and the rates of exchange are </w:t>
      </w:r>
      <w:r w:rsidR="004F7982" w:rsidRPr="00680998">
        <w:t xml:space="preserve">presented as received </w:t>
      </w:r>
      <w:r w:rsidR="0068093B" w:rsidRPr="00680998">
        <w:t>from</w:t>
      </w:r>
      <w:r w:rsidR="00D1667E" w:rsidRPr="00680998">
        <w:t xml:space="preserve"> </w:t>
      </w:r>
      <w:r w:rsidR="000B3A8D" w:rsidRPr="00680998">
        <w:t xml:space="preserve">the United Nations Environment Programme </w:t>
      </w:r>
      <w:r w:rsidR="00D1667E" w:rsidRPr="00680998">
        <w:t>in its capacity as</w:t>
      </w:r>
      <w:r w:rsidR="003E49E3" w:rsidRPr="00680998">
        <w:t xml:space="preserve"> Treasurer </w:t>
      </w:r>
      <w:r w:rsidR="002D73B2" w:rsidRPr="00680998">
        <w:t xml:space="preserve">of the </w:t>
      </w:r>
      <w:r w:rsidR="00D1667E" w:rsidRPr="00680998">
        <w:t>Multilateral Fund</w:t>
      </w:r>
      <w:r w:rsidR="003E49E3" w:rsidRPr="00680998">
        <w:t>.</w:t>
      </w:r>
      <w:r w:rsidR="00704692" w:rsidRPr="00680998">
        <w:t xml:space="preserve"> </w:t>
      </w:r>
    </w:p>
    <w:p w14:paraId="160EE5C6" w14:textId="77777777" w:rsidR="00704692" w:rsidRPr="00DD4910" w:rsidRDefault="00704692" w:rsidP="00DC0CC9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450"/>
        </w:tabs>
        <w:rPr>
          <w:b/>
          <w:highlight w:val="cyan"/>
        </w:rPr>
      </w:pPr>
    </w:p>
    <w:p w14:paraId="54919473" w14:textId="77777777" w:rsidR="00704692" w:rsidRDefault="00704692" w:rsidP="00DD4910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0"/>
      </w:pPr>
    </w:p>
    <w:p w14:paraId="6FF8F078" w14:textId="77777777" w:rsidR="00F867E6" w:rsidRDefault="00F867E6" w:rsidP="00F867E6">
      <w:pPr>
        <w:tabs>
          <w:tab w:val="left" w:pos="1950"/>
        </w:tabs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4A3553F3" w14:textId="77777777" w:rsidR="00CD6438" w:rsidRPr="00CD6438" w:rsidRDefault="00CD6438" w:rsidP="00CD6438">
      <w:pPr>
        <w:rPr>
          <w:rFonts w:ascii="Times New Roman" w:hAnsi="Times New Roman"/>
        </w:rPr>
        <w:sectPr w:rsidR="00CD6438" w:rsidRPr="00CD6438" w:rsidSect="009834C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Fmt w:val="chicago"/>
          </w:footnotePr>
          <w:pgSz w:w="11906" w:h="16838" w:code="9"/>
          <w:pgMar w:top="907" w:right="992" w:bottom="1418" w:left="1418" w:header="539" w:footer="975" w:gutter="0"/>
          <w:cols w:space="539"/>
          <w:titlePg/>
          <w:docGrid w:linePitch="360"/>
        </w:sectPr>
      </w:pPr>
      <w:r w:rsidRPr="00CD6438">
        <w:rPr>
          <w:rFonts w:ascii="Times New Roman" w:hAnsi="Times New Roman"/>
        </w:rPr>
        <w:tab/>
      </w:r>
    </w:p>
    <w:p w14:paraId="30F606D9" w14:textId="77777777" w:rsidR="00CE10CD" w:rsidRDefault="00CE10CD" w:rsidP="004A42F7">
      <w:pPr>
        <w:pStyle w:val="ZZAnxheader"/>
        <w:spacing w:after="120"/>
      </w:pPr>
      <w:r>
        <w:lastRenderedPageBreak/>
        <w:t>Annex</w:t>
      </w:r>
    </w:p>
    <w:p w14:paraId="4F94AC12" w14:textId="2B13FFE6" w:rsidR="00F9390F" w:rsidRDefault="006319B7" w:rsidP="004A42F7">
      <w:pPr>
        <w:pStyle w:val="Normal-pool"/>
        <w:ind w:right="394"/>
      </w:pPr>
      <w:r w:rsidRPr="00DB5126">
        <w:t xml:space="preserve">Scale of assessments, rates of exchange and average inflation rates for contributions by parties to the </w:t>
      </w:r>
      <w:r w:rsidRPr="002A4458">
        <w:t>202</w:t>
      </w:r>
      <w:r w:rsidR="000122F6" w:rsidRPr="002A4458">
        <w:t>7</w:t>
      </w:r>
      <w:r w:rsidRPr="002A4458">
        <w:t>–202</w:t>
      </w:r>
      <w:r w:rsidR="000122F6" w:rsidRPr="002A4458">
        <w:t>9</w:t>
      </w:r>
      <w:r>
        <w:t xml:space="preserve"> </w:t>
      </w:r>
      <w:r w:rsidRPr="00DB5126">
        <w:t>replenishment of the Multilateral Fund for the Implementation of the Montreal Protocol</w:t>
      </w:r>
    </w:p>
    <w:p w14:paraId="6DAC5199" w14:textId="77777777" w:rsidR="00A51E2D" w:rsidRDefault="00A51E2D" w:rsidP="00521E1F">
      <w:pPr>
        <w:pStyle w:val="Normal-pool"/>
      </w:pPr>
    </w:p>
    <w:tbl>
      <w:tblPr>
        <w:tblW w:w="14556" w:type="dxa"/>
        <w:tblLook w:val="04A0" w:firstRow="1" w:lastRow="0" w:firstColumn="1" w:lastColumn="0" w:noHBand="0" w:noVBand="1"/>
      </w:tblPr>
      <w:tblGrid>
        <w:gridCol w:w="540"/>
        <w:gridCol w:w="1723"/>
        <w:gridCol w:w="1401"/>
        <w:gridCol w:w="2001"/>
        <w:gridCol w:w="1560"/>
        <w:gridCol w:w="1275"/>
        <w:gridCol w:w="90"/>
        <w:gridCol w:w="1186"/>
        <w:gridCol w:w="91"/>
        <w:gridCol w:w="1468"/>
        <w:gridCol w:w="98"/>
        <w:gridCol w:w="1603"/>
        <w:gridCol w:w="98"/>
        <w:gridCol w:w="1320"/>
        <w:gridCol w:w="102"/>
      </w:tblGrid>
      <w:tr w:rsidR="00603B78" w:rsidRPr="00603B78" w14:paraId="4F4E12AA" w14:textId="77777777" w:rsidTr="001D0197">
        <w:trPr>
          <w:gridAfter w:val="1"/>
          <w:wAfter w:w="102" w:type="dxa"/>
          <w:trHeight w:val="183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F76C070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No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C18512" w14:textId="77777777" w:rsidR="00603B78" w:rsidRPr="00603B78" w:rsidRDefault="00603B78" w:rsidP="00B32941">
            <w:pPr>
              <w:spacing w:after="0" w:line="240" w:lineRule="auto"/>
              <w:ind w:firstLine="59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Country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01ACB18" w14:textId="6B9B8CDE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United Nations </w:t>
            </w:r>
            <w:r w:rsidR="00945DE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s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cale of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br/>
            </w:r>
            <w:r w:rsidR="00945DE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a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ssessment for 2025</w:t>
            </w:r>
            <w:r w:rsidR="0009691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–</w:t>
            </w:r>
            <w:r w:rsidR="005514F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20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2</w:t>
            </w:r>
            <w:r w:rsidR="00FD780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7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*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EEE4376" w14:textId="1F3EF0C6" w:rsidR="00603B78" w:rsidRPr="00603B78" w:rsidRDefault="00603B78" w:rsidP="00A46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Adjusted</w:t>
            </w:r>
            <w:r w:rsidR="00C2330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br/>
            </w:r>
            <w:r w:rsidR="00DC42E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U</w:t>
            </w:r>
            <w:r w:rsidR="004636B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nited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N</w:t>
            </w:r>
            <w:r w:rsidR="004636B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ations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="00945DE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s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cale </w:t>
            </w:r>
            <w:r w:rsidR="00C2330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br/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of</w:t>
            </w:r>
            <w:r w:rsidR="00DC42E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="00C2330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a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ssessment using 2025</w:t>
            </w:r>
            <w:r w:rsidR="0069457E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–20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26 scale</w:t>
            </w:r>
            <w:r w:rsidR="0040642D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with no party contributing more than 22</w:t>
            </w:r>
            <w:r w:rsidR="0025674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per cent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59F0DB7" w14:textId="56A4F2E1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Annual contributions</w:t>
            </w:r>
            <w:r w:rsidR="0040642D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for 2027, 2028 and 2029 </w:t>
            </w:r>
            <w:r w:rsidR="007F06EA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(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in United States </w:t>
            </w:r>
            <w:r w:rsidR="0048557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d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ollar</w:t>
            </w:r>
            <w:r w:rsidR="0048557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s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1DDE519" w14:textId="11068014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Average inflation rate</w:t>
            </w:r>
            <w:r w:rsidR="006156CB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for 2024 </w:t>
            </w:r>
            <w:r w:rsidR="003F2EF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–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2026 (per</w:t>
            </w:r>
            <w:r w:rsidR="0016307C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proofErr w:type="gramStart"/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cent)*</w:t>
            </w:r>
            <w:proofErr w:type="gramEnd"/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*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8AAABBB" w14:textId="416C26AE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Qualifying for fixed exchange</w:t>
            </w:r>
            <w:r w:rsidR="00356C1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rate mechanism, </w:t>
            </w:r>
            <w:r w:rsidR="00B638F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(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1=Yes, 0=No</w:t>
            </w:r>
            <w:r w:rsidR="00B638F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68AC887" w14:textId="6DACBB6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Fixed exchange rate mechanism</w:t>
            </w:r>
            <w:r w:rsidR="0040697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users</w:t>
            </w:r>
            <w:r w:rsidR="00B4754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’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currencies rate of </w:t>
            </w:r>
            <w:r w:rsidR="00B4754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e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xchange</w:t>
            </w:r>
            <w:r w:rsidR="00B20455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="00D5622C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(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1 Jan</w:t>
            </w:r>
            <w:r w:rsidR="00B47540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–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30 June </w:t>
            </w:r>
            <w:proofErr w:type="gramStart"/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2026</w:t>
            </w:r>
            <w:r w:rsidR="00D5622C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)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*</w:t>
            </w:r>
            <w:proofErr w:type="gramEnd"/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**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53BA13B" w14:textId="1D4179BC" w:rsidR="00603B78" w:rsidRPr="00603B78" w:rsidRDefault="00603B78" w:rsidP="00A466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Fixed exchange mechanism</w:t>
            </w:r>
            <w:r w:rsidR="00E5211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users</w:t>
            </w:r>
            <w:r w:rsidR="00C72C4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’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national currencies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BA54B7F" w14:textId="643E81A2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Fixed exchange mechanism</w:t>
            </w:r>
            <w:r w:rsidR="001D0197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users</w:t>
            </w:r>
            <w:r w:rsidR="00C72C41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>’</w:t>
            </w:r>
            <w:r w:rsidRPr="00603B78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en-KE"/>
                <w14:ligatures w14:val="none"/>
              </w:rPr>
              <w:t xml:space="preserve"> contribution amount in national currencies</w:t>
            </w:r>
          </w:p>
        </w:tc>
      </w:tr>
      <w:tr w:rsidR="00603B78" w:rsidRPr="00603B78" w14:paraId="017136DC" w14:textId="77777777" w:rsidTr="001D0197">
        <w:trPr>
          <w:gridAfter w:val="1"/>
          <w:wAfter w:w="102" w:type="dxa"/>
          <w:trHeight w:val="289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E133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2020B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Andorra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559C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0.004</w:t>
            </w:r>
          </w:p>
        </w:tc>
        <w:tc>
          <w:tcPr>
            <w:tcW w:w="20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12CE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0.0073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5B54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203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2.741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930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647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D28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EF0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50C7107F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578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5E749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Australia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B4E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2.040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71CE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3.7194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62C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C52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3.264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569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D9B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1.42617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FD4E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Australian Dollar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646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3F8176F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B7B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EB8A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Austria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9B5D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0.626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04F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1.1413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631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C17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2.977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2CE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32E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8163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990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6E0868A5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9CCB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FCAD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Azerbaijan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460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0.034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317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D818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66C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4.638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731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769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1.69825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AB38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proofErr w:type="spellStart"/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Azerbijan</w:t>
            </w:r>
            <w:proofErr w:type="spellEnd"/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 Manat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6E0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0A61ED4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7B2D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434A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Belarus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754D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E5F3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8D51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DD9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6.384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EF3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442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2.89783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6B9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Belarusian Ruble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08E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CC748BE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95D72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9B42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Belgium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F95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0.773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C213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1.4094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5E8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0EB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3.246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F42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FB3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9F3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9F5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1DAD58F2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5D0A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356E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Bulgaria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8CE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0.071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993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0.1294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B34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FAE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3.332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BA3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070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8E1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7CB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CF04861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002D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58408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Canada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6FDE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2.543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735F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4.6365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E6DF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FA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2.299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CB9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FB6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1.37442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C50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Canadian Dollar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82F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BB2DFD8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7F9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83B9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Croatia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3A4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0.088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A3F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0.1604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F2E9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69D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4.262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059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68C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C4F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E8D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7F855B7C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237A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007F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Cyprus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E7A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7BA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7FBD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C4E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1.856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51D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9E6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2545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9CF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5890DDF6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A73F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F7D3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Czechia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72E9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0.344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462D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0.6272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11DF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2FC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2.456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C57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7BF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20.80175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7CE2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Czech Koruna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A3A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17529778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16B9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8C07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Denmark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CB3B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0.531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949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0.9681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0733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2FC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1.731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8A6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A81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6.39033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85B1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Danish Krone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B84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58A7C462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81C0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9490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Estonia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552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0.045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379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0.0820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3A32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D0D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4.202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734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C32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AC0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470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325C4A0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C755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E41E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Finland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1D6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0.386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DAD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0.7038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76AA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89B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1.773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695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982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171D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928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4E2CE576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F7C7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7C57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France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8D09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3.858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66F5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7.0341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B4C9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A50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1.768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E0A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0C3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4D4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D9A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1758A91E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C998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8B02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Germany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EADC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5.692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AF2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10.3779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18B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35B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2.418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5BD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37B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682E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6F4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5AA5ECD3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A696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954B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Greece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F3F0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0.280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C9A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0.5105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4BF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A6E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300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378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9AA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B34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7D9AB14A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529D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2375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Holy See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11D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A39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0E0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5CA" w14:textId="77777777" w:rsidR="00603B78" w:rsidRPr="00603B78" w:rsidRDefault="00603B78" w:rsidP="0098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1A6D" w14:textId="77777777" w:rsidR="00603B78" w:rsidRPr="00603B78" w:rsidRDefault="00603B78" w:rsidP="00987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893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A121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632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402A3C1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6EF3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3EE9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Hungary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35A4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0.223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BCD6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0.4066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4DB2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AAC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3.972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84C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1F1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319.67500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6EF2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Hungary Forint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145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4361962D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DB88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E7FE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Iceland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D13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911E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0.0638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C75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C29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4.943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373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F5B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123.40333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600B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Iceland Krona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7BC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91F0E8E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131F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34CC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Ireland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B5A3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0.472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0BD3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0.8606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864B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8F2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2.042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9AA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3B2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D1C22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43C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1EB74956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E1377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lastRenderedPageBreak/>
              <w:t>22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6059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Israel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5FEF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0.609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176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1.1104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8989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DDD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2.838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B7E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E0F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3.04992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8CC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Israel Shekel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591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33126754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2AA0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39C8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Italy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78A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2.813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BE6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5.1288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CC3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10F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1.794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735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EA1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D51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BD0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45496709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BF8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93B6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Japan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E80E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6.930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3612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12.6350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E32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C5D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2.756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54B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F69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157.77417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5107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Japanese Yen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66A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68D4443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ACB9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F09F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Kazakhstan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058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0.131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549A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0.2388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B48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DBA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10.247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971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81B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DE9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E934" w14:textId="77777777" w:rsidR="00603B78" w:rsidRPr="00603B78" w:rsidRDefault="00603B78" w:rsidP="007D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</w:tr>
      <w:tr w:rsidR="00603B78" w:rsidRPr="00603B78" w14:paraId="07E78C6D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860D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4DAF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Latvia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E57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536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0.0912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F76F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603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9F5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63D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EE2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11F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66BCB48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D497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7806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Liechtenstein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6FD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A05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2E30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7C2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0.555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B52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39E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0.78567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61DA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Swiss Franc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BE5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CC481CD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65F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93B7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Lithuania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87D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0.081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DB52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5AE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173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2.798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856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6DC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EE4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B72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6E1ED3A0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4A72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E15D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Luxembourg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A807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0.073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C46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0.1331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E757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2C1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9B1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A8C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A135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34D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4583A507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91D2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BDFF6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Malta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B9C7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E284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0.0365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AAE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E62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2.443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A97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823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587E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8B7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E314C9A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C6BF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78FB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Monaco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2F1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4738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FCFC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4D80" w14:textId="77777777" w:rsidR="00603B78" w:rsidRPr="00603B78" w:rsidRDefault="00603B78" w:rsidP="007D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0E86" w14:textId="3D9C1FCD" w:rsidR="00603B78" w:rsidRPr="00603B78" w:rsidRDefault="00347123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218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A21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1DB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404B33AE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764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5751" w14:textId="792B328A" w:rsidR="00603B78" w:rsidRPr="00603B78" w:rsidRDefault="00603B78" w:rsidP="00A4668D">
            <w:pPr>
              <w:spacing w:after="0" w:line="240" w:lineRule="auto"/>
              <w:ind w:left="50" w:firstLineChars="4" w:firstLine="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Netherlands</w:t>
            </w:r>
            <w:r w:rsidR="0035740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="00D03BB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(Kingdom of the)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1951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1.298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7FC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2.3666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DEED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2C6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2.937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A4B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E1E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A067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483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73E88D60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81EA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B078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New Zealand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C9D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0.302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89D5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0.5506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EB9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4AB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2.928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CA1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AC4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1.70142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C932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New Zealand Dollar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7AF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B6EB3A0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A3CC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8FC4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Norway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370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0.653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100A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1.1906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0E7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BD9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2.948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5BE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3A7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9.57117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9C0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Norwegian Krone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7B0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3C31F76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C7E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E840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Poland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C39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0.831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E6E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1.5151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C3A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AD7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3.624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732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CA3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3.62617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E11D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Poland Zloty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069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32E5CE8B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995A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A0756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Portugal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289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0.328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D59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0.5980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1EC4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76D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2.648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43D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57B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E16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DE6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3472C35A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8742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C3DF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Romania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142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0.358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393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0.6527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0C24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D1F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6.878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1AA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EA7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4.38558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90A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Romanian Leu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293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73D715C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1928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AD59E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Russian Federation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1F02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2.094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7F02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3.8179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C62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A24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7.689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A09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A758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75.90533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D693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Russian Rouble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A74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46554B6E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9CDA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4D81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San Marino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46D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5C04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AFB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F68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2.012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FE0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099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947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D28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1DA45572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9D7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BF24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Slovakia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B62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A33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0.2717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BBB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FDD4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3.842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826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D7A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B4E2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FBF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D3AAD81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CAC9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48B9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Slovenia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DAE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0.077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A361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910D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692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2.463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232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B60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23D3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18D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E2302E8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F1D3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FBD4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Spain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CB52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1.895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D86E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3.4550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D686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322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2.756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C9E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69B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0.85517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AAE8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Euro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46A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BB26E44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4563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E644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Sweden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AFEC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0.822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B5E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1.4987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EDEC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0E7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1.923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08C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A04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9.22475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7F2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Swedish Krona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734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21524A9F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DE86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E2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Switzerland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CEA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1.029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9A4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1.8761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BBC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A1E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0.559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137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2A2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0.78567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02AA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Swiss Franc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02F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7B914436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7287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8ACD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Tajikistan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815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8AA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BEA0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374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3.780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A11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EAB0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9.33333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3B07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Tajikistan Somoni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544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2932D12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BC76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C3A0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Ukraine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92E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DE0E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0.1349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5CE7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F95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8.403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35E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BADA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43.56700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3888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 xml:space="preserve">Ukraine </w:t>
            </w:r>
            <w:proofErr w:type="spellStart"/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Hyrvnia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6C2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710F8D7F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C169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lastRenderedPageBreak/>
              <w:t>47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C9FC" w14:textId="7BE04CED" w:rsidR="00603B78" w:rsidRPr="00603B78" w:rsidRDefault="00C05D12" w:rsidP="00A4668D">
            <w:pPr>
              <w:spacing w:after="0" w:line="240" w:lineRule="auto"/>
              <w:ind w:left="50" w:firstLineChars="4" w:firstLine="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C05D1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United Kingdom of Great Britain and Northern Ireland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CE8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3.991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89578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7.2765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C53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46F6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3.045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3AD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EE8E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0.74208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6EF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U.K. Pound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C81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05710183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2B3B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7E6E" w14:textId="77777777" w:rsidR="00603B78" w:rsidRPr="00603B78" w:rsidRDefault="00603B78" w:rsidP="00A4668D">
            <w:pPr>
              <w:spacing w:after="0" w:line="240" w:lineRule="auto"/>
              <w:ind w:left="50" w:firstLineChars="4" w:firstLine="7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United States of America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E0F8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22.000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5EE5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22.0000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E3C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8D5A" w14:textId="77777777" w:rsidR="00603B78" w:rsidRPr="00603B78" w:rsidRDefault="00603B78" w:rsidP="007D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838C" w14:textId="77777777" w:rsidR="00603B78" w:rsidRPr="00603B78" w:rsidRDefault="00603B78" w:rsidP="007D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6123" w14:textId="77777777" w:rsidR="00603B78" w:rsidRPr="00603B78" w:rsidRDefault="00603B78" w:rsidP="007D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N/A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35F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US Dollar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F0D5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6A8F0479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A1CE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49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43EA" w14:textId="77777777" w:rsidR="00603B78" w:rsidRPr="00603B78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Uzbekistan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26F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0.024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01EF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0.0438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F682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940B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8.591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5A6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737D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12090.65167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4EFD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Uzbekistan Sum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0BD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</w:tr>
      <w:tr w:rsidR="00603B78" w:rsidRPr="00603B78" w14:paraId="16F0EB4C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94F7" w14:textId="77777777" w:rsidR="00603B78" w:rsidRPr="00603B78" w:rsidRDefault="00603B78" w:rsidP="0060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76A3" w14:textId="77777777" w:rsidR="00603B78" w:rsidRPr="00B32941" w:rsidRDefault="00603B78" w:rsidP="005514F3">
            <w:pPr>
              <w:spacing w:after="0" w:line="240" w:lineRule="auto"/>
              <w:ind w:firstLineChars="32" w:firstLine="58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B3294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  <w:t>Total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19D1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  <w:t>35.2190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2F29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  <w:t>100.0000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EF43" w14:textId="77777777" w:rsidR="00603B78" w:rsidRPr="00603B78" w:rsidRDefault="00603B78" w:rsidP="00603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n-KE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E676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6FFEE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16BE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433B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D77F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  <w:r w:rsidRPr="00603B78"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  <w:t> </w:t>
            </w:r>
          </w:p>
        </w:tc>
      </w:tr>
      <w:tr w:rsidR="00603B78" w:rsidRPr="00603B78" w14:paraId="7721A45E" w14:textId="77777777" w:rsidTr="001D0197">
        <w:trPr>
          <w:gridAfter w:val="1"/>
          <w:wAfter w:w="102" w:type="dxa"/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7304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20F8" w14:textId="77777777" w:rsidR="00603B78" w:rsidRPr="00603B78" w:rsidRDefault="00603B78" w:rsidP="00F900B5">
            <w:pPr>
              <w:spacing w:after="0" w:line="240" w:lineRule="auto"/>
              <w:ind w:firstLine="19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8CA1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E1B7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1288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B835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AA0F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F55C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CAA0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92DDF" w14:textId="77777777" w:rsidR="00603B78" w:rsidRPr="00603B78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</w:tr>
      <w:tr w:rsidR="00603B78" w:rsidRPr="00C82A2A" w14:paraId="21226D82" w14:textId="77777777" w:rsidTr="001D0197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9A9D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80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76B9A" w14:textId="297CC428" w:rsidR="00603B78" w:rsidRPr="00C82A2A" w:rsidRDefault="00603B78" w:rsidP="00F900B5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*</w:t>
            </w:r>
            <w:r w:rsidR="00F900B5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Data extracted from </w:t>
            </w:r>
            <w:r w:rsidR="00AD00B7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the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U</w:t>
            </w:r>
            <w:r w:rsidR="00AD00B7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nited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N</w:t>
            </w:r>
            <w:r w:rsidR="00AD00B7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ations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="00F21A5B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General Assembly Resolution 79/249 </w:t>
            </w:r>
            <w:r w:rsidR="00B3294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(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https://undocs.org/en/A/RES/79/249</w:t>
            </w:r>
            <w:r w:rsidR="00B3294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)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C25E" w14:textId="77777777" w:rsidR="00603B78" w:rsidRPr="00C82A2A" w:rsidRDefault="00603B78" w:rsidP="00603B7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7EAB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3CE4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B758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</w:tr>
      <w:tr w:rsidR="00603B78" w:rsidRPr="00C82A2A" w14:paraId="4FB62A50" w14:textId="77777777" w:rsidTr="001D0197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D317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20267" w14:textId="24075FBA" w:rsidR="00603B78" w:rsidRPr="00C82A2A" w:rsidRDefault="00455C3E" w:rsidP="00F900B5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The General Assembly of the </w:t>
            </w:r>
            <w:r w:rsidR="00603B78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U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nited </w:t>
            </w:r>
            <w:r w:rsidR="00603B78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N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ations </w:t>
            </w:r>
            <w:r w:rsidR="00603B78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adopted resolution 79/249 on </w:t>
            </w:r>
            <w:r w:rsidR="00E73E9E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24 </w:t>
            </w:r>
            <w:r w:rsidR="00603B78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December 2024 for </w:t>
            </w:r>
            <w:r w:rsidR="00E73E9E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the </w:t>
            </w:r>
            <w:r w:rsidR="00603B78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years 2025, 2026 and 2027</w:t>
            </w:r>
            <w:r w:rsidR="00030DF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.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1C96" w14:textId="77777777" w:rsidR="00603B78" w:rsidRPr="00C82A2A" w:rsidRDefault="00603B78" w:rsidP="00603B7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6102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849C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</w:tr>
      <w:tr w:rsidR="00603B78" w:rsidRPr="00C82A2A" w14:paraId="6777DFFB" w14:textId="77777777" w:rsidTr="001D0197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3082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25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B9EDB" w14:textId="1D30FD83" w:rsidR="00603B78" w:rsidRPr="00C82A2A" w:rsidRDefault="00603B78" w:rsidP="00F900B5">
            <w:pPr>
              <w:spacing w:after="0" w:line="240" w:lineRule="auto"/>
              <w:ind w:firstLine="19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** Average inflation obtained from </w:t>
            </w:r>
            <w:r w:rsidR="00030DF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the </w:t>
            </w:r>
            <w:r w:rsidR="00BB600F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International Monetary Fund </w:t>
            </w:r>
            <w:r w:rsidR="00077602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World Economic Outlook Database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IMF website, as </w:t>
            </w:r>
            <w:proofErr w:type="gramStart"/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at</w:t>
            </w:r>
            <w:proofErr w:type="gramEnd"/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 15 April 2026</w:t>
            </w:r>
            <w:r w:rsidR="009448A9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.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 </w:t>
            </w:r>
            <w:r w:rsidR="009448A9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See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https://data.imf.org/en/datasets/IMF.RES:WEO</w:t>
            </w:r>
            <w:r w:rsidR="009448A9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.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F0CD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</w:tr>
      <w:tr w:rsidR="00603B78" w:rsidRPr="00C82A2A" w14:paraId="7E675813" w14:textId="77777777" w:rsidTr="001D0197">
        <w:trPr>
          <w:trHeight w:val="2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9598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  <w:tc>
          <w:tcPr>
            <w:tcW w:w="1259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DA43" w14:textId="19221AF6" w:rsidR="00603B78" w:rsidRPr="00C82A2A" w:rsidRDefault="00603B78" w:rsidP="00F900B5">
            <w:pPr>
              <w:spacing w:after="0" w:line="240" w:lineRule="auto"/>
              <w:ind w:firstLine="198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*** Data extracted as of 15 June </w:t>
            </w:r>
            <w:r w:rsidR="000B754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2026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from </w:t>
            </w:r>
            <w:r w:rsidR="00030DF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the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U</w:t>
            </w:r>
            <w:r w:rsidR="00030DF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nited 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N</w:t>
            </w:r>
            <w:r w:rsidR="00030DF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ations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 Treasury </w:t>
            </w:r>
            <w:r w:rsidR="00BB600F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 xml:space="preserve">operational rates of exchange website </w:t>
            </w:r>
            <w:r w:rsidR="00B3294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(</w:t>
            </w:r>
            <w:r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https://treasury.un.org/operationalrates/OperationalRates.php</w:t>
            </w:r>
            <w:r w:rsidR="00B32941" w:rsidRPr="00C82A2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  <w:t>)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017F" w14:textId="77777777" w:rsidR="00603B78" w:rsidRPr="00C82A2A" w:rsidRDefault="00603B78" w:rsidP="00603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eastAsia="en-KE"/>
                <w14:ligatures w14:val="none"/>
              </w:rPr>
            </w:pPr>
          </w:p>
        </w:tc>
      </w:tr>
    </w:tbl>
    <w:p w14:paraId="5411C273" w14:textId="77777777" w:rsidR="00F9390F" w:rsidRPr="00603B78" w:rsidRDefault="00F9390F" w:rsidP="006D7453">
      <w:pPr>
        <w:pStyle w:val="Normal-pool"/>
        <w:rPr>
          <w:lang w:val="en-KE"/>
        </w:rPr>
      </w:pPr>
    </w:p>
    <w:sectPr w:rsidR="00F9390F" w:rsidRPr="00603B78" w:rsidSect="00CD6438">
      <w:footerReference w:type="default" r:id="rId19"/>
      <w:headerReference w:type="first" r:id="rId20"/>
      <w:footerReference w:type="first" r:id="rId21"/>
      <w:pgSz w:w="16838" w:h="11906" w:orient="landscape" w:code="9"/>
      <w:pgMar w:top="1008" w:right="992" w:bottom="1418" w:left="1418" w:header="539" w:footer="9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AA8E" w14:textId="77777777" w:rsidR="00C57DF0" w:rsidRDefault="00C57DF0">
      <w:r>
        <w:separator/>
      </w:r>
    </w:p>
  </w:endnote>
  <w:endnote w:type="continuationSeparator" w:id="0">
    <w:p w14:paraId="7C2E0A09" w14:textId="77777777" w:rsidR="00C57DF0" w:rsidRDefault="00C5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F1B9" w14:textId="77777777" w:rsidR="00CD6438" w:rsidRPr="00574242" w:rsidRDefault="00CD6438" w:rsidP="00574242">
    <w:pPr>
      <w:pStyle w:val="Footer"/>
      <w:rPr>
        <w:b/>
      </w:rPr>
    </w:pPr>
    <w:r w:rsidRPr="00574242">
      <w:rPr>
        <w:b/>
      </w:rPr>
      <w:fldChar w:fldCharType="begin"/>
    </w:r>
    <w:r w:rsidRPr="00574242">
      <w:rPr>
        <w:b/>
      </w:rPr>
      <w:instrText xml:space="preserve"> PAGE   \* MERGEFORMAT </w:instrText>
    </w:r>
    <w:r w:rsidRPr="00574242">
      <w:rPr>
        <w:b/>
      </w:rPr>
      <w:fldChar w:fldCharType="separate"/>
    </w:r>
    <w:r>
      <w:rPr>
        <w:b/>
        <w:noProof/>
      </w:rPr>
      <w:t>4</w:t>
    </w:r>
    <w:r w:rsidRPr="00574242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9B4" w14:textId="77777777" w:rsidR="00CD6438" w:rsidRPr="00A67C8F" w:rsidRDefault="00CD6438" w:rsidP="00A67C8F">
    <w:pPr>
      <w:pStyle w:val="Footer"/>
      <w:rPr>
        <w:b/>
      </w:rPr>
    </w:pPr>
    <w:r w:rsidRPr="00A67C8F">
      <w:rPr>
        <w:b/>
      </w:rPr>
      <w:fldChar w:fldCharType="begin"/>
    </w:r>
    <w:r w:rsidRPr="00A67C8F">
      <w:rPr>
        <w:b/>
      </w:rPr>
      <w:instrText xml:space="preserve"> PAGE   \* MERGEFORMAT </w:instrText>
    </w:r>
    <w:r w:rsidRPr="00A67C8F">
      <w:rPr>
        <w:b/>
      </w:rPr>
      <w:fldChar w:fldCharType="separate"/>
    </w:r>
    <w:r>
      <w:rPr>
        <w:b/>
        <w:noProof/>
      </w:rPr>
      <w:t>3</w:t>
    </w:r>
    <w:r w:rsidRPr="00A67C8F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EC08" w14:textId="77777777" w:rsidR="00CD6438" w:rsidRPr="009834C0" w:rsidRDefault="00CD6438" w:rsidP="007A5374">
    <w:pPr>
      <w:pStyle w:val="Footer"/>
      <w:tabs>
        <w:tab w:val="clear" w:pos="1247"/>
        <w:tab w:val="clear" w:pos="1814"/>
        <w:tab w:val="clear" w:pos="2381"/>
        <w:tab w:val="clear" w:pos="2948"/>
        <w:tab w:val="clear" w:pos="3515"/>
        <w:tab w:val="clear" w:pos="4320"/>
        <w:tab w:val="clear" w:pos="864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E6C6" w14:textId="711A0B47" w:rsidR="00485E12" w:rsidRPr="00A67C8F" w:rsidRDefault="00485E12" w:rsidP="00A67C8F">
    <w:pPr>
      <w:pStyle w:val="Footer"/>
      <w:jc w:val="right"/>
      <w:rPr>
        <w:b/>
      </w:rPr>
    </w:pPr>
    <w:r w:rsidRPr="00A67C8F">
      <w:rPr>
        <w:b/>
      </w:rPr>
      <w:fldChar w:fldCharType="begin"/>
    </w:r>
    <w:r w:rsidRPr="00A67C8F">
      <w:rPr>
        <w:b/>
      </w:rPr>
      <w:instrText xml:space="preserve"> PAGE   \* MERGEFORMAT </w:instrText>
    </w:r>
    <w:r w:rsidRPr="00A67C8F">
      <w:rPr>
        <w:b/>
      </w:rPr>
      <w:fldChar w:fldCharType="separate"/>
    </w:r>
    <w:r w:rsidR="0083335F">
      <w:rPr>
        <w:b/>
        <w:noProof/>
      </w:rPr>
      <w:t>3</w:t>
    </w:r>
    <w:r w:rsidRPr="00A67C8F">
      <w:rPr>
        <w:b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765F" w14:textId="64C89A2F" w:rsidR="00485E12" w:rsidRPr="009834C0" w:rsidRDefault="00485E12" w:rsidP="00A67C8F">
    <w:pPr>
      <w:pStyle w:val="Footer"/>
      <w:rPr>
        <w:b/>
      </w:rPr>
    </w:pPr>
    <w:r w:rsidRPr="009834C0">
      <w:rPr>
        <w:b/>
      </w:rPr>
      <w:fldChar w:fldCharType="begin"/>
    </w:r>
    <w:r w:rsidRPr="009834C0">
      <w:rPr>
        <w:b/>
      </w:rPr>
      <w:instrText xml:space="preserve"> PAGE   \* MERGEFORMAT </w:instrText>
    </w:r>
    <w:r w:rsidRPr="009834C0">
      <w:rPr>
        <w:b/>
      </w:rPr>
      <w:fldChar w:fldCharType="separate"/>
    </w:r>
    <w:r w:rsidR="0083335F">
      <w:rPr>
        <w:b/>
        <w:noProof/>
      </w:rPr>
      <w:t>2</w:t>
    </w:r>
    <w:r w:rsidRPr="009834C0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5AF1" w14:textId="77777777" w:rsidR="00C57DF0" w:rsidRDefault="00C57DF0" w:rsidP="00A67C8F">
      <w:pPr>
        <w:spacing w:before="20" w:after="40"/>
        <w:ind w:left="624"/>
      </w:pPr>
      <w:r>
        <w:separator/>
      </w:r>
    </w:p>
  </w:footnote>
  <w:footnote w:type="continuationSeparator" w:id="0">
    <w:p w14:paraId="7EEEDBDD" w14:textId="77777777" w:rsidR="00C57DF0" w:rsidRDefault="00C57DF0">
      <w:r>
        <w:continuationSeparator/>
      </w:r>
    </w:p>
  </w:footnote>
  <w:footnote w:id="1">
    <w:p w14:paraId="036ADA3A" w14:textId="368F9323" w:rsidR="009715AE" w:rsidRPr="002568F5" w:rsidRDefault="009715A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715AE">
        <w:t>UNEP/OzL.Pro.WG.1/4</w:t>
      </w:r>
      <w:r w:rsidR="003D169B">
        <w:t>8</w:t>
      </w:r>
      <w:r w:rsidRPr="009715AE">
        <w:t>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FD1E" w14:textId="77777777" w:rsidR="00CD6438" w:rsidRDefault="00CD6438" w:rsidP="00526D60">
    <w:pPr>
      <w:pStyle w:val="Header"/>
    </w:pPr>
  </w:p>
  <w:p w14:paraId="08E86A0D" w14:textId="7B7A567D" w:rsidR="00CD6438" w:rsidRPr="00DA175B" w:rsidRDefault="00DA175B" w:rsidP="00DA175B">
    <w:pPr>
      <w:pStyle w:val="Header"/>
      <w:rPr>
        <w:szCs w:val="18"/>
      </w:rPr>
    </w:pPr>
    <w:r>
      <w:rPr>
        <w:szCs w:val="18"/>
      </w:rPr>
      <w:t>UNEP/</w:t>
    </w:r>
    <w:r w:rsidRPr="00DB5126">
      <w:rPr>
        <w:noProof/>
        <w:sz w:val="20"/>
      </w:rPr>
      <w:t>OzL.Pro.</w:t>
    </w:r>
    <w:r>
      <w:rPr>
        <w:noProof/>
        <w:sz w:val="20"/>
      </w:rPr>
      <w:t>WG.</w:t>
    </w:r>
    <w:r w:rsidR="00B76F36">
      <w:rPr>
        <w:noProof/>
        <w:sz w:val="20"/>
      </w:rPr>
      <w:t>1/</w:t>
    </w:r>
    <w:r>
      <w:rPr>
        <w:noProof/>
        <w:sz w:val="20"/>
      </w:rPr>
      <w:t>4</w:t>
    </w:r>
    <w:r w:rsidR="00C72C41">
      <w:rPr>
        <w:noProof/>
        <w:sz w:val="20"/>
      </w:rPr>
      <w:t>8</w:t>
    </w:r>
    <w:r>
      <w:rPr>
        <w:noProof/>
        <w:sz w:val="20"/>
      </w:rPr>
      <w:t>/</w:t>
    </w:r>
    <w:r w:rsidRPr="00DB5126">
      <w:rPr>
        <w:noProof/>
        <w:sz w:val="20"/>
      </w:rPr>
      <w:t>INF/</w:t>
    </w:r>
    <w:r>
      <w:rPr>
        <w:noProof/>
        <w:sz w:val="20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1C51" w14:textId="0E651658" w:rsidR="00CD6438" w:rsidRPr="00322BB6" w:rsidRDefault="000122F6" w:rsidP="000122F6">
    <w:pPr>
      <w:pStyle w:val="Header"/>
      <w:jc w:val="right"/>
      <w:rPr>
        <w:szCs w:val="18"/>
      </w:rPr>
    </w:pPr>
    <w:r>
      <w:rPr>
        <w:szCs w:val="18"/>
      </w:rPr>
      <w:t>UNEP/</w:t>
    </w:r>
    <w:r w:rsidRPr="00DB5126">
      <w:rPr>
        <w:noProof/>
        <w:sz w:val="20"/>
      </w:rPr>
      <w:t>OzL.Pro.</w:t>
    </w:r>
    <w:r>
      <w:rPr>
        <w:noProof/>
        <w:sz w:val="20"/>
      </w:rPr>
      <w:t>WG.1/48/</w:t>
    </w:r>
    <w:r w:rsidRPr="00DB5126">
      <w:rPr>
        <w:noProof/>
        <w:sz w:val="20"/>
      </w:rPr>
      <w:t>INF/</w:t>
    </w:r>
    <w:r>
      <w:rPr>
        <w:noProof/>
        <w:sz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3085" w14:textId="77777777" w:rsidR="00CD6438" w:rsidRPr="009834C0" w:rsidRDefault="00CD6438" w:rsidP="00A67C8F">
    <w:pPr>
      <w:pStyle w:val="Header"/>
      <w:pBdr>
        <w:bottom w:val="none" w:sz="0" w:space="0" w:color="auto"/>
      </w:pBdr>
      <w:rPr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9FB7" w14:textId="250A4ACD" w:rsidR="000E1620" w:rsidRPr="00DA175B" w:rsidRDefault="00DA175B" w:rsidP="00DA175B">
    <w:pPr>
      <w:pStyle w:val="Header"/>
      <w:rPr>
        <w:szCs w:val="18"/>
      </w:rPr>
    </w:pPr>
    <w:r>
      <w:rPr>
        <w:szCs w:val="18"/>
      </w:rPr>
      <w:t>UNEP/</w:t>
    </w:r>
    <w:r w:rsidRPr="00DB5126">
      <w:rPr>
        <w:noProof/>
        <w:sz w:val="20"/>
      </w:rPr>
      <w:t>OzL.Pro.</w:t>
    </w:r>
    <w:r>
      <w:rPr>
        <w:noProof/>
        <w:sz w:val="20"/>
      </w:rPr>
      <w:t>WG.</w:t>
    </w:r>
    <w:r w:rsidR="005B4900">
      <w:rPr>
        <w:noProof/>
        <w:sz w:val="20"/>
      </w:rPr>
      <w:t>1/</w:t>
    </w:r>
    <w:r>
      <w:rPr>
        <w:noProof/>
        <w:sz w:val="20"/>
      </w:rPr>
      <w:t>4</w:t>
    </w:r>
    <w:r w:rsidR="00887CED">
      <w:rPr>
        <w:noProof/>
        <w:sz w:val="20"/>
      </w:rPr>
      <w:t>8</w:t>
    </w:r>
    <w:r>
      <w:rPr>
        <w:noProof/>
        <w:sz w:val="20"/>
      </w:rPr>
      <w:t>/</w:t>
    </w:r>
    <w:r w:rsidRPr="00DB5126">
      <w:rPr>
        <w:noProof/>
        <w:sz w:val="20"/>
      </w:rPr>
      <w:t>INF/</w:t>
    </w:r>
    <w:r>
      <w:rPr>
        <w:noProof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00D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361F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662D4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424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CD01F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2A7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328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02C4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8C4D6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06A0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1F85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FC698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CBD647A"/>
    <w:multiLevelType w:val="hybridMultilevel"/>
    <w:tmpl w:val="BFC8F32C"/>
    <w:lvl w:ilvl="0" w:tplc="695EDA4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CE85D3E"/>
    <w:multiLevelType w:val="hybridMultilevel"/>
    <w:tmpl w:val="9BE0912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D74B4"/>
    <w:multiLevelType w:val="hybridMultilevel"/>
    <w:tmpl w:val="251C0240"/>
    <w:lvl w:ilvl="0" w:tplc="048CEB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85253"/>
    <w:multiLevelType w:val="hybridMultilevel"/>
    <w:tmpl w:val="244E0C74"/>
    <w:lvl w:ilvl="0" w:tplc="695EDA4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 w15:restartNumberingAfterBreak="0">
    <w:nsid w:val="13862EB7"/>
    <w:multiLevelType w:val="singleLevel"/>
    <w:tmpl w:val="24F2E210"/>
    <w:lvl w:ilvl="0">
      <w:start w:val="1"/>
      <w:numFmt w:val="decimal"/>
      <w:pStyle w:val="Para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</w:abstractNum>
  <w:abstractNum w:abstractNumId="17" w15:restartNumberingAfterBreak="0">
    <w:nsid w:val="148D24A2"/>
    <w:multiLevelType w:val="hybridMultilevel"/>
    <w:tmpl w:val="3E76C9F2"/>
    <w:lvl w:ilvl="0" w:tplc="B3C62E8C">
      <w:start w:val="3"/>
      <w:numFmt w:val="upperLetter"/>
      <w:lvlText w:val="%1.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152A22B2"/>
    <w:multiLevelType w:val="hybridMultilevel"/>
    <w:tmpl w:val="A10A66D0"/>
    <w:lvl w:ilvl="0" w:tplc="C318E702">
      <w:start w:val="1"/>
      <w:numFmt w:val="decimal"/>
      <w:lvlText w:val="%1"/>
      <w:lvlJc w:val="right"/>
      <w:pPr>
        <w:tabs>
          <w:tab w:val="num" w:pos="1146"/>
        </w:tabs>
        <w:ind w:left="1146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171113A7"/>
    <w:multiLevelType w:val="multilevel"/>
    <w:tmpl w:val="48241D10"/>
    <w:numStyleLink w:val="Normallist"/>
  </w:abstractNum>
  <w:abstractNum w:abstractNumId="20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1DA33D8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31C3085"/>
    <w:multiLevelType w:val="singleLevel"/>
    <w:tmpl w:val="BFA0F994"/>
    <w:lvl w:ilvl="0">
      <w:start w:val="1"/>
      <w:numFmt w:val="lowerLetter"/>
      <w:pStyle w:val="Paralevel2"/>
      <w:lvlText w:val="(%1)"/>
      <w:lvlJc w:val="left"/>
      <w:pPr>
        <w:tabs>
          <w:tab w:val="num" w:pos="938"/>
        </w:tabs>
        <w:ind w:left="0" w:firstLine="578"/>
      </w:pPr>
    </w:lvl>
  </w:abstractNum>
  <w:abstractNum w:abstractNumId="23" w15:restartNumberingAfterBreak="0">
    <w:nsid w:val="29D92754"/>
    <w:multiLevelType w:val="hybridMultilevel"/>
    <w:tmpl w:val="ECBA1E6C"/>
    <w:lvl w:ilvl="0" w:tplc="695EDA4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2C3B0D05"/>
    <w:multiLevelType w:val="hybridMultilevel"/>
    <w:tmpl w:val="C0227916"/>
    <w:lvl w:ilvl="0" w:tplc="FFFFFFFF">
      <w:start w:val="1"/>
      <w:numFmt w:val="upperLetter"/>
      <w:lvlText w:val="%1."/>
      <w:lvlJc w:val="left"/>
      <w:pPr>
        <w:tabs>
          <w:tab w:val="num" w:pos="1239"/>
        </w:tabs>
        <w:ind w:left="1239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25" w15:restartNumberingAfterBreak="0">
    <w:nsid w:val="30DC201A"/>
    <w:multiLevelType w:val="hybridMultilevel"/>
    <w:tmpl w:val="3A484386"/>
    <w:lvl w:ilvl="0" w:tplc="F8C062F8">
      <w:start w:val="1"/>
      <w:numFmt w:val="decimal"/>
      <w:lvlText w:val="%1."/>
      <w:lvlJc w:val="left"/>
      <w:pPr>
        <w:ind w:left="25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99" w:hanging="360"/>
      </w:pPr>
    </w:lvl>
    <w:lvl w:ilvl="2" w:tplc="0809001B" w:tentative="1">
      <w:start w:val="1"/>
      <w:numFmt w:val="lowerRoman"/>
      <w:lvlText w:val="%3."/>
      <w:lvlJc w:val="right"/>
      <w:pPr>
        <w:ind w:left="4019" w:hanging="180"/>
      </w:pPr>
    </w:lvl>
    <w:lvl w:ilvl="3" w:tplc="0809000F" w:tentative="1">
      <w:start w:val="1"/>
      <w:numFmt w:val="decimal"/>
      <w:lvlText w:val="%4."/>
      <w:lvlJc w:val="left"/>
      <w:pPr>
        <w:ind w:left="4739" w:hanging="360"/>
      </w:pPr>
    </w:lvl>
    <w:lvl w:ilvl="4" w:tplc="08090019" w:tentative="1">
      <w:start w:val="1"/>
      <w:numFmt w:val="lowerLetter"/>
      <w:lvlText w:val="%5."/>
      <w:lvlJc w:val="left"/>
      <w:pPr>
        <w:ind w:left="5459" w:hanging="360"/>
      </w:pPr>
    </w:lvl>
    <w:lvl w:ilvl="5" w:tplc="0809001B" w:tentative="1">
      <w:start w:val="1"/>
      <w:numFmt w:val="lowerRoman"/>
      <w:lvlText w:val="%6."/>
      <w:lvlJc w:val="right"/>
      <w:pPr>
        <w:ind w:left="6179" w:hanging="180"/>
      </w:pPr>
    </w:lvl>
    <w:lvl w:ilvl="6" w:tplc="0809000F" w:tentative="1">
      <w:start w:val="1"/>
      <w:numFmt w:val="decimal"/>
      <w:lvlText w:val="%7."/>
      <w:lvlJc w:val="left"/>
      <w:pPr>
        <w:ind w:left="6899" w:hanging="360"/>
      </w:pPr>
    </w:lvl>
    <w:lvl w:ilvl="7" w:tplc="08090019" w:tentative="1">
      <w:start w:val="1"/>
      <w:numFmt w:val="lowerLetter"/>
      <w:lvlText w:val="%8."/>
      <w:lvlJc w:val="left"/>
      <w:pPr>
        <w:ind w:left="7619" w:hanging="360"/>
      </w:pPr>
    </w:lvl>
    <w:lvl w:ilvl="8" w:tplc="0809001B" w:tentative="1">
      <w:start w:val="1"/>
      <w:numFmt w:val="lowerRoman"/>
      <w:lvlText w:val="%9."/>
      <w:lvlJc w:val="right"/>
      <w:pPr>
        <w:ind w:left="8339" w:hanging="180"/>
      </w:pPr>
    </w:lvl>
  </w:abstractNum>
  <w:abstractNum w:abstractNumId="26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DAD6749"/>
    <w:multiLevelType w:val="multilevel"/>
    <w:tmpl w:val="6C6ABE7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DC2761C"/>
    <w:multiLevelType w:val="multilevel"/>
    <w:tmpl w:val="244E0C7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42FA2D6F"/>
    <w:multiLevelType w:val="multilevel"/>
    <w:tmpl w:val="8DA8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7A55E7"/>
    <w:multiLevelType w:val="hybridMultilevel"/>
    <w:tmpl w:val="884E92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1B2525"/>
    <w:multiLevelType w:val="hybridMultilevel"/>
    <w:tmpl w:val="052CB816"/>
    <w:lvl w:ilvl="0" w:tplc="D8D64CD6">
      <w:start w:val="1"/>
      <w:numFmt w:val="upperLetter"/>
      <w:lvlText w:val="%1.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50895292"/>
    <w:multiLevelType w:val="singleLevel"/>
    <w:tmpl w:val="3736A298"/>
    <w:lvl w:ilvl="0">
      <w:start w:val="1"/>
      <w:numFmt w:val="decimal"/>
      <w:pStyle w:val="Normal-num"/>
      <w:lvlText w:val="%1."/>
      <w:lvlJc w:val="left"/>
      <w:pPr>
        <w:tabs>
          <w:tab w:val="num" w:pos="1855"/>
        </w:tabs>
        <w:ind w:left="1855" w:hanging="72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51C413FE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2A66A9D"/>
    <w:multiLevelType w:val="multilevel"/>
    <w:tmpl w:val="48241D10"/>
    <w:styleLink w:val="Normallist"/>
    <w:lvl w:ilvl="0">
      <w:start w:val="1"/>
      <w:numFmt w:val="decimal"/>
      <w:lvlText w:val="%1."/>
      <w:lvlJc w:val="left"/>
      <w:pPr>
        <w:tabs>
          <w:tab w:val="num" w:pos="567"/>
        </w:tabs>
        <w:ind w:left="124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24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2948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351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48"/>
        </w:tabs>
        <w:ind w:left="6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68"/>
        </w:tabs>
        <w:ind w:left="7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88"/>
        </w:tabs>
        <w:ind w:left="7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708"/>
        </w:tabs>
        <w:ind w:left="8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428"/>
        </w:tabs>
        <w:ind w:left="9428" w:hanging="180"/>
      </w:pPr>
      <w:rPr>
        <w:rFonts w:hint="default"/>
      </w:rPr>
    </w:lvl>
  </w:abstractNum>
  <w:abstractNum w:abstractNumId="35" w15:restartNumberingAfterBreak="0">
    <w:nsid w:val="5ADB42A4"/>
    <w:multiLevelType w:val="hybridMultilevel"/>
    <w:tmpl w:val="814E2BDA"/>
    <w:lvl w:ilvl="0" w:tplc="2D4E6FE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6A8779C7"/>
    <w:multiLevelType w:val="multilevel"/>
    <w:tmpl w:val="ECBA1E6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6CD901C9"/>
    <w:multiLevelType w:val="hybridMultilevel"/>
    <w:tmpl w:val="6C6ABE72"/>
    <w:lvl w:ilvl="0" w:tplc="695EDA4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6E4C3BBB"/>
    <w:multiLevelType w:val="multilevel"/>
    <w:tmpl w:val="BFC8F32C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4B22DF7"/>
    <w:multiLevelType w:val="hybridMultilevel"/>
    <w:tmpl w:val="0A06C2EA"/>
    <w:lvl w:ilvl="0" w:tplc="EF8C842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77443D92"/>
    <w:multiLevelType w:val="hybridMultilevel"/>
    <w:tmpl w:val="154C4DB0"/>
    <w:lvl w:ilvl="0" w:tplc="D53AA31C">
      <w:start w:val="3"/>
      <w:numFmt w:val="decimal"/>
      <w:lvlText w:val="%1."/>
      <w:lvlJc w:val="left"/>
      <w:pPr>
        <w:tabs>
          <w:tab w:val="num" w:pos="1242"/>
        </w:tabs>
        <w:ind w:left="1242" w:hanging="6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662393797">
    <w:abstractNumId w:val="32"/>
  </w:num>
  <w:num w:numId="2" w16cid:durableId="1101798190">
    <w:abstractNumId w:val="16"/>
  </w:num>
  <w:num w:numId="3" w16cid:durableId="188492119">
    <w:abstractNumId w:val="22"/>
  </w:num>
  <w:num w:numId="4" w16cid:durableId="2132357402">
    <w:abstractNumId w:val="20"/>
  </w:num>
  <w:num w:numId="5" w16cid:durableId="561142298">
    <w:abstractNumId w:val="26"/>
  </w:num>
  <w:num w:numId="6" w16cid:durableId="1157455661">
    <w:abstractNumId w:val="34"/>
  </w:num>
  <w:num w:numId="7" w16cid:durableId="33129476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  <w:b w:val="0"/>
        </w:rPr>
      </w:lvl>
    </w:lvlOverride>
  </w:num>
  <w:num w:numId="8" w16cid:durableId="1381788310">
    <w:abstractNumId w:val="30"/>
  </w:num>
  <w:num w:numId="9" w16cid:durableId="1217815563">
    <w:abstractNumId w:val="11"/>
  </w:num>
  <w:num w:numId="10" w16cid:durableId="1968579482">
    <w:abstractNumId w:val="33"/>
  </w:num>
  <w:num w:numId="11" w16cid:durableId="1939633066">
    <w:abstractNumId w:val="21"/>
  </w:num>
  <w:num w:numId="12" w16cid:durableId="1610551694">
    <w:abstractNumId w:val="10"/>
  </w:num>
  <w:num w:numId="13" w16cid:durableId="544564455">
    <w:abstractNumId w:val="8"/>
  </w:num>
  <w:num w:numId="14" w16cid:durableId="2092656631">
    <w:abstractNumId w:val="7"/>
  </w:num>
  <w:num w:numId="15" w16cid:durableId="349991778">
    <w:abstractNumId w:val="6"/>
  </w:num>
  <w:num w:numId="16" w16cid:durableId="1948730667">
    <w:abstractNumId w:val="5"/>
  </w:num>
  <w:num w:numId="17" w16cid:durableId="1151868341">
    <w:abstractNumId w:val="9"/>
  </w:num>
  <w:num w:numId="18" w16cid:durableId="334844530">
    <w:abstractNumId w:val="4"/>
  </w:num>
  <w:num w:numId="19" w16cid:durableId="1296179106">
    <w:abstractNumId w:val="3"/>
  </w:num>
  <w:num w:numId="20" w16cid:durableId="1690401233">
    <w:abstractNumId w:val="2"/>
  </w:num>
  <w:num w:numId="21" w16cid:durableId="337315974">
    <w:abstractNumId w:val="1"/>
  </w:num>
  <w:num w:numId="22" w16cid:durableId="766654703">
    <w:abstractNumId w:val="39"/>
  </w:num>
  <w:num w:numId="23" w16cid:durableId="1807773675">
    <w:abstractNumId w:val="17"/>
  </w:num>
  <w:num w:numId="24" w16cid:durableId="827286661">
    <w:abstractNumId w:val="40"/>
  </w:num>
  <w:num w:numId="25" w16cid:durableId="822356536">
    <w:abstractNumId w:val="35"/>
  </w:num>
  <w:num w:numId="26" w16cid:durableId="1175994611">
    <w:abstractNumId w:val="31"/>
  </w:num>
  <w:num w:numId="27" w16cid:durableId="1178427342">
    <w:abstractNumId w:val="29"/>
  </w:num>
  <w:num w:numId="28" w16cid:durableId="532040344">
    <w:abstractNumId w:val="18"/>
  </w:num>
  <w:num w:numId="29" w16cid:durableId="1413699472">
    <w:abstractNumId w:val="15"/>
  </w:num>
  <w:num w:numId="30" w16cid:durableId="466515135">
    <w:abstractNumId w:val="28"/>
  </w:num>
  <w:num w:numId="31" w16cid:durableId="1052770940">
    <w:abstractNumId w:val="37"/>
  </w:num>
  <w:num w:numId="32" w16cid:durableId="1919516075">
    <w:abstractNumId w:val="27"/>
  </w:num>
  <w:num w:numId="33" w16cid:durableId="2098401280">
    <w:abstractNumId w:val="23"/>
  </w:num>
  <w:num w:numId="34" w16cid:durableId="1320501975">
    <w:abstractNumId w:val="36"/>
  </w:num>
  <w:num w:numId="35" w16cid:durableId="1996102562">
    <w:abstractNumId w:val="12"/>
  </w:num>
  <w:num w:numId="36" w16cid:durableId="1619214858">
    <w:abstractNumId w:val="38"/>
  </w:num>
  <w:num w:numId="37" w16cid:durableId="254171529">
    <w:abstractNumId w:val="24"/>
  </w:num>
  <w:num w:numId="38" w16cid:durableId="305472148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  <w:b w:val="0"/>
        </w:rPr>
      </w:lvl>
    </w:lvlOverride>
  </w:num>
  <w:num w:numId="39" w16cid:durableId="1500583752">
    <w:abstractNumId w:val="0"/>
  </w:num>
  <w:num w:numId="40" w16cid:durableId="1817797199">
    <w:abstractNumId w:val="19"/>
  </w:num>
  <w:num w:numId="41" w16cid:durableId="539244525">
    <w:abstractNumId w:val="19"/>
  </w:num>
  <w:num w:numId="42" w16cid:durableId="22723039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  <w:b w:val="0"/>
        </w:rPr>
      </w:lvl>
    </w:lvlOverride>
  </w:num>
  <w:num w:numId="43" w16cid:durableId="131205386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1247" w:firstLine="0"/>
        </w:pPr>
        <w:rPr>
          <w:rFonts w:hint="default"/>
          <w:b w:val="0"/>
        </w:rPr>
      </w:lvl>
    </w:lvlOverride>
  </w:num>
  <w:num w:numId="44" w16cid:durableId="548495645">
    <w:abstractNumId w:val="19"/>
    <w:lvlOverride w:ilvl="0">
      <w:startOverride w:val="19"/>
    </w:lvlOverride>
  </w:num>
  <w:num w:numId="45" w16cid:durableId="1451365298">
    <w:abstractNumId w:val="13"/>
  </w:num>
  <w:num w:numId="46" w16cid:durableId="726681304">
    <w:abstractNumId w:val="14"/>
  </w:num>
  <w:num w:numId="47" w16cid:durableId="20526813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624"/>
  <w:hyphenationZone w:val="425"/>
  <w:evenAndOddHeaders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EE"/>
    <w:rsid w:val="000122F6"/>
    <w:rsid w:val="00016304"/>
    <w:rsid w:val="00030DF1"/>
    <w:rsid w:val="00034C2C"/>
    <w:rsid w:val="00052F5D"/>
    <w:rsid w:val="0007117A"/>
    <w:rsid w:val="00072280"/>
    <w:rsid w:val="00072E4C"/>
    <w:rsid w:val="000749BD"/>
    <w:rsid w:val="00075512"/>
    <w:rsid w:val="00076314"/>
    <w:rsid w:val="00077602"/>
    <w:rsid w:val="00083D5F"/>
    <w:rsid w:val="000922A4"/>
    <w:rsid w:val="000943D0"/>
    <w:rsid w:val="00096912"/>
    <w:rsid w:val="000A0795"/>
    <w:rsid w:val="000A1986"/>
    <w:rsid w:val="000A26DB"/>
    <w:rsid w:val="000B3A8D"/>
    <w:rsid w:val="000B754B"/>
    <w:rsid w:val="000C1EE4"/>
    <w:rsid w:val="000C4D2B"/>
    <w:rsid w:val="000C577E"/>
    <w:rsid w:val="000C5AF4"/>
    <w:rsid w:val="000D2411"/>
    <w:rsid w:val="000D316D"/>
    <w:rsid w:val="000D35C7"/>
    <w:rsid w:val="000E1620"/>
    <w:rsid w:val="000E1C4F"/>
    <w:rsid w:val="000E47FB"/>
    <w:rsid w:val="000E47FE"/>
    <w:rsid w:val="000F0BFF"/>
    <w:rsid w:val="00126666"/>
    <w:rsid w:val="0012759E"/>
    <w:rsid w:val="00130DA6"/>
    <w:rsid w:val="00141FCC"/>
    <w:rsid w:val="0014691B"/>
    <w:rsid w:val="00156823"/>
    <w:rsid w:val="0016307C"/>
    <w:rsid w:val="001672D3"/>
    <w:rsid w:val="001774AA"/>
    <w:rsid w:val="0017798A"/>
    <w:rsid w:val="001A017A"/>
    <w:rsid w:val="001B6A3F"/>
    <w:rsid w:val="001C2BC6"/>
    <w:rsid w:val="001C4003"/>
    <w:rsid w:val="001C6128"/>
    <w:rsid w:val="001C7537"/>
    <w:rsid w:val="001D0197"/>
    <w:rsid w:val="001E7C54"/>
    <w:rsid w:val="001F0064"/>
    <w:rsid w:val="001F5CD0"/>
    <w:rsid w:val="002011CA"/>
    <w:rsid w:val="002112FE"/>
    <w:rsid w:val="00217D63"/>
    <w:rsid w:val="00234828"/>
    <w:rsid w:val="00237E0D"/>
    <w:rsid w:val="00241545"/>
    <w:rsid w:val="00251362"/>
    <w:rsid w:val="00251B90"/>
    <w:rsid w:val="00252162"/>
    <w:rsid w:val="0025311C"/>
    <w:rsid w:val="0025461E"/>
    <w:rsid w:val="002551E1"/>
    <w:rsid w:val="0025570F"/>
    <w:rsid w:val="00256743"/>
    <w:rsid w:val="002568F5"/>
    <w:rsid w:val="0026406A"/>
    <w:rsid w:val="00272551"/>
    <w:rsid w:val="0027347A"/>
    <w:rsid w:val="0028058B"/>
    <w:rsid w:val="0028258D"/>
    <w:rsid w:val="00282D8A"/>
    <w:rsid w:val="00283475"/>
    <w:rsid w:val="0028469F"/>
    <w:rsid w:val="002944EF"/>
    <w:rsid w:val="002A4458"/>
    <w:rsid w:val="002B19C8"/>
    <w:rsid w:val="002C5778"/>
    <w:rsid w:val="002D1480"/>
    <w:rsid w:val="002D2389"/>
    <w:rsid w:val="002D73B2"/>
    <w:rsid w:val="002E4B14"/>
    <w:rsid w:val="002E4C40"/>
    <w:rsid w:val="002E5B8E"/>
    <w:rsid w:val="002E6750"/>
    <w:rsid w:val="002F1509"/>
    <w:rsid w:val="002F4F8F"/>
    <w:rsid w:val="00305C8A"/>
    <w:rsid w:val="00310FE3"/>
    <w:rsid w:val="00317170"/>
    <w:rsid w:val="00322BB6"/>
    <w:rsid w:val="00323C05"/>
    <w:rsid w:val="0033433A"/>
    <w:rsid w:val="00335B08"/>
    <w:rsid w:val="0033687C"/>
    <w:rsid w:val="003409B1"/>
    <w:rsid w:val="00347123"/>
    <w:rsid w:val="003507BB"/>
    <w:rsid w:val="003526C5"/>
    <w:rsid w:val="00353750"/>
    <w:rsid w:val="00355F2A"/>
    <w:rsid w:val="00356C11"/>
    <w:rsid w:val="00357407"/>
    <w:rsid w:val="003703FC"/>
    <w:rsid w:val="003704B7"/>
    <w:rsid w:val="00370FEE"/>
    <w:rsid w:val="003876B6"/>
    <w:rsid w:val="00390AD1"/>
    <w:rsid w:val="00391DC0"/>
    <w:rsid w:val="003A1B11"/>
    <w:rsid w:val="003D169B"/>
    <w:rsid w:val="003D184A"/>
    <w:rsid w:val="003E2E45"/>
    <w:rsid w:val="003E49E3"/>
    <w:rsid w:val="003E4D81"/>
    <w:rsid w:val="003E7CFD"/>
    <w:rsid w:val="003F2EF4"/>
    <w:rsid w:val="003F481E"/>
    <w:rsid w:val="003F6EF5"/>
    <w:rsid w:val="004002BA"/>
    <w:rsid w:val="0040419C"/>
    <w:rsid w:val="0040521D"/>
    <w:rsid w:val="0040642D"/>
    <w:rsid w:val="00406973"/>
    <w:rsid w:val="00410693"/>
    <w:rsid w:val="004122CD"/>
    <w:rsid w:val="00412C78"/>
    <w:rsid w:val="00416281"/>
    <w:rsid w:val="00420B72"/>
    <w:rsid w:val="00421879"/>
    <w:rsid w:val="0042596E"/>
    <w:rsid w:val="00430E0B"/>
    <w:rsid w:val="00434631"/>
    <w:rsid w:val="004358DB"/>
    <w:rsid w:val="004358E3"/>
    <w:rsid w:val="00441FA9"/>
    <w:rsid w:val="0044728E"/>
    <w:rsid w:val="00447F73"/>
    <w:rsid w:val="004501C5"/>
    <w:rsid w:val="00450C20"/>
    <w:rsid w:val="00455C3E"/>
    <w:rsid w:val="004617C4"/>
    <w:rsid w:val="004636BB"/>
    <w:rsid w:val="00466720"/>
    <w:rsid w:val="004706A7"/>
    <w:rsid w:val="004836B7"/>
    <w:rsid w:val="00485575"/>
    <w:rsid w:val="00485E12"/>
    <w:rsid w:val="00486F50"/>
    <w:rsid w:val="004A42F7"/>
    <w:rsid w:val="004B3F43"/>
    <w:rsid w:val="004D4287"/>
    <w:rsid w:val="004D4496"/>
    <w:rsid w:val="004E587B"/>
    <w:rsid w:val="004F1A95"/>
    <w:rsid w:val="004F7982"/>
    <w:rsid w:val="005028A7"/>
    <w:rsid w:val="005053BB"/>
    <w:rsid w:val="005105B2"/>
    <w:rsid w:val="0051431B"/>
    <w:rsid w:val="0052195F"/>
    <w:rsid w:val="00521E1F"/>
    <w:rsid w:val="00522946"/>
    <w:rsid w:val="00526D60"/>
    <w:rsid w:val="005321EC"/>
    <w:rsid w:val="0053576A"/>
    <w:rsid w:val="00550196"/>
    <w:rsid w:val="005514F3"/>
    <w:rsid w:val="005548A7"/>
    <w:rsid w:val="00560D66"/>
    <w:rsid w:val="00561EAB"/>
    <w:rsid w:val="0056562A"/>
    <w:rsid w:val="00573BA2"/>
    <w:rsid w:val="00573CA0"/>
    <w:rsid w:val="00574242"/>
    <w:rsid w:val="00574B50"/>
    <w:rsid w:val="00592A56"/>
    <w:rsid w:val="005969C3"/>
    <w:rsid w:val="005A1019"/>
    <w:rsid w:val="005A6F94"/>
    <w:rsid w:val="005B13D7"/>
    <w:rsid w:val="005B1F27"/>
    <w:rsid w:val="005B2B27"/>
    <w:rsid w:val="005B4900"/>
    <w:rsid w:val="005C0AE5"/>
    <w:rsid w:val="005C5F9D"/>
    <w:rsid w:val="005C7DED"/>
    <w:rsid w:val="005D0740"/>
    <w:rsid w:val="005D226D"/>
    <w:rsid w:val="005D2378"/>
    <w:rsid w:val="005E079A"/>
    <w:rsid w:val="005E3141"/>
    <w:rsid w:val="005F2B24"/>
    <w:rsid w:val="005F354C"/>
    <w:rsid w:val="005F5D77"/>
    <w:rsid w:val="00601534"/>
    <w:rsid w:val="00603B78"/>
    <w:rsid w:val="00612716"/>
    <w:rsid w:val="00614E03"/>
    <w:rsid w:val="006156CB"/>
    <w:rsid w:val="00615980"/>
    <w:rsid w:val="00617FB6"/>
    <w:rsid w:val="00621130"/>
    <w:rsid w:val="0063171C"/>
    <w:rsid w:val="006319B7"/>
    <w:rsid w:val="0064079E"/>
    <w:rsid w:val="006428BD"/>
    <w:rsid w:val="006461B9"/>
    <w:rsid w:val="00651274"/>
    <w:rsid w:val="00655909"/>
    <w:rsid w:val="00657DF4"/>
    <w:rsid w:val="00662A53"/>
    <w:rsid w:val="00662D7C"/>
    <w:rsid w:val="0066496B"/>
    <w:rsid w:val="0067432B"/>
    <w:rsid w:val="0068093B"/>
    <w:rsid w:val="00680998"/>
    <w:rsid w:val="00683BF9"/>
    <w:rsid w:val="00684299"/>
    <w:rsid w:val="0068471B"/>
    <w:rsid w:val="0069457E"/>
    <w:rsid w:val="00694E07"/>
    <w:rsid w:val="006A001A"/>
    <w:rsid w:val="006A1223"/>
    <w:rsid w:val="006A3F28"/>
    <w:rsid w:val="006A4216"/>
    <w:rsid w:val="006B14CF"/>
    <w:rsid w:val="006B2009"/>
    <w:rsid w:val="006B3E2F"/>
    <w:rsid w:val="006C0642"/>
    <w:rsid w:val="006C579B"/>
    <w:rsid w:val="006C65C8"/>
    <w:rsid w:val="006D2D1A"/>
    <w:rsid w:val="006D7453"/>
    <w:rsid w:val="006E6AD9"/>
    <w:rsid w:val="006F038B"/>
    <w:rsid w:val="006F1D1A"/>
    <w:rsid w:val="006F1DBF"/>
    <w:rsid w:val="006F4F61"/>
    <w:rsid w:val="006F5E66"/>
    <w:rsid w:val="00702E6B"/>
    <w:rsid w:val="00704692"/>
    <w:rsid w:val="0070658C"/>
    <w:rsid w:val="00711F1C"/>
    <w:rsid w:val="00712D54"/>
    <w:rsid w:val="00714783"/>
    <w:rsid w:val="00717981"/>
    <w:rsid w:val="00720E7E"/>
    <w:rsid w:val="00734182"/>
    <w:rsid w:val="0074330C"/>
    <w:rsid w:val="00743455"/>
    <w:rsid w:val="007460D4"/>
    <w:rsid w:val="00747ADF"/>
    <w:rsid w:val="00752D55"/>
    <w:rsid w:val="007633A1"/>
    <w:rsid w:val="00765766"/>
    <w:rsid w:val="00767D66"/>
    <w:rsid w:val="00780C78"/>
    <w:rsid w:val="00790D37"/>
    <w:rsid w:val="00795759"/>
    <w:rsid w:val="007A09D4"/>
    <w:rsid w:val="007A0A78"/>
    <w:rsid w:val="007A270B"/>
    <w:rsid w:val="007A5374"/>
    <w:rsid w:val="007A67F2"/>
    <w:rsid w:val="007B28C7"/>
    <w:rsid w:val="007C4FC7"/>
    <w:rsid w:val="007D014F"/>
    <w:rsid w:val="007D3CFE"/>
    <w:rsid w:val="007D4BED"/>
    <w:rsid w:val="007E43F8"/>
    <w:rsid w:val="007E4D2B"/>
    <w:rsid w:val="007E6A8A"/>
    <w:rsid w:val="007F06EA"/>
    <w:rsid w:val="007F334D"/>
    <w:rsid w:val="007F68B3"/>
    <w:rsid w:val="00813CFA"/>
    <w:rsid w:val="00815A41"/>
    <w:rsid w:val="008203CF"/>
    <w:rsid w:val="00831D3A"/>
    <w:rsid w:val="0083335F"/>
    <w:rsid w:val="00833FFC"/>
    <w:rsid w:val="00840A29"/>
    <w:rsid w:val="00850BF2"/>
    <w:rsid w:val="00852C3A"/>
    <w:rsid w:val="00863993"/>
    <w:rsid w:val="00871623"/>
    <w:rsid w:val="0088305D"/>
    <w:rsid w:val="008856C3"/>
    <w:rsid w:val="00885FBA"/>
    <w:rsid w:val="00886C31"/>
    <w:rsid w:val="00887CED"/>
    <w:rsid w:val="00890451"/>
    <w:rsid w:val="008A0014"/>
    <w:rsid w:val="008A02F2"/>
    <w:rsid w:val="008A7898"/>
    <w:rsid w:val="008B0391"/>
    <w:rsid w:val="008B30C2"/>
    <w:rsid w:val="008C5EB2"/>
    <w:rsid w:val="008C7DFE"/>
    <w:rsid w:val="008E26AE"/>
    <w:rsid w:val="008E595A"/>
    <w:rsid w:val="008E5BBB"/>
    <w:rsid w:val="0091209F"/>
    <w:rsid w:val="00916231"/>
    <w:rsid w:val="00933A2D"/>
    <w:rsid w:val="00933F5E"/>
    <w:rsid w:val="0094123A"/>
    <w:rsid w:val="009448A9"/>
    <w:rsid w:val="00945DE5"/>
    <w:rsid w:val="009541B1"/>
    <w:rsid w:val="00955A58"/>
    <w:rsid w:val="00956070"/>
    <w:rsid w:val="009568AB"/>
    <w:rsid w:val="00961923"/>
    <w:rsid w:val="00963386"/>
    <w:rsid w:val="009667A5"/>
    <w:rsid w:val="00967CA3"/>
    <w:rsid w:val="009715AE"/>
    <w:rsid w:val="00972FDA"/>
    <w:rsid w:val="00973C3D"/>
    <w:rsid w:val="00981239"/>
    <w:rsid w:val="0098329A"/>
    <w:rsid w:val="009834C0"/>
    <w:rsid w:val="009845BB"/>
    <w:rsid w:val="00987A80"/>
    <w:rsid w:val="00987DF6"/>
    <w:rsid w:val="00991F65"/>
    <w:rsid w:val="009A4D6A"/>
    <w:rsid w:val="009A4D9F"/>
    <w:rsid w:val="009B086D"/>
    <w:rsid w:val="009B38CC"/>
    <w:rsid w:val="009C5AAE"/>
    <w:rsid w:val="009D334D"/>
    <w:rsid w:val="009E64B3"/>
    <w:rsid w:val="009F07EE"/>
    <w:rsid w:val="00A02F62"/>
    <w:rsid w:val="00A03088"/>
    <w:rsid w:val="00A03793"/>
    <w:rsid w:val="00A03AC7"/>
    <w:rsid w:val="00A05124"/>
    <w:rsid w:val="00A11C86"/>
    <w:rsid w:val="00A227A4"/>
    <w:rsid w:val="00A2522A"/>
    <w:rsid w:val="00A26FB2"/>
    <w:rsid w:val="00A27A9B"/>
    <w:rsid w:val="00A321B2"/>
    <w:rsid w:val="00A426AC"/>
    <w:rsid w:val="00A42EBA"/>
    <w:rsid w:val="00A4441A"/>
    <w:rsid w:val="00A45D07"/>
    <w:rsid w:val="00A4668D"/>
    <w:rsid w:val="00A5111D"/>
    <w:rsid w:val="00A51E2D"/>
    <w:rsid w:val="00A57F4D"/>
    <w:rsid w:val="00A62A00"/>
    <w:rsid w:val="00A666AF"/>
    <w:rsid w:val="00A67C8F"/>
    <w:rsid w:val="00A772BF"/>
    <w:rsid w:val="00A832D5"/>
    <w:rsid w:val="00A9073A"/>
    <w:rsid w:val="00A91EE2"/>
    <w:rsid w:val="00A94E85"/>
    <w:rsid w:val="00AA6F61"/>
    <w:rsid w:val="00AB0541"/>
    <w:rsid w:val="00AD00B7"/>
    <w:rsid w:val="00AD577C"/>
    <w:rsid w:val="00AD75B1"/>
    <w:rsid w:val="00AD769B"/>
    <w:rsid w:val="00AE0457"/>
    <w:rsid w:val="00AE50DB"/>
    <w:rsid w:val="00AF650A"/>
    <w:rsid w:val="00AF7AD6"/>
    <w:rsid w:val="00B13EFB"/>
    <w:rsid w:val="00B20455"/>
    <w:rsid w:val="00B273D1"/>
    <w:rsid w:val="00B27B85"/>
    <w:rsid w:val="00B31116"/>
    <w:rsid w:val="00B3266B"/>
    <w:rsid w:val="00B32941"/>
    <w:rsid w:val="00B346BD"/>
    <w:rsid w:val="00B40E6D"/>
    <w:rsid w:val="00B4360D"/>
    <w:rsid w:val="00B473EE"/>
    <w:rsid w:val="00B47540"/>
    <w:rsid w:val="00B53722"/>
    <w:rsid w:val="00B55E29"/>
    <w:rsid w:val="00B57280"/>
    <w:rsid w:val="00B61E3F"/>
    <w:rsid w:val="00B638F0"/>
    <w:rsid w:val="00B6479D"/>
    <w:rsid w:val="00B67622"/>
    <w:rsid w:val="00B745E4"/>
    <w:rsid w:val="00B75981"/>
    <w:rsid w:val="00B76F36"/>
    <w:rsid w:val="00B821DD"/>
    <w:rsid w:val="00B82465"/>
    <w:rsid w:val="00B94BF8"/>
    <w:rsid w:val="00BA2A8D"/>
    <w:rsid w:val="00BA3C84"/>
    <w:rsid w:val="00BA3F55"/>
    <w:rsid w:val="00BA74FC"/>
    <w:rsid w:val="00BA7BBF"/>
    <w:rsid w:val="00BB0234"/>
    <w:rsid w:val="00BB1489"/>
    <w:rsid w:val="00BB2D7A"/>
    <w:rsid w:val="00BB4077"/>
    <w:rsid w:val="00BB600F"/>
    <w:rsid w:val="00BD6924"/>
    <w:rsid w:val="00BE30ED"/>
    <w:rsid w:val="00C05D12"/>
    <w:rsid w:val="00C14846"/>
    <w:rsid w:val="00C1614A"/>
    <w:rsid w:val="00C21C51"/>
    <w:rsid w:val="00C23303"/>
    <w:rsid w:val="00C2413A"/>
    <w:rsid w:val="00C3129D"/>
    <w:rsid w:val="00C31F18"/>
    <w:rsid w:val="00C44E6A"/>
    <w:rsid w:val="00C46BC9"/>
    <w:rsid w:val="00C56324"/>
    <w:rsid w:val="00C57DF0"/>
    <w:rsid w:val="00C61A47"/>
    <w:rsid w:val="00C63CC8"/>
    <w:rsid w:val="00C67F26"/>
    <w:rsid w:val="00C72C41"/>
    <w:rsid w:val="00C73686"/>
    <w:rsid w:val="00C82A2A"/>
    <w:rsid w:val="00C82B23"/>
    <w:rsid w:val="00C872F9"/>
    <w:rsid w:val="00C90268"/>
    <w:rsid w:val="00CB3AB7"/>
    <w:rsid w:val="00CD6438"/>
    <w:rsid w:val="00CE0BEA"/>
    <w:rsid w:val="00CE10CD"/>
    <w:rsid w:val="00CF4AA1"/>
    <w:rsid w:val="00CF7E4B"/>
    <w:rsid w:val="00D01656"/>
    <w:rsid w:val="00D03BB0"/>
    <w:rsid w:val="00D06FBA"/>
    <w:rsid w:val="00D079F1"/>
    <w:rsid w:val="00D1667E"/>
    <w:rsid w:val="00D30390"/>
    <w:rsid w:val="00D32E99"/>
    <w:rsid w:val="00D335CA"/>
    <w:rsid w:val="00D364E7"/>
    <w:rsid w:val="00D424B0"/>
    <w:rsid w:val="00D43369"/>
    <w:rsid w:val="00D5622C"/>
    <w:rsid w:val="00D56FAC"/>
    <w:rsid w:val="00D62EC7"/>
    <w:rsid w:val="00D64BA9"/>
    <w:rsid w:val="00D64F22"/>
    <w:rsid w:val="00D677A2"/>
    <w:rsid w:val="00D72B9A"/>
    <w:rsid w:val="00D74080"/>
    <w:rsid w:val="00D74698"/>
    <w:rsid w:val="00D84739"/>
    <w:rsid w:val="00D97C17"/>
    <w:rsid w:val="00DA175B"/>
    <w:rsid w:val="00DA7DCF"/>
    <w:rsid w:val="00DB40F8"/>
    <w:rsid w:val="00DB4254"/>
    <w:rsid w:val="00DB5126"/>
    <w:rsid w:val="00DB53A3"/>
    <w:rsid w:val="00DC0CC9"/>
    <w:rsid w:val="00DC1A9B"/>
    <w:rsid w:val="00DC42E3"/>
    <w:rsid w:val="00DD0D68"/>
    <w:rsid w:val="00DD1FBF"/>
    <w:rsid w:val="00DD4910"/>
    <w:rsid w:val="00DD641A"/>
    <w:rsid w:val="00DE18AE"/>
    <w:rsid w:val="00DE7C16"/>
    <w:rsid w:val="00DF6EDF"/>
    <w:rsid w:val="00E00DDF"/>
    <w:rsid w:val="00E04048"/>
    <w:rsid w:val="00E0528F"/>
    <w:rsid w:val="00E10343"/>
    <w:rsid w:val="00E1127D"/>
    <w:rsid w:val="00E21653"/>
    <w:rsid w:val="00E22790"/>
    <w:rsid w:val="00E46D14"/>
    <w:rsid w:val="00E51A5E"/>
    <w:rsid w:val="00E52111"/>
    <w:rsid w:val="00E578A9"/>
    <w:rsid w:val="00E60879"/>
    <w:rsid w:val="00E61232"/>
    <w:rsid w:val="00E61F34"/>
    <w:rsid w:val="00E63C22"/>
    <w:rsid w:val="00E66E60"/>
    <w:rsid w:val="00E72564"/>
    <w:rsid w:val="00E73E9E"/>
    <w:rsid w:val="00E85D21"/>
    <w:rsid w:val="00E92D3A"/>
    <w:rsid w:val="00E936A3"/>
    <w:rsid w:val="00E968E5"/>
    <w:rsid w:val="00EB696D"/>
    <w:rsid w:val="00EB78AB"/>
    <w:rsid w:val="00ED0E92"/>
    <w:rsid w:val="00ED2116"/>
    <w:rsid w:val="00EF727F"/>
    <w:rsid w:val="00EF7C98"/>
    <w:rsid w:val="00F02D4C"/>
    <w:rsid w:val="00F03EFB"/>
    <w:rsid w:val="00F06790"/>
    <w:rsid w:val="00F07B4E"/>
    <w:rsid w:val="00F12813"/>
    <w:rsid w:val="00F140A2"/>
    <w:rsid w:val="00F15766"/>
    <w:rsid w:val="00F16108"/>
    <w:rsid w:val="00F21A5B"/>
    <w:rsid w:val="00F3555D"/>
    <w:rsid w:val="00F43F3E"/>
    <w:rsid w:val="00F51EDE"/>
    <w:rsid w:val="00F558B7"/>
    <w:rsid w:val="00F55B9F"/>
    <w:rsid w:val="00F6173C"/>
    <w:rsid w:val="00F7005F"/>
    <w:rsid w:val="00F75974"/>
    <w:rsid w:val="00F75C27"/>
    <w:rsid w:val="00F75D36"/>
    <w:rsid w:val="00F77CC5"/>
    <w:rsid w:val="00F85049"/>
    <w:rsid w:val="00F867E6"/>
    <w:rsid w:val="00F900B5"/>
    <w:rsid w:val="00F90231"/>
    <w:rsid w:val="00F92940"/>
    <w:rsid w:val="00F9390F"/>
    <w:rsid w:val="00FA469B"/>
    <w:rsid w:val="00FA4E17"/>
    <w:rsid w:val="00FB0562"/>
    <w:rsid w:val="00FB291B"/>
    <w:rsid w:val="00FB78FD"/>
    <w:rsid w:val="00FB7D11"/>
    <w:rsid w:val="00FC0482"/>
    <w:rsid w:val="00FC0EE8"/>
    <w:rsid w:val="00FC7DF8"/>
    <w:rsid w:val="00FD1FBB"/>
    <w:rsid w:val="00FD7801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53F1D"/>
  <w15:chartTrackingRefBased/>
  <w15:docId w15:val="{735703A4-923E-4F75-9A87-99C7BF32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41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en-KE"/>
      <w14:ligatures w14:val="standardContextual"/>
    </w:rPr>
  </w:style>
  <w:style w:type="paragraph" w:styleId="Heading1">
    <w:name w:val="heading 1"/>
    <w:basedOn w:val="Normal"/>
    <w:next w:val="Normalnumber"/>
    <w:qFormat/>
    <w:rsid w:val="00A321B2"/>
    <w:pPr>
      <w:keepNext/>
      <w:tabs>
        <w:tab w:val="left" w:pos="1247"/>
        <w:tab w:val="left" w:pos="1814"/>
      </w:tabs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A321B2"/>
    <w:pPr>
      <w:keepNext/>
      <w:spacing w:before="240" w:after="120"/>
      <w:ind w:left="1247" w:hanging="680"/>
      <w:outlineLvl w:val="1"/>
    </w:pPr>
    <w:rPr>
      <w:b/>
    </w:rPr>
  </w:style>
  <w:style w:type="paragraph" w:styleId="Heading3">
    <w:name w:val="heading 3"/>
    <w:basedOn w:val="Normal"/>
    <w:next w:val="Normalnumber"/>
    <w:qFormat/>
    <w:rsid w:val="00A321B2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A321B2"/>
    <w:pPr>
      <w:keepNext/>
      <w:outlineLvl w:val="3"/>
    </w:pPr>
  </w:style>
  <w:style w:type="paragraph" w:styleId="Heading5">
    <w:name w:val="heading 5"/>
    <w:basedOn w:val="Normal"/>
    <w:next w:val="Normal"/>
    <w:qFormat/>
    <w:rsid w:val="00A321B2"/>
    <w:pPr>
      <w:keepNext/>
      <w:outlineLvl w:val="4"/>
    </w:pPr>
    <w:rPr>
      <w:rFonts w:ascii="Univers" w:hAnsi="Univers"/>
      <w:b/>
    </w:rPr>
  </w:style>
  <w:style w:type="paragraph" w:styleId="Heading6">
    <w:name w:val="heading 6"/>
    <w:basedOn w:val="Normal"/>
    <w:next w:val="Normal"/>
    <w:qFormat/>
    <w:rsid w:val="00A321B2"/>
    <w:pPr>
      <w:keepNext/>
      <w:ind w:left="578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321B2"/>
    <w:pPr>
      <w:keepNext/>
      <w:widowControl w:val="0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Normal"/>
    <w:next w:val="Normal"/>
    <w:qFormat/>
    <w:rsid w:val="00A321B2"/>
    <w:pPr>
      <w:keepNext/>
      <w:widowControl w:val="0"/>
      <w:numPr>
        <w:numId w:val="4"/>
      </w:numPr>
      <w:tabs>
        <w:tab w:val="left" w:pos="-1440"/>
        <w:tab w:val="left" w:pos="-720"/>
      </w:tabs>
      <w:suppressAutoHyphens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qFormat/>
    <w:rsid w:val="00A321B2"/>
    <w:pPr>
      <w:keepNext/>
      <w:widowControl w:val="0"/>
      <w:numPr>
        <w:numId w:val="5"/>
      </w:numPr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  <w:rsid w:val="00DD641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D641A"/>
  </w:style>
  <w:style w:type="character" w:styleId="PageNumber">
    <w:name w:val="page number"/>
    <w:semiHidden/>
    <w:rsid w:val="00A321B2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A321B2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A321B2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321B2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321B2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321B2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A321B2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A321B2"/>
    <w:pPr>
      <w:ind w:left="1814" w:hanging="567"/>
    </w:pPr>
  </w:style>
  <w:style w:type="paragraph" w:customStyle="1" w:styleId="CH1">
    <w:name w:val="CH1"/>
    <w:basedOn w:val="Normal-pool"/>
    <w:next w:val="CH2"/>
    <w:rsid w:val="00A321B2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rsid w:val="00A321B2"/>
    <w:pPr>
      <w:keepNext/>
      <w:keepLines/>
      <w:tabs>
        <w:tab w:val="right" w:pos="851"/>
      </w:tabs>
      <w:suppressAutoHyphens/>
      <w:spacing w:before="12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A321B2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A321B2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</w:rPr>
  </w:style>
  <w:style w:type="table" w:customStyle="1" w:styleId="Footertable">
    <w:name w:val="Footer_table"/>
    <w:basedOn w:val="TableNormal"/>
    <w:semiHidden/>
    <w:rsid w:val="00A321B2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"/>
    <w:next w:val="Normalnumber"/>
    <w:semiHidden/>
    <w:rsid w:val="00A321B2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</w:rPr>
  </w:style>
  <w:style w:type="paragraph" w:styleId="Caption">
    <w:name w:val="caption"/>
    <w:basedOn w:val="Normal"/>
    <w:next w:val="Normal"/>
    <w:qFormat/>
    <w:rsid w:val="009F07EE"/>
    <w:pPr>
      <w:widowControl w:val="0"/>
    </w:pPr>
    <w:rPr>
      <w:snapToGrid w:val="0"/>
    </w:rPr>
  </w:style>
  <w:style w:type="paragraph" w:customStyle="1" w:styleId="Normal-num">
    <w:name w:val="Normal-num"/>
    <w:basedOn w:val="Normal"/>
    <w:next w:val="Normal"/>
    <w:rsid w:val="009F07EE"/>
    <w:pPr>
      <w:numPr>
        <w:numId w:val="1"/>
      </w:numPr>
      <w:suppressAutoHyphens/>
      <w:spacing w:after="120"/>
    </w:pPr>
    <w:rPr>
      <w:lang w:eastAsia="zh-CN"/>
    </w:rPr>
  </w:style>
  <w:style w:type="paragraph" w:customStyle="1" w:styleId="Paralevel1">
    <w:name w:val="Para level1"/>
    <w:basedOn w:val="Normal"/>
    <w:rsid w:val="009F07EE"/>
    <w:pPr>
      <w:numPr>
        <w:numId w:val="2"/>
      </w:numPr>
      <w:tabs>
        <w:tab w:val="clear" w:pos="360"/>
      </w:tabs>
      <w:spacing w:after="120"/>
      <w:ind w:left="1247"/>
    </w:pPr>
    <w:rPr>
      <w:sz w:val="20"/>
    </w:rPr>
  </w:style>
  <w:style w:type="paragraph" w:customStyle="1" w:styleId="Paralevel2">
    <w:name w:val="Para level2"/>
    <w:basedOn w:val="Paralevel1"/>
    <w:rsid w:val="009F07EE"/>
    <w:pPr>
      <w:numPr>
        <w:numId w:val="3"/>
      </w:numPr>
    </w:pPr>
  </w:style>
  <w:style w:type="paragraph" w:styleId="CommentText">
    <w:name w:val="annotation text"/>
    <w:basedOn w:val="Normal"/>
    <w:link w:val="CommentTextChar"/>
    <w:rsid w:val="009F07EE"/>
    <w:rPr>
      <w:sz w:val="20"/>
    </w:rPr>
  </w:style>
  <w:style w:type="character" w:customStyle="1" w:styleId="CommentTextChar">
    <w:name w:val="Comment Text Char"/>
    <w:link w:val="CommentText"/>
    <w:rsid w:val="009F07EE"/>
    <w:rPr>
      <w:lang w:val="en-GB" w:eastAsia="en-US" w:bidi="ar-SA"/>
    </w:rPr>
  </w:style>
  <w:style w:type="character" w:styleId="FootnoteReference">
    <w:name w:val="footnote reference"/>
    <w:semiHidden/>
    <w:rsid w:val="00A321B2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basedOn w:val="Normal-pool"/>
    <w:semiHidden/>
    <w:rsid w:val="00A321B2"/>
    <w:pPr>
      <w:spacing w:before="20" w:after="40"/>
      <w:ind w:left="1247"/>
    </w:pPr>
    <w:rPr>
      <w:sz w:val="18"/>
    </w:rPr>
  </w:style>
  <w:style w:type="paragraph" w:customStyle="1" w:styleId="Level3">
    <w:name w:val="Level3"/>
    <w:basedOn w:val="Normal"/>
    <w:autoRedefine/>
    <w:rsid w:val="000A3548"/>
    <w:pPr>
      <w:keepNext/>
      <w:keepLines/>
      <w:spacing w:before="60" w:after="60"/>
    </w:pPr>
    <w:rPr>
      <w:i/>
      <w:sz w:val="18"/>
    </w:rPr>
  </w:style>
  <w:style w:type="paragraph" w:styleId="BalloonText">
    <w:name w:val="Balloon Text"/>
    <w:basedOn w:val="Normal"/>
    <w:link w:val="BalloonTextChar"/>
    <w:rsid w:val="00A56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623D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4801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80138"/>
    <w:rPr>
      <w:b/>
      <w:bCs/>
    </w:rPr>
  </w:style>
  <w:style w:type="character" w:customStyle="1" w:styleId="CommentSubjectChar">
    <w:name w:val="Comment Subject Char"/>
    <w:link w:val="CommentSubject"/>
    <w:rsid w:val="00480138"/>
    <w:rPr>
      <w:b/>
      <w:bCs/>
      <w:lang w:val="en-GB" w:eastAsia="en-US" w:bidi="ar-SA"/>
    </w:rPr>
  </w:style>
  <w:style w:type="paragraph" w:customStyle="1" w:styleId="Anxtitle">
    <w:name w:val="Anx title"/>
    <w:basedOn w:val="Normal"/>
    <w:rsid w:val="00986AB5"/>
    <w:pPr>
      <w:ind w:left="1247"/>
    </w:pPr>
    <w:rPr>
      <w:b/>
      <w:bCs/>
      <w:sz w:val="28"/>
      <w:szCs w:val="26"/>
    </w:rPr>
  </w:style>
  <w:style w:type="table" w:styleId="TableGrid">
    <w:name w:val="Table Grid"/>
    <w:basedOn w:val="TableNormal"/>
    <w:rsid w:val="00E8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ool">
    <w:name w:val="Normal_pool"/>
    <w:link w:val="NormalpoolChar"/>
    <w:rsid w:val="0027019A"/>
    <w:pPr>
      <w:tabs>
        <w:tab w:val="left" w:pos="1253"/>
        <w:tab w:val="left" w:pos="1814"/>
        <w:tab w:val="left" w:pos="2376"/>
        <w:tab w:val="left" w:pos="2952"/>
        <w:tab w:val="left" w:pos="3514"/>
      </w:tabs>
    </w:pPr>
    <w:rPr>
      <w:lang w:val="en-GB"/>
    </w:rPr>
  </w:style>
  <w:style w:type="character" w:customStyle="1" w:styleId="NormalpoolChar">
    <w:name w:val="Normal_pool Char"/>
    <w:link w:val="Normalpool"/>
    <w:locked/>
    <w:rsid w:val="0027019A"/>
    <w:rPr>
      <w:lang w:val="en-GB" w:eastAsia="en-US" w:bidi="ar-SA"/>
    </w:rPr>
  </w:style>
  <w:style w:type="paragraph" w:styleId="NormalIndent">
    <w:name w:val="Normal Indent"/>
    <w:basedOn w:val="Normal"/>
    <w:semiHidden/>
    <w:rsid w:val="00A321B2"/>
    <w:pPr>
      <w:ind w:left="1247"/>
    </w:pPr>
  </w:style>
  <w:style w:type="paragraph" w:customStyle="1" w:styleId="Normal-pool">
    <w:name w:val="Normal-pool"/>
    <w:link w:val="Normal-poolChar"/>
    <w:qFormat/>
    <w:rsid w:val="00A321B2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val="en-GB"/>
    </w:rPr>
  </w:style>
  <w:style w:type="paragraph" w:styleId="Title">
    <w:name w:val="Title"/>
    <w:basedOn w:val="Normal"/>
    <w:autoRedefine/>
    <w:qFormat/>
    <w:rsid w:val="008D7933"/>
    <w:pPr>
      <w:spacing w:before="360" w:after="240"/>
      <w:ind w:left="1247" w:right="567"/>
      <w:outlineLvl w:val="0"/>
    </w:pPr>
    <w:rPr>
      <w:rFonts w:cs="Arial"/>
      <w:b/>
      <w:bCs/>
      <w:color w:val="000000"/>
      <w:kern w:val="28"/>
      <w:sz w:val="28"/>
      <w:szCs w:val="28"/>
    </w:rPr>
  </w:style>
  <w:style w:type="paragraph" w:customStyle="1" w:styleId="Tableheading">
    <w:name w:val="Table heading"/>
    <w:basedOn w:val="Normal"/>
    <w:rsid w:val="008D7933"/>
    <w:pPr>
      <w:keepNext/>
      <w:spacing w:before="120" w:after="240"/>
      <w:ind w:left="1984" w:hanging="907"/>
    </w:pPr>
    <w:rPr>
      <w:i/>
      <w:lang w:eastAsia="zh-CN"/>
    </w:rPr>
  </w:style>
  <w:style w:type="character" w:styleId="Strong">
    <w:name w:val="Strong"/>
    <w:qFormat/>
    <w:rsid w:val="009E2CA1"/>
    <w:rPr>
      <w:b/>
    </w:rPr>
  </w:style>
  <w:style w:type="paragraph" w:customStyle="1" w:styleId="ColorfulShading-Accent11">
    <w:name w:val="Colorful Shading - Accent 11"/>
    <w:hidden/>
    <w:uiPriority w:val="71"/>
    <w:rsid w:val="00A03AC7"/>
    <w:rPr>
      <w:lang w:val="en-GB"/>
    </w:rPr>
  </w:style>
  <w:style w:type="paragraph" w:styleId="EndnoteText">
    <w:name w:val="endnote text"/>
    <w:basedOn w:val="Normal"/>
    <w:link w:val="EndnoteTextChar"/>
    <w:rsid w:val="00C90268"/>
    <w:rPr>
      <w:sz w:val="20"/>
      <w:szCs w:val="20"/>
    </w:rPr>
  </w:style>
  <w:style w:type="character" w:customStyle="1" w:styleId="EndnoteTextChar">
    <w:name w:val="Endnote Text Char"/>
    <w:link w:val="EndnoteText"/>
    <w:rsid w:val="00C90268"/>
    <w:rPr>
      <w:rFonts w:ascii="Calibri" w:eastAsia="Calibri" w:hAnsi="Calibri" w:cs="Times New Roman"/>
    </w:rPr>
  </w:style>
  <w:style w:type="character" w:styleId="EndnoteReference">
    <w:name w:val="endnote reference"/>
    <w:rsid w:val="00C90268"/>
    <w:rPr>
      <w:vertAlign w:val="superscript"/>
    </w:rPr>
  </w:style>
  <w:style w:type="character" w:customStyle="1" w:styleId="Normal-poolChar">
    <w:name w:val="Normal-pool Char"/>
    <w:link w:val="Normal-pool"/>
    <w:rsid w:val="00574242"/>
    <w:rPr>
      <w:lang w:eastAsia="en-US"/>
    </w:rPr>
  </w:style>
  <w:style w:type="character" w:customStyle="1" w:styleId="FooterChar">
    <w:name w:val="Footer Char"/>
    <w:link w:val="Footer"/>
    <w:uiPriority w:val="99"/>
    <w:rsid w:val="00574242"/>
    <w:rPr>
      <w:sz w:val="18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F867E6"/>
    <w:rPr>
      <w:color w:val="605E5C"/>
      <w:shd w:val="clear" w:color="auto" w:fill="E1DFDD"/>
    </w:rPr>
  </w:style>
  <w:style w:type="table" w:customStyle="1" w:styleId="AATable">
    <w:name w:val="AA_Table"/>
    <w:basedOn w:val="TableNormal"/>
    <w:rsid w:val="00A321B2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beforeLines="0" w:before="120" w:beforeAutospacing="0" w:afterLines="0" w:after="0" w:afterAutospacing="0"/>
        <w:ind w:rightChars="0" w:right="567"/>
        <w:contextualSpacing w:val="0"/>
      </w:pPr>
      <w:rPr>
        <w:rFonts w:ascii="Arial" w:hAnsi="Arial"/>
        <w:b/>
        <w:sz w:val="28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24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A321B2"/>
    <w:pPr>
      <w:keepNext/>
      <w:keepLines/>
      <w:suppressAutoHyphens/>
      <w:ind w:right="3402"/>
    </w:pPr>
    <w:rPr>
      <w:b/>
    </w:rPr>
  </w:style>
  <w:style w:type="paragraph" w:customStyle="1" w:styleId="AATitle2">
    <w:name w:val="AA_Title2"/>
    <w:basedOn w:val="AATitle"/>
    <w:rsid w:val="00A321B2"/>
    <w:pPr>
      <w:spacing w:before="120" w:after="120"/>
      <w:ind w:right="1701"/>
    </w:pPr>
  </w:style>
  <w:style w:type="paragraph" w:customStyle="1" w:styleId="BBTitle">
    <w:name w:val="BB_Title"/>
    <w:basedOn w:val="Normal-pool"/>
    <w:rsid w:val="00A321B2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styleId="Footer">
    <w:name w:val="footer"/>
    <w:basedOn w:val="Normal-pool"/>
    <w:link w:val="FooterChar"/>
    <w:uiPriority w:val="99"/>
    <w:rsid w:val="00A321B2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-pool"/>
    <w:rsid w:val="00A321B2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A321B2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rsid w:val="00A321B2"/>
    <w:pPr>
      <w:numPr>
        <w:numId w:val="6"/>
      </w:numPr>
    </w:pPr>
  </w:style>
  <w:style w:type="paragraph" w:customStyle="1" w:styleId="NormalNonumber">
    <w:name w:val="Normal_No_number"/>
    <w:basedOn w:val="Normal-pool"/>
    <w:rsid w:val="00A321B2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A321B2"/>
    <w:pPr>
      <w:spacing w:after="120"/>
    </w:pPr>
  </w:style>
  <w:style w:type="paragraph" w:customStyle="1" w:styleId="Titletable">
    <w:name w:val="Title_table"/>
    <w:basedOn w:val="Normal-pool"/>
    <w:next w:val="NormalNonumber"/>
    <w:rsid w:val="00A321B2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-pool"/>
    <w:next w:val="Normal-pool"/>
    <w:rsid w:val="00A321B2"/>
    <w:pPr>
      <w:tabs>
        <w:tab w:val="clear" w:pos="2381"/>
        <w:tab w:val="clear" w:pos="2948"/>
        <w:tab w:val="clear" w:pos="3515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-pool"/>
    <w:next w:val="Normal-pool"/>
    <w:rsid w:val="00A321B2"/>
    <w:pPr>
      <w:tabs>
        <w:tab w:val="clear" w:pos="1814"/>
        <w:tab w:val="clear" w:pos="2948"/>
        <w:tab w:val="clear" w:pos="3515"/>
        <w:tab w:val="right" w:leader="dot" w:pos="9486"/>
      </w:tabs>
      <w:ind w:left="2381" w:hanging="567"/>
    </w:pPr>
  </w:style>
  <w:style w:type="paragraph" w:styleId="TOC3">
    <w:name w:val="toc 3"/>
    <w:basedOn w:val="Normal-pool"/>
    <w:next w:val="Normal-pool"/>
    <w:rsid w:val="00A321B2"/>
    <w:pPr>
      <w:tabs>
        <w:tab w:val="clear" w:pos="1814"/>
        <w:tab w:val="clear" w:pos="2381"/>
        <w:tab w:val="clear" w:pos="2948"/>
        <w:tab w:val="clear" w:pos="3515"/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-pool"/>
    <w:next w:val="Normal-pool"/>
    <w:rsid w:val="00A321B2"/>
    <w:pPr>
      <w:tabs>
        <w:tab w:val="clear" w:pos="1814"/>
        <w:tab w:val="clear" w:pos="2381"/>
        <w:tab w:val="clear" w:pos="2948"/>
        <w:tab w:val="clear" w:pos="3515"/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A321B2"/>
    <w:pPr>
      <w:ind w:left="800"/>
    </w:pPr>
    <w:rPr>
      <w:sz w:val="18"/>
      <w:szCs w:val="18"/>
    </w:rPr>
  </w:style>
  <w:style w:type="paragraph" w:customStyle="1" w:styleId="ZZAnxheader">
    <w:name w:val="ZZ_Anx_header"/>
    <w:basedOn w:val="Normal-pool"/>
    <w:rsid w:val="00A321B2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A321B2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ATitle1">
    <w:name w:val="AA_Title1"/>
    <w:basedOn w:val="AATitle"/>
    <w:qFormat/>
    <w:rsid w:val="00126666"/>
    <w:pPr>
      <w:tabs>
        <w:tab w:val="clear" w:pos="1247"/>
        <w:tab w:val="clear" w:pos="1814"/>
        <w:tab w:val="clear" w:pos="2381"/>
        <w:tab w:val="clear" w:pos="2948"/>
        <w:tab w:val="clear" w:pos="3515"/>
        <w:tab w:val="right" w:pos="2920"/>
      </w:tabs>
      <w:ind w:right="0"/>
    </w:pPr>
    <w:rPr>
      <w:b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643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6F36"/>
    <w:rPr>
      <w:rFonts w:asciiTheme="minorHAnsi" w:eastAsiaTheme="minorHAnsi" w:hAnsiTheme="minorHAnsi" w:cstheme="minorBidi"/>
      <w:sz w:val="22"/>
      <w:szCs w:val="22"/>
    </w:rPr>
  </w:style>
  <w:style w:type="paragraph" w:customStyle="1" w:styleId="Footnote-Text">
    <w:name w:val="Footnote-Text"/>
    <w:basedOn w:val="Normal-pool"/>
    <w:rsid w:val="00D01656"/>
    <w:pPr>
      <w:tabs>
        <w:tab w:val="clear" w:pos="1814"/>
        <w:tab w:val="clear" w:pos="2381"/>
        <w:tab w:val="clear" w:pos="2948"/>
        <w:tab w:val="clear" w:pos="3515"/>
        <w:tab w:val="left" w:pos="624"/>
        <w:tab w:val="left" w:pos="1871"/>
        <w:tab w:val="left" w:pos="2495"/>
        <w:tab w:val="left" w:pos="3119"/>
        <w:tab w:val="left" w:pos="3742"/>
        <w:tab w:val="left" w:pos="4366"/>
      </w:tabs>
      <w:spacing w:before="20" w:after="40"/>
      <w:ind w:left="1247"/>
    </w:pPr>
    <w:rPr>
      <w:sz w:val="18"/>
    </w:rPr>
  </w:style>
  <w:style w:type="paragraph" w:styleId="ListBullet">
    <w:name w:val="List Bullet"/>
    <w:basedOn w:val="Normal"/>
    <w:rsid w:val="00D01656"/>
    <w:pPr>
      <w:tabs>
        <w:tab w:val="num" w:pos="360"/>
        <w:tab w:val="left" w:pos="1247"/>
        <w:tab w:val="left" w:pos="1814"/>
        <w:tab w:val="left" w:pos="2381"/>
        <w:tab w:val="left" w:pos="2948"/>
        <w:tab w:val="left" w:pos="3515"/>
      </w:tabs>
      <w:ind w:left="360" w:hanging="36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numberChar">
    <w:name w:val="Normal_number Char"/>
    <w:link w:val="Normalnumber"/>
    <w:locked/>
    <w:rsid w:val="00680998"/>
    <w:rPr>
      <w:lang w:val="en-GB"/>
    </w:rPr>
  </w:style>
  <w:style w:type="paragraph" w:styleId="ListParagraph">
    <w:name w:val="List Paragraph"/>
    <w:basedOn w:val="Normal"/>
    <w:uiPriority w:val="34"/>
    <w:qFormat/>
    <w:rsid w:val="00F9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Girma xmlns="565c72da-b6ec-4d39-b2ef-52e0aae5bb48" xsi:nil="true"/>
    <TaxCatchAll xmlns="c7a92a29-8555-477a-906e-7a9b49e09029" xsi:nil="true"/>
    <lcf76f155ced4ddcb4097134ff3c332f xmlns="565c72da-b6ec-4d39-b2ef-52e0aae5bb48">
      <Terms xmlns="http://schemas.microsoft.com/office/infopath/2007/PartnerControls"/>
    </lcf76f155ced4ddcb4097134ff3c332f>
    <_ip_UnifiedCompliancePolicyProperties xmlns="http://schemas.microsoft.com/sharepoint/v3" xsi:nil="true"/>
    <DocumentDescription xmlns="565c72da-b6ec-4d39-b2ef-52e0aae5bb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CD42369A76C48A296DFA55225E68D" ma:contentTypeVersion="18" ma:contentTypeDescription="Create a new document." ma:contentTypeScope="" ma:versionID="62138ac6ee3d5448794ee823b019913f">
  <xsd:schema xmlns:xsd="http://www.w3.org/2001/XMLSchema" xmlns:xs="http://www.w3.org/2001/XMLSchema" xmlns:p="http://schemas.microsoft.com/office/2006/metadata/properties" xmlns:ns1="http://schemas.microsoft.com/sharepoint/v3" xmlns:ns2="565c72da-b6ec-4d39-b2ef-52e0aae5bb48" xmlns:ns3="c7a92a29-8555-477a-906e-7a9b49e09029" targetNamespace="http://schemas.microsoft.com/office/2006/metadata/properties" ma:root="true" ma:fieldsID="2e24d639e96765b189d06e66f321c52e" ns1:_="" ns2:_="" ns3:_="">
    <xsd:import namespace="http://schemas.microsoft.com/sharepoint/v3"/>
    <xsd:import namespace="565c72da-b6ec-4d39-b2ef-52e0aae5bb48"/>
    <xsd:import namespace="c7a92a29-8555-477a-906e-7a9b49e09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Girma" minOccurs="0"/>
                <xsd:element ref="ns1:_ip_UnifiedCompliancePolicyProperties" minOccurs="0"/>
                <xsd:element ref="ns1:_ip_UnifiedCompliancePolicyUIAction" minOccurs="0"/>
                <xsd:element ref="ns2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c72da-b6ec-4d39-b2ef-52e0aae5b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Girma" ma:index="22" nillable="true" ma:displayName="Girma" ma:description="Remarks" ma:format="Dropdown" ma:internalName="Girma">
      <xsd:simpleType>
        <xsd:restriction base="dms:Text">
          <xsd:maxLength value="255"/>
        </xsd:restriction>
      </xsd:simpleType>
    </xsd:element>
    <xsd:element name="DocumentDescription" ma:index="25" nillable="true" ma:displayName="Document Description " ma:format="Dropdown" ma:internalName="Document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92a29-8555-477a-906e-7a9b49e09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ab668b-32b5-464f-a556-5c8e4d63eba4}" ma:internalName="TaxCatchAll" ma:showField="CatchAllData" ma:web="c7a92a29-8555-477a-906e-7a9b49e09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D6DA1-ADA4-4DD7-8952-54D9A7C5A3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5c72da-b6ec-4d39-b2ef-52e0aae5bb48"/>
    <ds:schemaRef ds:uri="c7a92a29-8555-477a-906e-7a9b49e09029"/>
  </ds:schemaRefs>
</ds:datastoreItem>
</file>

<file path=customXml/itemProps2.xml><?xml version="1.0" encoding="utf-8"?>
<ds:datastoreItem xmlns:ds="http://schemas.openxmlformats.org/officeDocument/2006/customXml" ds:itemID="{CF290A74-9A78-4847-A360-EE68479B2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5c72da-b6ec-4d39-b2ef-52e0aae5bb48"/>
    <ds:schemaRef ds:uri="c7a92a29-8555-477a-906e-7a9b49e09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7705A-8981-490B-B285-BA8DF82D00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45299-831A-4AEA-9457-F8ADF4F27B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B04CDA6-D2ED-49AB-93C9-7B0971B518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Scale of assessments and rates of exchange for contributions by parties to the 2015˗2017 replenishment of the Multilateral Fund for the Implementation of the Montreal Protocol</vt:lpstr>
    </vt:vector>
  </TitlesOfParts>
  <Company>HP</Company>
  <LinksUpToDate>false</LinksUpToDate>
  <CharactersWithSpaces>5910</CharactersWithSpaces>
  <SharedDoc>false</SharedDoc>
  <HLinks>
    <vt:vector size="6" baseType="variant">
      <vt:variant>
        <vt:i4>7602272</vt:i4>
      </vt:variant>
      <vt:variant>
        <vt:i4>6</vt:i4>
      </vt:variant>
      <vt:variant>
        <vt:i4>0</vt:i4>
      </vt:variant>
      <vt:variant>
        <vt:i4>5</vt:i4>
      </vt:variant>
      <vt:variant>
        <vt:lpwstr>https://undocs.org/en/A/RES/73/271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of assessments and rates of exchange for contributions by parties to the 2015˗2017 replenishment of the Multilateral Fund for the Implementation of the Montreal Protocol</dc:title>
  <dc:subject/>
  <dc:creator>Marco Gonzalez</dc:creator>
  <cp:keywords/>
  <cp:lastModifiedBy>Julius Njenga</cp:lastModifiedBy>
  <cp:revision>26</cp:revision>
  <cp:lastPrinted>2026-06-19T12:50:00Z</cp:lastPrinted>
  <dcterms:created xsi:type="dcterms:W3CDTF">2026-06-19T12:53:00Z</dcterms:created>
  <dcterms:modified xsi:type="dcterms:W3CDTF">2026-06-23T11:53:00Z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lte">
    <vt:lpwstr/>
  </property>
  <property fmtid="{D5CDD505-2E9C-101B-9397-08002B2CF9AE}" pid="3" name="ContentType">
    <vt:lpwstr>Document</vt:lpwstr>
  </property>
  <property fmtid="{D5CDD505-2E9C-101B-9397-08002B2CF9AE}" pid="4" name="Document Symbol">
    <vt:lpwstr>UNEP/OzL.Pro.WG.1/34/INF/1/Rev.1</vt:lpwstr>
  </property>
  <property fmtid="{D5CDD505-2E9C-101B-9397-08002B2CF9AE}" pid="5" name="Order Number">
    <vt:lpwstr>11.0000000000000</vt:lpwstr>
  </property>
  <property fmtid="{D5CDD505-2E9C-101B-9397-08002B2CF9AE}" pid="6" name="Order0">
    <vt:lpwstr>41</vt:lpwstr>
  </property>
  <property fmtid="{D5CDD505-2E9C-101B-9397-08002B2CF9AE}" pid="7" name="Document Title">
    <vt:lpwstr>Scale of assessments and rates of exchange for contributions by parties to the 2015˗2017 replenishment of the Multilateral Fund for the Implementation of the Montreal Protocol</vt:lpwstr>
  </property>
  <property fmtid="{D5CDD505-2E9C-101B-9397-08002B2CF9AE}" pid="8" name="Document Number">
    <vt:lpwstr>UNEP/OzL.Pro.WG.1/34/INF/1/Rev.1</vt:lpwstr>
  </property>
  <property fmtid="{D5CDD505-2E9C-101B-9397-08002B2CF9AE}" pid="9" name="display_urn:schemas-microsoft-com:office:office#Editor">
    <vt:lpwstr>System Account</vt:lpwstr>
  </property>
  <property fmtid="{D5CDD505-2E9C-101B-9397-08002B2CF9AE}" pid="10" name="display_urn:schemas-microsoft-com:office:office#Author">
    <vt:lpwstr>System Account</vt:lpwstr>
  </property>
  <property fmtid="{D5CDD505-2E9C-101B-9397-08002B2CF9AE}" pid="11" name="ContentTypeId">
    <vt:lpwstr>0x010100155CD42369A76C48A296DFA55225E68D</vt:lpwstr>
  </property>
</Properties>
</file>