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6C65C8" w:rsidRPr="006C65C8" w14:paraId="633128BE" w14:textId="77777777" w:rsidTr="00F25EDF">
        <w:trPr>
          <w:trHeight w:val="850"/>
        </w:trPr>
        <w:tc>
          <w:tcPr>
            <w:tcW w:w="1559" w:type="dxa"/>
          </w:tcPr>
          <w:p w14:paraId="360C2B4A" w14:textId="77777777" w:rsidR="006C65C8" w:rsidRPr="006C65C8" w:rsidRDefault="006C65C8" w:rsidP="006C65C8">
            <w:pPr>
              <w:spacing w:before="20" w:after="20" w:line="240" w:lineRule="auto"/>
              <w:rPr>
                <w:rFonts w:ascii="Arial" w:eastAsia="Times New Roman" w:hAnsi="Arial" w:cs="Times New Roman Bold"/>
                <w:b/>
                <w:caps/>
                <w:color w:val="000000"/>
                <w:kern w:val="0"/>
                <w:sz w:val="27"/>
                <w:szCs w:val="20"/>
                <w14:ligatures w14:val="none"/>
              </w:rPr>
            </w:pPr>
            <w:r w:rsidRPr="006C65C8">
              <w:rPr>
                <w:rFonts w:ascii="Arial" w:eastAsia="Times New Roman" w:hAnsi="Arial" w:cs="Times New Roman Bold"/>
                <w:b/>
                <w:caps/>
                <w:color w:val="000000"/>
                <w:kern w:val="0"/>
                <w:sz w:val="27"/>
                <w:szCs w:val="20"/>
                <w14:ligatures w14:val="none"/>
              </w:rPr>
              <w:t xml:space="preserve">United </w:t>
            </w:r>
            <w:r w:rsidRPr="006C65C8">
              <w:rPr>
                <w:rFonts w:ascii="Arial" w:eastAsia="Times New Roman" w:hAnsi="Arial" w:cs="Times New Roman Bold"/>
                <w:b/>
                <w:caps/>
                <w:color w:val="000000"/>
                <w:kern w:val="0"/>
                <w:sz w:val="27"/>
                <w:szCs w:val="20"/>
                <w14:ligatures w14:val="none"/>
              </w:rPr>
              <w:br/>
              <w:t>Nations</w:t>
            </w:r>
          </w:p>
        </w:tc>
        <w:tc>
          <w:tcPr>
            <w:tcW w:w="4819" w:type="dxa"/>
          </w:tcPr>
          <w:p w14:paraId="0BE57ABF" w14:textId="77777777" w:rsidR="006C65C8" w:rsidRPr="006C65C8" w:rsidRDefault="006C65C8" w:rsidP="006C65C8">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kern w:val="0"/>
                <w:sz w:val="20"/>
                <w:szCs w:val="20"/>
                <w14:ligatures w14:val="none"/>
              </w:rPr>
            </w:pPr>
            <w:r w:rsidRPr="006C65C8">
              <w:rPr>
                <w:rFonts w:ascii="Times New Roman" w:eastAsia="Times New Roman" w:hAnsi="Times New Roman" w:cs="Times New Roman"/>
                <w:noProof/>
                <w:kern w:val="0"/>
                <w:sz w:val="20"/>
                <w:szCs w:val="20"/>
                <w14:ligatures w14:val="none"/>
              </w:rPr>
              <w:drawing>
                <wp:anchor distT="0" distB="0" distL="114300" distR="114300" simplePos="0" relativeHeight="251658240" behindDoc="0" locked="0" layoutInCell="1" allowOverlap="0" wp14:anchorId="606C945E" wp14:editId="4084D4A8">
                  <wp:simplePos x="0" y="0"/>
                  <wp:positionH relativeFrom="column">
                    <wp:posOffset>0</wp:posOffset>
                  </wp:positionH>
                  <wp:positionV relativeFrom="paragraph">
                    <wp:posOffset>3810</wp:posOffset>
                  </wp:positionV>
                  <wp:extent cx="1267200" cy="572400"/>
                  <wp:effectExtent l="0" t="0" r="0" b="0"/>
                  <wp:wrapNone/>
                  <wp:docPr id="1" name="Picture 1" descr="A picture containing sketch, f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ketch, fan&#10;&#10;Description automatically generated"/>
                          <pic:cNvPicPr/>
                        </pic:nvPicPr>
                        <pic:blipFill>
                          <a:blip r:embed="rId12"/>
                          <a:stretch>
                            <a:fillRect/>
                          </a:stretch>
                        </pic:blipFill>
                        <pic:spPr>
                          <a:xfrm>
                            <a:off x="0" y="0"/>
                            <a:ext cx="12672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7DA2A216" w14:textId="77777777" w:rsidR="006C65C8" w:rsidRPr="006C65C8" w:rsidRDefault="006C65C8" w:rsidP="006C65C8">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kern w:val="0"/>
                <w:sz w:val="20"/>
                <w:szCs w:val="20"/>
                <w14:ligatures w14:val="none"/>
              </w:rPr>
            </w:pPr>
          </w:p>
        </w:tc>
      </w:tr>
    </w:tbl>
    <w:p w14:paraId="6FF4D983" w14:textId="77777777" w:rsidR="006C65C8" w:rsidRPr="006C65C8" w:rsidRDefault="006C65C8" w:rsidP="006C65C8">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kern w:val="0"/>
          <w:sz w:val="2"/>
          <w:szCs w:val="20"/>
          <w14:ligatures w14:val="none"/>
        </w:rPr>
      </w:pPr>
    </w:p>
    <w:tbl>
      <w:tblPr>
        <w:tblW w:w="9497" w:type="dxa"/>
        <w:tblLook w:val="0000" w:firstRow="0" w:lastRow="0" w:firstColumn="0" w:lastColumn="0" w:noHBand="0" w:noVBand="0"/>
      </w:tblPr>
      <w:tblGrid>
        <w:gridCol w:w="6378"/>
        <w:gridCol w:w="3119"/>
      </w:tblGrid>
      <w:tr w:rsidR="006C65C8" w:rsidRPr="006C65C8" w14:paraId="55BB8644" w14:textId="77777777" w:rsidTr="00F25EDF">
        <w:trPr>
          <w:trHeight w:val="340"/>
        </w:trPr>
        <w:tc>
          <w:tcPr>
            <w:tcW w:w="6378" w:type="dxa"/>
            <w:vAlign w:val="bottom"/>
          </w:tcPr>
          <w:p w14:paraId="1F49644A" w14:textId="77777777" w:rsidR="006C65C8" w:rsidRPr="006C65C8" w:rsidRDefault="006C65C8" w:rsidP="006C65C8">
            <w:pPr>
              <w:tabs>
                <w:tab w:val="left" w:pos="1247"/>
                <w:tab w:val="left" w:pos="1814"/>
                <w:tab w:val="left" w:pos="2381"/>
                <w:tab w:val="left" w:pos="2948"/>
                <w:tab w:val="left" w:pos="3515"/>
              </w:tabs>
              <w:spacing w:after="0" w:line="240" w:lineRule="auto"/>
              <w:rPr>
                <w:rFonts w:ascii="Times New Roman" w:eastAsia="Times New Roman" w:hAnsi="Times New Roman" w:cs="Times New Roman"/>
                <w:kern w:val="0"/>
                <w:sz w:val="20"/>
                <w:szCs w:val="20"/>
                <w14:ligatures w14:val="none"/>
              </w:rPr>
            </w:pPr>
          </w:p>
        </w:tc>
        <w:tc>
          <w:tcPr>
            <w:tcW w:w="3119" w:type="dxa"/>
            <w:noWrap/>
            <w:vAlign w:val="bottom"/>
          </w:tcPr>
          <w:p w14:paraId="5D991B5C" w14:textId="604D7E94" w:rsidR="006C65C8" w:rsidRPr="006C65C8" w:rsidRDefault="006C65C8" w:rsidP="006C65C8">
            <w:pPr>
              <w:tabs>
                <w:tab w:val="right" w:pos="2920"/>
              </w:tabs>
              <w:spacing w:after="0" w:line="240" w:lineRule="auto"/>
              <w:rPr>
                <w:rFonts w:ascii="Times New Roman" w:eastAsia="SimSun" w:hAnsi="Times New Roman" w:cs="Times New Roman"/>
                <w:kern w:val="0"/>
                <w:sz w:val="20"/>
                <w:szCs w:val="20"/>
                <w14:ligatures w14:val="none"/>
              </w:rPr>
            </w:pPr>
            <w:r w:rsidRPr="006C65C8">
              <w:rPr>
                <w:rFonts w:ascii="Times New Roman" w:eastAsia="SimSun" w:hAnsi="Times New Roman" w:cs="Times New Roman"/>
                <w:b/>
                <w:bCs/>
                <w:kern w:val="0"/>
                <w:sz w:val="28"/>
                <w:szCs w:val="28"/>
                <w14:ligatures w14:val="none"/>
              </w:rPr>
              <w:t>UNEP</w:t>
            </w:r>
            <w:r w:rsidRPr="006C65C8">
              <w:rPr>
                <w:rFonts w:ascii="Times New Roman" w:eastAsia="SimSun" w:hAnsi="Times New Roman" w:cs="Times New Roman"/>
                <w:kern w:val="0"/>
                <w:sz w:val="20"/>
                <w:szCs w:val="20"/>
                <w14:ligatures w14:val="none"/>
              </w:rPr>
              <w:t>/OzL.Pro.WG.</w:t>
            </w:r>
            <w:bookmarkStart w:id="0" w:name="Symbol1A"/>
            <w:r w:rsidRPr="006C65C8">
              <w:rPr>
                <w:rFonts w:ascii="Times New Roman" w:eastAsia="SimSun" w:hAnsi="Times New Roman" w:cs="Times New Roman"/>
                <w:kern w:val="0"/>
                <w:sz w:val="20"/>
                <w:szCs w:val="20"/>
                <w14:ligatures w14:val="none"/>
              </w:rPr>
              <w:t>1</w:t>
            </w:r>
            <w:bookmarkStart w:id="1" w:name="Symbol1B"/>
            <w:bookmarkEnd w:id="0"/>
            <w:r w:rsidRPr="006C65C8">
              <w:rPr>
                <w:rFonts w:ascii="Times New Roman" w:eastAsia="SimSun" w:hAnsi="Times New Roman" w:cs="Times New Roman"/>
                <w:kern w:val="0"/>
                <w:sz w:val="20"/>
                <w:szCs w:val="20"/>
                <w14:ligatures w14:val="none"/>
              </w:rPr>
              <w:t>/4</w:t>
            </w:r>
            <w:bookmarkStart w:id="2" w:name="Symbol1C"/>
            <w:bookmarkEnd w:id="1"/>
            <w:r w:rsidR="00F3555D">
              <w:rPr>
                <w:rFonts w:ascii="Times New Roman" w:eastAsia="SimSun" w:hAnsi="Times New Roman" w:cs="Times New Roman"/>
                <w:kern w:val="0"/>
                <w:sz w:val="20"/>
                <w:szCs w:val="20"/>
                <w14:ligatures w14:val="none"/>
              </w:rPr>
              <w:t>8</w:t>
            </w:r>
            <w:r w:rsidRPr="006C65C8">
              <w:rPr>
                <w:rFonts w:ascii="Times New Roman" w:eastAsia="SimSun" w:hAnsi="Times New Roman" w:cs="Times New Roman"/>
                <w:kern w:val="0"/>
                <w:sz w:val="20"/>
                <w:szCs w:val="20"/>
                <w14:ligatures w14:val="none"/>
              </w:rPr>
              <w:t>/</w:t>
            </w:r>
            <w:bookmarkEnd w:id="2"/>
            <w:r w:rsidRPr="006C65C8">
              <w:rPr>
                <w:rFonts w:ascii="Times New Roman" w:eastAsia="SimSun" w:hAnsi="Times New Roman" w:cs="Times New Roman"/>
                <w:kern w:val="0"/>
                <w:sz w:val="20"/>
                <w:szCs w:val="20"/>
                <w14:ligatures w14:val="none"/>
              </w:rPr>
              <w:t>INF/</w:t>
            </w:r>
            <w:r w:rsidR="00E64C95">
              <w:rPr>
                <w:rFonts w:ascii="Times New Roman" w:eastAsia="SimSun" w:hAnsi="Times New Roman" w:cs="Times New Roman"/>
                <w:kern w:val="0"/>
                <w:sz w:val="20"/>
                <w:szCs w:val="20"/>
                <w14:ligatures w14:val="none"/>
              </w:rPr>
              <w:t>5</w:t>
            </w:r>
          </w:p>
        </w:tc>
      </w:tr>
    </w:tbl>
    <w:p w14:paraId="161AC37C" w14:textId="77777777" w:rsidR="006C65C8" w:rsidRPr="006C65C8" w:rsidRDefault="006C65C8" w:rsidP="006C65C8">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kern w:val="0"/>
          <w:sz w:val="2"/>
          <w:szCs w:val="20"/>
          <w14:ligatures w14:val="none"/>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4536"/>
        <w:gridCol w:w="1842"/>
        <w:gridCol w:w="3118"/>
      </w:tblGrid>
      <w:tr w:rsidR="006C65C8" w:rsidRPr="006C65C8" w14:paraId="776B0A07" w14:textId="77777777" w:rsidTr="00F25EDF">
        <w:trPr>
          <w:trHeight w:val="2098"/>
        </w:trPr>
        <w:tc>
          <w:tcPr>
            <w:tcW w:w="4536" w:type="dxa"/>
          </w:tcPr>
          <w:p w14:paraId="1BCA2B4A" w14:textId="77777777" w:rsidR="006C65C8" w:rsidRPr="006C65C8" w:rsidRDefault="006C65C8" w:rsidP="006C65C8">
            <w:pPr>
              <w:spacing w:before="120" w:after="240" w:line="240" w:lineRule="auto"/>
              <w:rPr>
                <w:rFonts w:ascii="Arial" w:eastAsia="Times New Roman" w:hAnsi="Arial" w:cs="Times New Roman"/>
                <w:b/>
                <w:kern w:val="0"/>
                <w:sz w:val="28"/>
                <w:szCs w:val="20"/>
                <w14:ligatures w14:val="none"/>
              </w:rPr>
            </w:pPr>
            <w:r w:rsidRPr="006C65C8">
              <w:rPr>
                <w:rFonts w:ascii="Arial" w:eastAsia="Calibri" w:hAnsi="Arial" w:cs="Times New Roman"/>
                <w:b/>
                <w:kern w:val="0"/>
                <w:sz w:val="28"/>
                <w:szCs w:val="20"/>
                <w14:ligatures w14:val="none"/>
              </w:rPr>
              <w:t xml:space="preserve">Montreal Protocol </w:t>
            </w:r>
            <w:r w:rsidRPr="006C65C8">
              <w:rPr>
                <w:rFonts w:ascii="Arial" w:eastAsia="Calibri" w:hAnsi="Arial" w:cs="Times New Roman"/>
                <w:b/>
                <w:kern w:val="0"/>
                <w:sz w:val="28"/>
                <w:szCs w:val="20"/>
                <w14:ligatures w14:val="none"/>
              </w:rPr>
              <w:br/>
              <w:t xml:space="preserve">on Substances that </w:t>
            </w:r>
            <w:r w:rsidRPr="006C65C8">
              <w:rPr>
                <w:rFonts w:ascii="Arial" w:eastAsia="Calibri" w:hAnsi="Arial" w:cs="Times New Roman"/>
                <w:b/>
                <w:kern w:val="0"/>
                <w:sz w:val="28"/>
                <w:szCs w:val="20"/>
                <w14:ligatures w14:val="none"/>
              </w:rPr>
              <w:br/>
              <w:t>Deplete the Ozone Layer</w:t>
            </w:r>
          </w:p>
        </w:tc>
        <w:tc>
          <w:tcPr>
            <w:tcW w:w="1842" w:type="dxa"/>
          </w:tcPr>
          <w:p w14:paraId="35EB750C" w14:textId="77777777" w:rsidR="006C65C8" w:rsidRPr="006C65C8" w:rsidRDefault="006C65C8" w:rsidP="006C65C8">
            <w:pPr>
              <w:tabs>
                <w:tab w:val="left" w:pos="1247"/>
                <w:tab w:val="left" w:pos="1814"/>
                <w:tab w:val="left" w:pos="2381"/>
                <w:tab w:val="left" w:pos="2948"/>
                <w:tab w:val="left" w:pos="3515"/>
                <w:tab w:val="left" w:pos="4082"/>
              </w:tabs>
              <w:spacing w:after="0" w:line="240" w:lineRule="auto"/>
              <w:rPr>
                <w:rFonts w:ascii="Times New Roman" w:eastAsia="Times New Roman" w:hAnsi="Times New Roman" w:cs="Times New Roman"/>
                <w:kern w:val="0"/>
                <w:sz w:val="20"/>
                <w:szCs w:val="20"/>
                <w14:ligatures w14:val="none"/>
              </w:rPr>
            </w:pPr>
          </w:p>
        </w:tc>
        <w:tc>
          <w:tcPr>
            <w:tcW w:w="3118" w:type="dxa"/>
          </w:tcPr>
          <w:p w14:paraId="24F62BEC" w14:textId="2AC1045A" w:rsidR="006C65C8" w:rsidRPr="006C65C8" w:rsidRDefault="006C65C8" w:rsidP="006C65C8">
            <w:pPr>
              <w:tabs>
                <w:tab w:val="left" w:pos="1247"/>
                <w:tab w:val="left" w:pos="1814"/>
                <w:tab w:val="left" w:pos="2381"/>
                <w:tab w:val="left" w:pos="2948"/>
                <w:tab w:val="left" w:pos="3515"/>
                <w:tab w:val="left" w:pos="4082"/>
              </w:tabs>
              <w:spacing w:before="120" w:after="120" w:line="240" w:lineRule="auto"/>
              <w:rPr>
                <w:rFonts w:ascii="Times New Roman" w:eastAsia="Times New Roman" w:hAnsi="Times New Roman" w:cs="Times New Roman"/>
                <w:kern w:val="0"/>
                <w:sz w:val="20"/>
                <w:szCs w:val="20"/>
                <w14:ligatures w14:val="none"/>
              </w:rPr>
            </w:pPr>
            <w:r w:rsidRPr="006C65C8">
              <w:rPr>
                <w:rFonts w:ascii="Times New Roman" w:eastAsia="Times New Roman" w:hAnsi="Times New Roman" w:cs="Times New Roman"/>
                <w:kern w:val="0"/>
                <w:sz w:val="20"/>
                <w:szCs w:val="20"/>
                <w14:ligatures w14:val="none"/>
              </w:rPr>
              <w:t xml:space="preserve">Distr.: General </w:t>
            </w:r>
            <w:r w:rsidRPr="006C65C8">
              <w:rPr>
                <w:rFonts w:ascii="Times New Roman" w:eastAsia="Times New Roman" w:hAnsi="Times New Roman" w:cs="Times New Roman"/>
                <w:kern w:val="0"/>
                <w:sz w:val="20"/>
                <w:szCs w:val="20"/>
                <w14:ligatures w14:val="none"/>
              </w:rPr>
              <w:br/>
            </w:r>
            <w:bookmarkStart w:id="3" w:name="DistributionDate"/>
            <w:r w:rsidR="00E64C95">
              <w:rPr>
                <w:rFonts w:ascii="Times New Roman" w:eastAsia="Times New Roman" w:hAnsi="Times New Roman" w:cs="Times New Roman"/>
                <w:kern w:val="0"/>
                <w:sz w:val="20"/>
                <w:szCs w:val="20"/>
                <w:shd w:val="clear" w:color="auto" w:fill="FFFFFF" w:themeFill="background1"/>
                <w14:ligatures w14:val="none"/>
              </w:rPr>
              <w:t xml:space="preserve">11 July </w:t>
            </w:r>
            <w:r w:rsidRPr="00F06790">
              <w:rPr>
                <w:rFonts w:ascii="Times New Roman" w:eastAsia="Times New Roman" w:hAnsi="Times New Roman" w:cs="Times New Roman"/>
                <w:kern w:val="0"/>
                <w:sz w:val="20"/>
                <w:szCs w:val="20"/>
                <w14:ligatures w14:val="none"/>
              </w:rPr>
              <w:t>202</w:t>
            </w:r>
            <w:r w:rsidR="00AA6F61" w:rsidRPr="00F06790">
              <w:rPr>
                <w:rFonts w:ascii="Times New Roman" w:eastAsia="Times New Roman" w:hAnsi="Times New Roman" w:cs="Times New Roman"/>
                <w:kern w:val="0"/>
                <w:sz w:val="20"/>
                <w:szCs w:val="20"/>
                <w14:ligatures w14:val="none"/>
              </w:rPr>
              <w:t>6</w:t>
            </w:r>
            <w:bookmarkEnd w:id="3"/>
            <w:r w:rsidRPr="006C65C8">
              <w:rPr>
                <w:rFonts w:ascii="Times New Roman" w:eastAsia="Times New Roman" w:hAnsi="Times New Roman" w:cs="Times New Roman"/>
                <w:kern w:val="0"/>
                <w:sz w:val="20"/>
                <w:szCs w:val="20"/>
                <w14:ligatures w14:val="none"/>
              </w:rPr>
              <w:t xml:space="preserve"> </w:t>
            </w:r>
          </w:p>
          <w:p w14:paraId="12FFB90E" w14:textId="77777777" w:rsidR="006C65C8" w:rsidRPr="006C65C8" w:rsidRDefault="006C65C8" w:rsidP="006C65C8">
            <w:pPr>
              <w:tabs>
                <w:tab w:val="left" w:pos="1247"/>
                <w:tab w:val="left" w:pos="1814"/>
                <w:tab w:val="left" w:pos="2381"/>
                <w:tab w:val="left" w:pos="2948"/>
                <w:tab w:val="left" w:pos="3515"/>
                <w:tab w:val="left" w:pos="4082"/>
              </w:tabs>
              <w:spacing w:before="120" w:after="120" w:line="240" w:lineRule="auto"/>
              <w:rPr>
                <w:rFonts w:ascii="Times New Roman" w:eastAsia="Times New Roman" w:hAnsi="Times New Roman" w:cs="Times New Roman"/>
                <w:kern w:val="0"/>
                <w:sz w:val="20"/>
                <w:szCs w:val="20"/>
                <w14:ligatures w14:val="none"/>
              </w:rPr>
            </w:pPr>
            <w:bookmarkStart w:id="4" w:name="DistributionLang"/>
            <w:r w:rsidRPr="006C65C8">
              <w:rPr>
                <w:rFonts w:ascii="Times New Roman" w:eastAsia="Times New Roman" w:hAnsi="Times New Roman" w:cs="Times New Roman"/>
                <w:kern w:val="0"/>
                <w:sz w:val="20"/>
                <w:szCs w:val="20"/>
                <w14:ligatures w14:val="none"/>
              </w:rPr>
              <w:t>English</w:t>
            </w:r>
            <w:bookmarkEnd w:id="4"/>
            <w:r w:rsidRPr="006C65C8">
              <w:rPr>
                <w:rFonts w:ascii="Times New Roman" w:eastAsia="Times New Roman" w:hAnsi="Times New Roman" w:cs="Times New Roman"/>
                <w:kern w:val="0"/>
                <w:sz w:val="20"/>
                <w:szCs w:val="20"/>
                <w14:ligatures w14:val="none"/>
              </w:rPr>
              <w:t xml:space="preserve"> only</w:t>
            </w:r>
          </w:p>
        </w:tc>
      </w:tr>
    </w:tbl>
    <w:p w14:paraId="3A80F229" w14:textId="0AC2C5DC" w:rsidR="00126666" w:rsidRDefault="00126666" w:rsidP="00126666">
      <w:pPr>
        <w:pStyle w:val="AATitle"/>
      </w:pPr>
      <w:bookmarkStart w:id="5" w:name="CorNot1Text"/>
      <w:r>
        <w:t xml:space="preserve">Open-ended Working Group of the Parties </w:t>
      </w:r>
      <w:r>
        <w:br/>
        <w:t xml:space="preserve">to the Montreal Protocol on Substances </w:t>
      </w:r>
      <w:r>
        <w:br/>
        <w:t>that Deplete the Ozone Layer</w:t>
      </w:r>
    </w:p>
    <w:p w14:paraId="7FD6F4DF" w14:textId="6F583A54" w:rsidR="00126666" w:rsidRDefault="00126666" w:rsidP="00126666">
      <w:pPr>
        <w:pStyle w:val="AATitle"/>
      </w:pPr>
      <w:r>
        <w:t>Forty-</w:t>
      </w:r>
      <w:r w:rsidR="00F3555D">
        <w:t>eigh</w:t>
      </w:r>
      <w:r>
        <w:t>th meeting</w:t>
      </w:r>
      <w:bookmarkEnd w:id="5"/>
      <w:r>
        <w:t xml:space="preserve"> </w:t>
      </w:r>
    </w:p>
    <w:p w14:paraId="747D0805" w14:textId="35804D6E" w:rsidR="00126666" w:rsidRDefault="00126666" w:rsidP="00126666">
      <w:pPr>
        <w:pStyle w:val="AATitle1"/>
      </w:pPr>
      <w:r w:rsidRPr="0064495A">
        <w:rPr>
          <w:bCs/>
          <w:lang w:val="en-GB"/>
        </w:rPr>
        <w:t xml:space="preserve">Bangkok, </w:t>
      </w:r>
      <w:r w:rsidR="000E47FE">
        <w:rPr>
          <w:bCs/>
          <w:lang w:val="en-GB"/>
        </w:rPr>
        <w:t>1</w:t>
      </w:r>
      <w:r w:rsidR="00D01656">
        <w:rPr>
          <w:bCs/>
          <w:lang w:val="en-GB"/>
        </w:rPr>
        <w:t>3</w:t>
      </w:r>
      <w:r w:rsidRPr="0064495A">
        <w:rPr>
          <w:bCs/>
          <w:lang w:val="en-GB"/>
        </w:rPr>
        <w:t>–</w:t>
      </w:r>
      <w:r w:rsidR="005C0AE5">
        <w:rPr>
          <w:bCs/>
          <w:lang w:val="en-GB"/>
        </w:rPr>
        <w:t>1</w:t>
      </w:r>
      <w:r w:rsidR="00D01656">
        <w:rPr>
          <w:bCs/>
          <w:lang w:val="en-GB"/>
        </w:rPr>
        <w:t>7</w:t>
      </w:r>
      <w:r w:rsidRPr="0064495A">
        <w:rPr>
          <w:bCs/>
          <w:lang w:val="en-GB"/>
        </w:rPr>
        <w:t xml:space="preserve"> July 202</w:t>
      </w:r>
      <w:r w:rsidR="000E47FE">
        <w:rPr>
          <w:bCs/>
          <w:lang w:val="en-GB"/>
        </w:rPr>
        <w:t>6</w:t>
      </w:r>
      <w:r>
        <w:t xml:space="preserve"> </w:t>
      </w:r>
    </w:p>
    <w:p w14:paraId="075D365F" w14:textId="416C9ACE" w:rsidR="00080B42" w:rsidRPr="007734AD" w:rsidRDefault="00080B42" w:rsidP="00080B42">
      <w:pPr>
        <w:pStyle w:val="BBTitle"/>
        <w:ind w:left="1253" w:right="562"/>
      </w:pPr>
      <w:r w:rsidRPr="00961952">
        <w:t>Decision taken by the Executive Committee of the Multilateral Fund for the Implementation of the Montreal Protocol at its ninety-eighth meeting on matters relating to pilot projects to enhance regional atmospheric monitoring of controlled substances</w:t>
      </w:r>
    </w:p>
    <w:p w14:paraId="1DFB84D9" w14:textId="77777777" w:rsidR="00080B42" w:rsidRPr="007734AD" w:rsidRDefault="00080B42" w:rsidP="00080B42">
      <w:pPr>
        <w:pStyle w:val="CH2"/>
      </w:pPr>
      <w:r w:rsidRPr="007734AD">
        <w:tab/>
      </w:r>
      <w:r w:rsidRPr="007734AD">
        <w:tab/>
        <w:t>Note by the Secretariat</w:t>
      </w:r>
    </w:p>
    <w:p w14:paraId="5524445C" w14:textId="6FEF0C9E" w:rsidR="00080B42" w:rsidRPr="008A1088" w:rsidRDefault="00080B42" w:rsidP="00080B42">
      <w:pPr>
        <w:pStyle w:val="Normalnumber"/>
        <w:tabs>
          <w:tab w:val="clear" w:pos="1247"/>
          <w:tab w:val="clear" w:pos="1814"/>
          <w:tab w:val="clear" w:pos="2381"/>
          <w:tab w:val="clear" w:pos="2948"/>
          <w:tab w:val="clear" w:pos="3515"/>
        </w:tabs>
        <w:ind w:left="1248"/>
      </w:pPr>
      <w:r>
        <w:t>1.</w:t>
      </w:r>
      <w:r>
        <w:tab/>
      </w:r>
      <w:r w:rsidRPr="008A1088">
        <w:t>At the ninety-sixth meeting of the Executive Committee of the Multilateral Fund, held in May 2025, the Executive Committee adopted decision 96/56 on matters relating to pilot projects to enhance regional atmospheric monitoring of substances controlled by the Montreal Protocol. In that decision, the secretariat of the Multilateral Fund was requested to prepare a document to support the Executive Committee’s consideration of establishing a funding window for three pilot projects to enhance regional atmospheric monitoring of substances controlled by the Montreal Protocol.</w:t>
      </w:r>
    </w:p>
    <w:p w14:paraId="6B5F5ADB" w14:textId="77777777" w:rsidR="00080B42" w:rsidRPr="008A1088" w:rsidRDefault="00080B42" w:rsidP="00080B42">
      <w:pPr>
        <w:pStyle w:val="Normalnumber"/>
        <w:tabs>
          <w:tab w:val="clear" w:pos="1247"/>
          <w:tab w:val="clear" w:pos="1814"/>
          <w:tab w:val="clear" w:pos="2381"/>
          <w:tab w:val="clear" w:pos="2948"/>
          <w:tab w:val="clear" w:pos="3515"/>
        </w:tabs>
        <w:ind w:left="1248"/>
      </w:pPr>
      <w:r>
        <w:t>2.</w:t>
      </w:r>
      <w:r>
        <w:tab/>
      </w:r>
      <w:r w:rsidRPr="008A1088">
        <w:t xml:space="preserve">In November 2025, the Thirty-Seventh Meeting of the Parties to the Montreal Protocol on Substances that Deplete the Ozone Layer adopted decision XXXVII/1, on enhancing regional atmospheric monitoring of controlled substances. In paragraph 5 of that decision, the Executive Committee of the Multilateral Fund was requested to take into consideration the information provided by the Ozone Secretariat and the Advisory Committee of the General Trust Fund for Financing Activities on Research and Systematic Observations Relevant to the Vienna Convention for the Protection of the Ozone Layer, including on the phased approach and the estimated costs, related to establishing and operating atmospheric monitoring stations as outlined in document UNEP/OzL.Pro.37/2/Add.1, which cross-references document UNEP/OzL.Pro.37/INF/6, when developing guidelines and considering a funding window to support pilot projects, and to provide an update to the parties on the progress made ahead of the Thirty-Eighth Meeting of the Parties. </w:t>
      </w:r>
    </w:p>
    <w:p w14:paraId="6FF8F078" w14:textId="295BCA4C" w:rsidR="00F867E6" w:rsidRPr="0039759B" w:rsidRDefault="00080B42" w:rsidP="0039759B">
      <w:pPr>
        <w:tabs>
          <w:tab w:val="num" w:pos="624"/>
        </w:tabs>
        <w:spacing w:after="120"/>
        <w:ind w:left="1248"/>
        <w:rPr>
          <w:rFonts w:ascii="Times New Roman" w:eastAsia="Times New Roman" w:hAnsi="Times New Roman" w:cs="Times New Roman"/>
          <w:kern w:val="0"/>
          <w:sz w:val="20"/>
          <w:szCs w:val="20"/>
          <w:lang w:val="en-GB"/>
          <w14:ligatures w14:val="none"/>
        </w:rPr>
      </w:pPr>
      <w:r w:rsidRPr="00080B42">
        <w:rPr>
          <w:rFonts w:ascii="Times New Roman" w:eastAsia="Times New Roman" w:hAnsi="Times New Roman" w:cs="Times New Roman"/>
          <w:kern w:val="0"/>
          <w:sz w:val="20"/>
          <w:szCs w:val="20"/>
          <w:lang w:val="en-GB"/>
          <w14:ligatures w14:val="none"/>
        </w:rPr>
        <w:t>3.</w:t>
      </w:r>
      <w:r w:rsidRPr="00080B42">
        <w:rPr>
          <w:rFonts w:ascii="Times New Roman" w:eastAsia="Times New Roman" w:hAnsi="Times New Roman" w:cs="Times New Roman"/>
          <w:kern w:val="0"/>
          <w:sz w:val="20"/>
          <w:szCs w:val="20"/>
          <w:lang w:val="en-GB"/>
          <w14:ligatures w14:val="none"/>
        </w:rPr>
        <w:tab/>
        <w:t>In accordance with decision XXXVII/1, the secretariat of the Multilateral Fund prepared a paper on matters relating to pilot projects to enhance regional atmospheric monitoring of substances controlled by the Montreal Protocol, set out in document UNEP/</w:t>
      </w:r>
      <w:proofErr w:type="spellStart"/>
      <w:r w:rsidRPr="00080B42">
        <w:rPr>
          <w:rFonts w:ascii="Times New Roman" w:eastAsia="Times New Roman" w:hAnsi="Times New Roman" w:cs="Times New Roman"/>
          <w:kern w:val="0"/>
          <w:sz w:val="20"/>
          <w:szCs w:val="20"/>
          <w:lang w:val="en-GB"/>
          <w14:ligatures w14:val="none"/>
        </w:rPr>
        <w:t>OzLPro</w:t>
      </w:r>
      <w:proofErr w:type="spellEnd"/>
      <w:r w:rsidRPr="00080B42">
        <w:rPr>
          <w:rFonts w:ascii="Times New Roman" w:eastAsia="Times New Roman" w:hAnsi="Times New Roman" w:cs="Times New Roman"/>
          <w:kern w:val="0"/>
          <w:sz w:val="20"/>
          <w:szCs w:val="20"/>
          <w:lang w:val="en-GB"/>
          <w14:ligatures w14:val="none"/>
        </w:rPr>
        <w:t>/ExCom/98/61.</w:t>
      </w:r>
      <w:r w:rsidRPr="00080B42">
        <w:rPr>
          <w:rFonts w:ascii="Times New Roman" w:eastAsia="Times New Roman" w:hAnsi="Times New Roman" w:cs="Times New Roman"/>
          <w:kern w:val="0"/>
          <w:sz w:val="20"/>
          <w:szCs w:val="20"/>
          <w:lang w:val="en-GB"/>
          <w14:ligatures w14:val="none"/>
        </w:rPr>
        <w:footnoteReference w:id="1"/>
      </w:r>
      <w:r w:rsidRPr="00080B42">
        <w:rPr>
          <w:rFonts w:ascii="Times New Roman" w:eastAsia="Times New Roman" w:hAnsi="Times New Roman" w:cs="Times New Roman"/>
          <w:kern w:val="0"/>
          <w:sz w:val="20"/>
          <w:szCs w:val="20"/>
          <w:lang w:val="en-GB"/>
          <w14:ligatures w14:val="none"/>
        </w:rPr>
        <w:t xml:space="preserve"> Consideration of that paper at the ninety-eighth meeting of the Executive Committee in June 2026, resulted in decision 98/62, reproduced in the annex to the present note for the information of the parties.</w:t>
      </w:r>
    </w:p>
    <w:p w14:paraId="4A3553F3" w14:textId="77777777" w:rsidR="00CD6438" w:rsidRPr="00CD6438" w:rsidRDefault="00CD6438" w:rsidP="00CD6438">
      <w:pPr>
        <w:rPr>
          <w:rFonts w:ascii="Times New Roman" w:hAnsi="Times New Roman"/>
        </w:rPr>
        <w:sectPr w:rsidR="00CD6438" w:rsidRPr="00CD6438" w:rsidSect="009834C0">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code="9"/>
          <w:pgMar w:top="907" w:right="992" w:bottom="1418" w:left="1418" w:header="539" w:footer="975" w:gutter="0"/>
          <w:cols w:space="539"/>
          <w:titlePg/>
          <w:docGrid w:linePitch="360"/>
        </w:sectPr>
      </w:pPr>
      <w:r w:rsidRPr="00CD6438">
        <w:rPr>
          <w:rFonts w:ascii="Times New Roman" w:hAnsi="Times New Roman"/>
        </w:rPr>
        <w:tab/>
      </w:r>
    </w:p>
    <w:p w14:paraId="30F606D9" w14:textId="77777777" w:rsidR="00CE10CD" w:rsidRDefault="00CE10CD" w:rsidP="004A42F7">
      <w:pPr>
        <w:pStyle w:val="ZZAnxheader"/>
        <w:spacing w:after="120"/>
      </w:pPr>
      <w:r>
        <w:lastRenderedPageBreak/>
        <w:t>Annex</w:t>
      </w:r>
    </w:p>
    <w:p w14:paraId="5D6FE730" w14:textId="77777777" w:rsidR="00704F56" w:rsidRPr="00E529EE" w:rsidRDefault="00704F56" w:rsidP="007D7B04">
      <w:pPr>
        <w:spacing w:after="120" w:line="240" w:lineRule="auto"/>
        <w:ind w:left="1247"/>
        <w:rPr>
          <w:rFonts w:ascii="Times New Roman" w:eastAsia="Arial" w:hAnsi="Times New Roman" w:cs="Times New Roman"/>
          <w:b/>
          <w:bCs/>
          <w:sz w:val="28"/>
          <w:szCs w:val="28"/>
        </w:rPr>
      </w:pPr>
      <w:r w:rsidRPr="00E529EE">
        <w:rPr>
          <w:rFonts w:ascii="Times New Roman" w:eastAsia="Arial" w:hAnsi="Times New Roman" w:cs="Times New Roman"/>
          <w:b/>
          <w:bCs/>
          <w:sz w:val="28"/>
          <w:szCs w:val="28"/>
        </w:rPr>
        <w:t xml:space="preserve">Matters relating to pilot projects to enhance regional atmospheric monitoring of substances controlled by the Montreal Protocol </w:t>
      </w:r>
    </w:p>
    <w:p w14:paraId="41E9AB1E" w14:textId="77777777" w:rsidR="00704F56" w:rsidRPr="005D2FCD" w:rsidRDefault="00704F56" w:rsidP="00317A89">
      <w:pPr>
        <w:spacing w:after="120" w:line="240" w:lineRule="auto"/>
        <w:ind w:left="1247"/>
        <w:rPr>
          <w:rFonts w:ascii="Times New Roman" w:eastAsia="Arial" w:hAnsi="Times New Roman" w:cs="Times New Roman"/>
          <w:sz w:val="22"/>
          <w:szCs w:val="22"/>
        </w:rPr>
      </w:pPr>
      <w:r w:rsidRPr="005D2FCD">
        <w:rPr>
          <w:rFonts w:ascii="Times New Roman" w:eastAsia="Arial" w:hAnsi="Times New Roman" w:cs="Times New Roman"/>
          <w:sz w:val="22"/>
          <w:szCs w:val="22"/>
        </w:rPr>
        <w:t xml:space="preserve">The Executive Committee </w:t>
      </w:r>
      <w:r w:rsidRPr="005D2FCD">
        <w:rPr>
          <w:rFonts w:ascii="Times New Roman" w:eastAsia="Arial" w:hAnsi="Times New Roman" w:cs="Times New Roman"/>
          <w:sz w:val="22"/>
          <w:szCs w:val="22"/>
          <w:u w:val="single"/>
        </w:rPr>
        <w:t>decided</w:t>
      </w:r>
      <w:r w:rsidRPr="005D2FCD">
        <w:rPr>
          <w:rFonts w:ascii="Times New Roman" w:eastAsia="Arial" w:hAnsi="Times New Roman" w:cs="Times New Roman"/>
          <w:sz w:val="22"/>
          <w:szCs w:val="22"/>
        </w:rPr>
        <w:t xml:space="preserve">: </w:t>
      </w:r>
    </w:p>
    <w:p w14:paraId="3C566382" w14:textId="4E7B3C47" w:rsidR="00704F56" w:rsidRPr="005D2FCD" w:rsidRDefault="00704F56" w:rsidP="004219D9">
      <w:pPr>
        <w:spacing w:after="120" w:line="240" w:lineRule="auto"/>
        <w:ind w:left="1985" w:hanging="720"/>
        <w:jc w:val="both"/>
        <w:rPr>
          <w:rFonts w:ascii="Times New Roman" w:eastAsia="Arial" w:hAnsi="Times New Roman" w:cs="Times New Roman"/>
          <w:kern w:val="0"/>
          <w:sz w:val="22"/>
          <w:szCs w:val="22"/>
          <w:lang w:val="en-GB"/>
          <w14:ligatures w14:val="none"/>
        </w:rPr>
      </w:pPr>
      <w:r w:rsidRPr="005D2FCD">
        <w:rPr>
          <w:rFonts w:ascii="Times New Roman" w:eastAsia="Arial" w:hAnsi="Times New Roman" w:cs="Times New Roman"/>
          <w:kern w:val="0"/>
          <w:sz w:val="22"/>
          <w:szCs w:val="22"/>
          <w:lang w:val="en-GB"/>
          <w14:ligatures w14:val="none"/>
        </w:rPr>
        <w:t>(a)</w:t>
      </w:r>
      <w:r w:rsidR="004E6616" w:rsidRPr="005D2FCD">
        <w:rPr>
          <w:rFonts w:ascii="Times New Roman" w:eastAsia="Arial" w:hAnsi="Times New Roman" w:cs="Times New Roman"/>
          <w:kern w:val="0"/>
          <w:sz w:val="22"/>
          <w:szCs w:val="22"/>
          <w:lang w:val="en-GB"/>
          <w14:ligatures w14:val="none"/>
        </w:rPr>
        <w:tab/>
      </w:r>
      <w:r w:rsidRPr="005D2FCD">
        <w:rPr>
          <w:rFonts w:ascii="Times New Roman" w:eastAsia="Arial" w:hAnsi="Times New Roman" w:cs="Times New Roman"/>
          <w:kern w:val="0"/>
          <w:sz w:val="22"/>
          <w:szCs w:val="22"/>
          <w:lang w:val="en-GB"/>
          <w14:ligatures w14:val="none"/>
        </w:rPr>
        <w:t>To note document</w:t>
      </w:r>
      <w:r w:rsidR="00173033">
        <w:rPr>
          <w:rFonts w:ascii="Times New Roman" w:eastAsia="Arial" w:hAnsi="Times New Roman" w:cs="Times New Roman"/>
          <w:kern w:val="0"/>
          <w:sz w:val="22"/>
          <w:szCs w:val="22"/>
          <w:lang w:val="en-GB"/>
          <w14:ligatures w14:val="none"/>
        </w:rPr>
        <w:t xml:space="preserve"> </w:t>
      </w:r>
      <w:r w:rsidRPr="005D2FCD">
        <w:rPr>
          <w:rFonts w:ascii="Times New Roman" w:eastAsia="Arial" w:hAnsi="Times New Roman" w:cs="Times New Roman"/>
          <w:kern w:val="0"/>
          <w:sz w:val="22"/>
          <w:szCs w:val="22"/>
          <w:lang w:val="en-GB"/>
          <w14:ligatures w14:val="none"/>
        </w:rPr>
        <w:t>UNEP/</w:t>
      </w:r>
      <w:proofErr w:type="spellStart"/>
      <w:r w:rsidRPr="005D2FCD">
        <w:rPr>
          <w:rFonts w:ascii="Times New Roman" w:eastAsia="Arial" w:hAnsi="Times New Roman" w:cs="Times New Roman"/>
          <w:kern w:val="0"/>
          <w:sz w:val="22"/>
          <w:szCs w:val="22"/>
          <w:lang w:val="en-GB"/>
          <w14:ligatures w14:val="none"/>
        </w:rPr>
        <w:t>OzL.Pro</w:t>
      </w:r>
      <w:proofErr w:type="spellEnd"/>
      <w:r w:rsidRPr="005D2FCD">
        <w:rPr>
          <w:rFonts w:ascii="Times New Roman" w:eastAsia="Arial" w:hAnsi="Times New Roman" w:cs="Times New Roman"/>
          <w:kern w:val="0"/>
          <w:sz w:val="22"/>
          <w:szCs w:val="22"/>
          <w:lang w:val="en-GB"/>
          <w14:ligatures w14:val="none"/>
        </w:rPr>
        <w:t>/ExCom/98/61 on matters relating to pilot projects to enhance regional atmospheric monitoring of substances controlled by the Montreal Protocol (decision 96/56);</w:t>
      </w:r>
    </w:p>
    <w:p w14:paraId="59344240" w14:textId="53046233"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(b)</w:t>
      </w:r>
      <w:r w:rsidR="004E6616" w:rsidRPr="005D2FCD">
        <w:rPr>
          <w:rFonts w:ascii="Times New Roman" w:hAnsi="Times New Roman" w:cs="Times New Roman"/>
          <w:sz w:val="22"/>
          <w:szCs w:val="22"/>
        </w:rPr>
        <w:tab/>
      </w:r>
      <w:r w:rsidRPr="005D2FCD">
        <w:rPr>
          <w:rFonts w:ascii="Times New Roman" w:hAnsi="Times New Roman" w:cs="Times New Roman"/>
          <w:sz w:val="22"/>
          <w:szCs w:val="22"/>
        </w:rPr>
        <w:t>To approve:</w:t>
      </w:r>
    </w:p>
    <w:p w14:paraId="44DE6ACA" w14:textId="4AA35435" w:rsidR="00704F56" w:rsidRPr="005D2FCD" w:rsidRDefault="00704F56" w:rsidP="00317A89">
      <w:pPr>
        <w:tabs>
          <w:tab w:val="left" w:pos="2552"/>
        </w:tabs>
        <w:spacing w:after="120" w:line="240" w:lineRule="auto"/>
        <w:ind w:left="2552" w:hanging="567"/>
        <w:rPr>
          <w:rFonts w:ascii="Times New Roman" w:hAnsi="Times New Roman" w:cs="Times New Roman"/>
          <w:sz w:val="22"/>
          <w:szCs w:val="22"/>
        </w:rPr>
      </w:pPr>
      <w:r w:rsidRPr="005D2FCD">
        <w:rPr>
          <w:rFonts w:ascii="Times New Roman" w:hAnsi="Times New Roman" w:cs="Times New Roman"/>
          <w:sz w:val="22"/>
          <w:szCs w:val="22"/>
        </w:rPr>
        <w:t>(i)</w:t>
      </w:r>
      <w:r w:rsidR="004E6616" w:rsidRPr="005D2FCD">
        <w:rPr>
          <w:rFonts w:ascii="Times New Roman" w:hAnsi="Times New Roman" w:cs="Times New Roman"/>
          <w:sz w:val="22"/>
          <w:szCs w:val="22"/>
        </w:rPr>
        <w:tab/>
      </w:r>
      <w:r w:rsidRPr="005D2FCD">
        <w:rPr>
          <w:rFonts w:ascii="Times New Roman" w:hAnsi="Times New Roman" w:cs="Times New Roman"/>
          <w:sz w:val="22"/>
          <w:szCs w:val="22"/>
        </w:rPr>
        <w:t>The guidelines for the preparation of pilot projects to enhance regional atmospheric monitoring of substances controlled by the Montreal Protocol, contained in annex LXX to the present report;</w:t>
      </w:r>
    </w:p>
    <w:p w14:paraId="23B3A38C" w14:textId="06AFB44F" w:rsidR="00704F56" w:rsidRPr="005D2FCD" w:rsidRDefault="00704F56" w:rsidP="00317A89">
      <w:pPr>
        <w:tabs>
          <w:tab w:val="left" w:pos="2552"/>
        </w:tabs>
        <w:spacing w:after="120" w:line="240" w:lineRule="auto"/>
        <w:ind w:left="2552" w:hanging="567"/>
        <w:rPr>
          <w:rFonts w:ascii="Times New Roman" w:hAnsi="Times New Roman" w:cs="Times New Roman"/>
          <w:sz w:val="22"/>
          <w:szCs w:val="22"/>
        </w:rPr>
      </w:pPr>
      <w:r w:rsidRPr="005D2FCD">
        <w:rPr>
          <w:rFonts w:ascii="Times New Roman" w:hAnsi="Times New Roman" w:cs="Times New Roman"/>
          <w:sz w:val="22"/>
          <w:szCs w:val="22"/>
        </w:rPr>
        <w:t>(ii)</w:t>
      </w:r>
      <w:r w:rsidR="004E6616" w:rsidRPr="005D2FCD">
        <w:rPr>
          <w:rFonts w:ascii="Times New Roman" w:hAnsi="Times New Roman" w:cs="Times New Roman"/>
          <w:sz w:val="22"/>
          <w:szCs w:val="22"/>
        </w:rPr>
        <w:tab/>
      </w:r>
      <w:r w:rsidRPr="005D2FCD">
        <w:rPr>
          <w:rFonts w:ascii="Times New Roman" w:hAnsi="Times New Roman" w:cs="Times New Roman"/>
          <w:sz w:val="22"/>
          <w:szCs w:val="22"/>
        </w:rPr>
        <w:t>The guidelines for the implementation of pilot projects to enhance regional atmospheric monitoring of substances controlled by the Montreal Protocol, contained in annex LXXI to the present report;</w:t>
      </w:r>
    </w:p>
    <w:p w14:paraId="3D95F55F" w14:textId="19DA31AB" w:rsidR="00704F56" w:rsidRPr="005D2FCD" w:rsidRDefault="00704F56" w:rsidP="00317A89">
      <w:pPr>
        <w:tabs>
          <w:tab w:val="left" w:pos="2552"/>
        </w:tabs>
        <w:spacing w:after="120" w:line="240" w:lineRule="auto"/>
        <w:ind w:left="2552" w:hanging="567"/>
        <w:rPr>
          <w:rFonts w:ascii="Times New Roman" w:hAnsi="Times New Roman" w:cs="Times New Roman"/>
          <w:sz w:val="22"/>
          <w:szCs w:val="22"/>
        </w:rPr>
      </w:pPr>
      <w:r w:rsidRPr="005D2FCD">
        <w:rPr>
          <w:rFonts w:ascii="Times New Roman" w:hAnsi="Times New Roman" w:cs="Times New Roman"/>
          <w:sz w:val="22"/>
          <w:szCs w:val="22"/>
        </w:rPr>
        <w:t>(iii)</w:t>
      </w:r>
      <w:r w:rsidR="004E6616" w:rsidRPr="005D2FCD">
        <w:rPr>
          <w:rFonts w:ascii="Times New Roman" w:hAnsi="Times New Roman" w:cs="Times New Roman"/>
          <w:sz w:val="22"/>
          <w:szCs w:val="22"/>
        </w:rPr>
        <w:tab/>
      </w:r>
      <w:r w:rsidRPr="005D2FCD">
        <w:rPr>
          <w:rFonts w:ascii="Times New Roman" w:hAnsi="Times New Roman" w:cs="Times New Roman"/>
          <w:sz w:val="22"/>
          <w:szCs w:val="22"/>
        </w:rPr>
        <w:t>The template Agreement between the Executive Committee and the Article 5 country concerned for pilot projects to establish and operate a regional atmospheric monitoring station, contained in annex LXXII to the present report;</w:t>
      </w:r>
    </w:p>
    <w:p w14:paraId="3CF30A3D" w14:textId="648BFE55"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(c)</w:t>
      </w:r>
      <w:r w:rsidR="004E6616" w:rsidRPr="005D2FCD">
        <w:rPr>
          <w:rFonts w:ascii="Times New Roman" w:hAnsi="Times New Roman" w:cs="Times New Roman"/>
          <w:sz w:val="22"/>
          <w:szCs w:val="22"/>
        </w:rPr>
        <w:tab/>
      </w:r>
      <w:r w:rsidRPr="005D2FCD">
        <w:rPr>
          <w:rFonts w:ascii="Times New Roman" w:hAnsi="Times New Roman" w:cs="Times New Roman"/>
          <w:sz w:val="22"/>
          <w:szCs w:val="22"/>
        </w:rPr>
        <w:t>To establish a funding window of US</w:t>
      </w:r>
      <w:r w:rsidR="00F44619" w:rsidRPr="005D2FCD">
        <w:rPr>
          <w:rFonts w:ascii="Times New Roman" w:hAnsi="Times New Roman" w:cs="Times New Roman"/>
          <w:sz w:val="22"/>
          <w:szCs w:val="22"/>
        </w:rPr>
        <w:t xml:space="preserve"> </w:t>
      </w:r>
      <w:r w:rsidRPr="005D2FCD">
        <w:rPr>
          <w:rFonts w:ascii="Times New Roman" w:hAnsi="Times New Roman" w:cs="Times New Roman"/>
          <w:sz w:val="22"/>
          <w:szCs w:val="22"/>
        </w:rPr>
        <w:t>$9,250,000 for three pilot projects to enhance regional atmospheric monitoring of substances controlled by the Montreal Protocol, including the preparation, implementation and capacity-building activities as specified in table</w:t>
      </w:r>
      <w:r w:rsidR="00F44619" w:rsidRPr="005D2FCD">
        <w:rPr>
          <w:rFonts w:ascii="Times New Roman" w:hAnsi="Times New Roman" w:cs="Times New Roman"/>
          <w:sz w:val="22"/>
          <w:szCs w:val="22"/>
        </w:rPr>
        <w:t xml:space="preserve"> </w:t>
      </w:r>
      <w:r w:rsidRPr="005D2FCD">
        <w:rPr>
          <w:rFonts w:ascii="Times New Roman" w:hAnsi="Times New Roman" w:cs="Times New Roman"/>
          <w:sz w:val="22"/>
          <w:szCs w:val="22"/>
        </w:rPr>
        <w:t>1 of document</w:t>
      </w:r>
      <w:r w:rsidR="00F44619" w:rsidRPr="005D2FCD">
        <w:rPr>
          <w:rFonts w:ascii="Times New Roman" w:hAnsi="Times New Roman" w:cs="Times New Roman"/>
          <w:sz w:val="22"/>
          <w:szCs w:val="22"/>
        </w:rPr>
        <w:t xml:space="preserve"> </w:t>
      </w:r>
      <w:r w:rsidRPr="005D2FCD">
        <w:rPr>
          <w:rFonts w:ascii="Times New Roman" w:hAnsi="Times New Roman" w:cs="Times New Roman"/>
          <w:sz w:val="22"/>
          <w:szCs w:val="22"/>
        </w:rPr>
        <w:t>UNEP/</w:t>
      </w:r>
      <w:proofErr w:type="spellStart"/>
      <w:r w:rsidRPr="005D2FCD">
        <w:rPr>
          <w:rFonts w:ascii="Times New Roman" w:hAnsi="Times New Roman" w:cs="Times New Roman"/>
          <w:sz w:val="22"/>
          <w:szCs w:val="22"/>
        </w:rPr>
        <w:t>OzL.Pro</w:t>
      </w:r>
      <w:proofErr w:type="spellEnd"/>
      <w:r w:rsidRPr="005D2FCD">
        <w:rPr>
          <w:rFonts w:ascii="Times New Roman" w:hAnsi="Times New Roman" w:cs="Times New Roman"/>
          <w:sz w:val="22"/>
          <w:szCs w:val="22"/>
        </w:rPr>
        <w:t>/ExCom/98/61;</w:t>
      </w:r>
    </w:p>
    <w:p w14:paraId="52DCA000" w14:textId="719E78F5"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(d)</w:t>
      </w:r>
      <w:r w:rsidR="00EE3BC7" w:rsidRPr="005D2FCD">
        <w:rPr>
          <w:rFonts w:ascii="Times New Roman" w:hAnsi="Times New Roman" w:cs="Times New Roman"/>
          <w:sz w:val="22"/>
          <w:szCs w:val="22"/>
        </w:rPr>
        <w:tab/>
      </w:r>
      <w:r w:rsidRPr="005D2FCD">
        <w:rPr>
          <w:rFonts w:ascii="Times New Roman" w:hAnsi="Times New Roman" w:cs="Times New Roman"/>
          <w:sz w:val="22"/>
          <w:szCs w:val="22"/>
        </w:rPr>
        <w:t>To request that project preparation proposals under the funding window be submitted to the 102nd meeting, and to request the Secretariat to seek the scientific guidance of the Advisory Committee of the General Trust Fund for Financing Activities on Research and Systematic Observations Relevant to the Vienna Convention for the Protection of the Ozone Layer during project review;</w:t>
      </w:r>
    </w:p>
    <w:p w14:paraId="74F2F1AB" w14:textId="00D812C5"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(e)</w:t>
      </w:r>
      <w:r w:rsidR="00EE3BC7" w:rsidRPr="005D2FCD">
        <w:rPr>
          <w:rFonts w:ascii="Times New Roman" w:hAnsi="Times New Roman" w:cs="Times New Roman"/>
          <w:sz w:val="22"/>
          <w:szCs w:val="22"/>
        </w:rPr>
        <w:tab/>
      </w:r>
      <w:r w:rsidRPr="005D2FCD">
        <w:rPr>
          <w:rFonts w:ascii="Times New Roman" w:hAnsi="Times New Roman" w:cs="Times New Roman"/>
          <w:sz w:val="22"/>
          <w:szCs w:val="22"/>
        </w:rPr>
        <w:t>To add to the funding window the amount of US $1,800,000 for the continuation of operation of three atmospheric monitoring stations to be established with the support of the General Trust Fund, on the understanding that project proposals to access the funding would be submitted to the Executive Committee;</w:t>
      </w:r>
    </w:p>
    <w:p w14:paraId="272E2CE0" w14:textId="2142101F"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(f)</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To encourage Article 5 countries to make use of the expertise of the World Meteorological Organization (WMO) by selecting it as the lead or cooperating implementing agency for pilot projects to enhance regional atmospheric monitoring of substances controlled by the Montreal Protocol;</w:t>
      </w:r>
    </w:p>
    <w:p w14:paraId="317C5BAD" w14:textId="1A425B0C"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(g)</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To request the Secretariat, in collaboration with WMO, to develop draft agency agreements with the Executive Committee and with the Treasurer, in line with the Agreements between the Committee and the implementing agencies, and the Agreements between the implementing agencies and the Treasurer, for the Committee’s consideration and endorsement at its 99th meeting;</w:t>
      </w:r>
    </w:p>
    <w:p w14:paraId="0AD5CE92" w14:textId="38F345FE"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(h)</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To note:</w:t>
      </w:r>
    </w:p>
    <w:p w14:paraId="47627EE5" w14:textId="208A8B03" w:rsidR="00704F56" w:rsidRPr="005D2FCD" w:rsidRDefault="00704F56" w:rsidP="00317A89">
      <w:pPr>
        <w:spacing w:after="120" w:line="240" w:lineRule="auto"/>
        <w:ind w:left="2410" w:hanging="567"/>
        <w:rPr>
          <w:rFonts w:ascii="Times New Roman" w:hAnsi="Times New Roman" w:cs="Times New Roman"/>
          <w:sz w:val="22"/>
          <w:szCs w:val="22"/>
        </w:rPr>
      </w:pPr>
      <w:r w:rsidRPr="005D2FCD">
        <w:rPr>
          <w:rFonts w:ascii="Times New Roman" w:hAnsi="Times New Roman" w:cs="Times New Roman"/>
          <w:sz w:val="22"/>
          <w:szCs w:val="22"/>
        </w:rPr>
        <w:t>(i)</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 xml:space="preserve">That bilateral and implementing agencies of pilot projects to enhance regional atmospheric monitoring of substances controlled by the Montreal Protocol would seek the guidance of the Advisory Committee on preparing and </w:t>
      </w:r>
      <w:r w:rsidRPr="005D2FCD">
        <w:rPr>
          <w:rFonts w:ascii="Times New Roman" w:hAnsi="Times New Roman" w:cs="Times New Roman"/>
          <w:sz w:val="22"/>
          <w:szCs w:val="22"/>
        </w:rPr>
        <w:lastRenderedPageBreak/>
        <w:t>implementing such pilot projects, and would submit a report on implementation of the respective pilot project to the 107th meeting;</w:t>
      </w:r>
    </w:p>
    <w:p w14:paraId="28AAF873" w14:textId="26FC41FC" w:rsidR="00704F56" w:rsidRPr="005D2FCD" w:rsidRDefault="00704F56" w:rsidP="00317A89">
      <w:pPr>
        <w:spacing w:after="120" w:line="240" w:lineRule="auto"/>
        <w:ind w:left="2410" w:hanging="567"/>
        <w:rPr>
          <w:rFonts w:ascii="Times New Roman" w:hAnsi="Times New Roman" w:cs="Times New Roman"/>
          <w:sz w:val="22"/>
          <w:szCs w:val="22"/>
        </w:rPr>
      </w:pPr>
      <w:r w:rsidRPr="005D2FCD">
        <w:rPr>
          <w:rFonts w:ascii="Times New Roman" w:hAnsi="Times New Roman" w:cs="Times New Roman"/>
          <w:sz w:val="22"/>
          <w:szCs w:val="22"/>
        </w:rPr>
        <w:t>(ii)</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That the Secretariat would share relevant information from the preparation and implementation of the pilot projects referred to in subparagraph (h)(i) above with the Advisory Committee;</w:t>
      </w:r>
    </w:p>
    <w:p w14:paraId="420A24C6" w14:textId="445493E7"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(i)</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To request the Secretariat to prepare, for the 107th meeting, a paper providing an update on the status of implementation, lessons learned and recommendations, if any, from the implementation of project preparation proposals;</w:t>
      </w:r>
    </w:p>
    <w:p w14:paraId="1A31A755" w14:textId="0CE4B359"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(j)</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 xml:space="preserve">To request the Secretariat to prepare, for the 107th meeting, a paper outlining options for the duration and provision of incremental recurring costs, </w:t>
      </w:r>
      <w:proofErr w:type="gramStart"/>
      <w:r w:rsidRPr="005D2FCD">
        <w:rPr>
          <w:rFonts w:ascii="Times New Roman" w:hAnsi="Times New Roman" w:cs="Times New Roman"/>
          <w:sz w:val="22"/>
          <w:szCs w:val="22"/>
        </w:rPr>
        <w:t>taking into account</w:t>
      </w:r>
      <w:proofErr w:type="gramEnd"/>
      <w:r w:rsidRPr="005D2FCD">
        <w:rPr>
          <w:rFonts w:ascii="Times New Roman" w:hAnsi="Times New Roman" w:cs="Times New Roman"/>
          <w:sz w:val="22"/>
          <w:szCs w:val="22"/>
        </w:rPr>
        <w:t xml:space="preserve"> the information contained in the reports submitted in line with subparagraph (h)(i) above and other relevant information; and</w:t>
      </w:r>
    </w:p>
    <w:p w14:paraId="7DED34D4" w14:textId="07E2C20B" w:rsidR="00704F56" w:rsidRPr="005D2FCD" w:rsidRDefault="00704F56" w:rsidP="004219D9">
      <w:pPr>
        <w:spacing w:after="120" w:line="240" w:lineRule="auto"/>
        <w:ind w:left="1985" w:hanging="709"/>
        <w:jc w:val="both"/>
        <w:rPr>
          <w:rFonts w:ascii="Times New Roman" w:hAnsi="Times New Roman" w:cs="Times New Roman"/>
          <w:sz w:val="22"/>
          <w:szCs w:val="22"/>
        </w:rPr>
      </w:pPr>
      <w:r w:rsidRPr="005D2FCD">
        <w:rPr>
          <w:rFonts w:ascii="Times New Roman" w:hAnsi="Times New Roman" w:cs="Times New Roman"/>
          <w:sz w:val="22"/>
          <w:szCs w:val="22"/>
        </w:rPr>
        <w:t>(k)</w:t>
      </w:r>
      <w:r w:rsidR="00527B50" w:rsidRPr="005D2FCD">
        <w:rPr>
          <w:rFonts w:ascii="Times New Roman" w:hAnsi="Times New Roman" w:cs="Times New Roman"/>
          <w:sz w:val="22"/>
          <w:szCs w:val="22"/>
        </w:rPr>
        <w:tab/>
      </w:r>
      <w:r w:rsidRPr="005D2FCD">
        <w:rPr>
          <w:rFonts w:ascii="Times New Roman" w:hAnsi="Times New Roman" w:cs="Times New Roman"/>
          <w:sz w:val="22"/>
          <w:szCs w:val="22"/>
        </w:rPr>
        <w:t>To request bilateral and implementing agencies to include in their relevant business plans requests for funding for the projects specified in subparagraph (c) above for Article 5 countries that wished to undertake such projects.</w:t>
      </w:r>
    </w:p>
    <w:p w14:paraId="101097C3" w14:textId="77777777" w:rsidR="00704F56" w:rsidRPr="005D2FCD" w:rsidRDefault="00704F56" w:rsidP="00317A89">
      <w:pPr>
        <w:spacing w:after="120" w:line="240" w:lineRule="auto"/>
        <w:jc w:val="right"/>
        <w:rPr>
          <w:rFonts w:ascii="Times New Roman" w:hAnsi="Times New Roman" w:cs="Times New Roman"/>
          <w:sz w:val="22"/>
          <w:szCs w:val="22"/>
        </w:rPr>
      </w:pPr>
      <w:r w:rsidRPr="005D2FCD">
        <w:rPr>
          <w:rFonts w:ascii="Times New Roman" w:hAnsi="Times New Roman" w:cs="Times New Roman"/>
          <w:b/>
          <w:bCs/>
          <w:sz w:val="22"/>
          <w:szCs w:val="22"/>
        </w:rPr>
        <w:t>(Decision 98/62)</w:t>
      </w:r>
    </w:p>
    <w:p w14:paraId="679AD94C" w14:textId="77777777" w:rsidR="00704F56" w:rsidRPr="005D2FCD" w:rsidRDefault="00704F56" w:rsidP="00704F56">
      <w:pPr>
        <w:rPr>
          <w:color w:val="000000" w:themeColor="text1"/>
          <w:sz w:val="22"/>
          <w:szCs w:val="22"/>
        </w:rPr>
      </w:pPr>
      <w:r w:rsidRPr="005D2FCD">
        <w:rPr>
          <w:color w:val="000000" w:themeColor="text1"/>
          <w:sz w:val="22"/>
          <w:szCs w:val="22"/>
        </w:rPr>
        <w:br w:type="page"/>
      </w:r>
    </w:p>
    <w:p w14:paraId="3A8F210F" w14:textId="77777777" w:rsidR="00704F56" w:rsidRPr="00AC1484" w:rsidRDefault="00704F56" w:rsidP="00704F56">
      <w:pPr>
        <w:keepNext/>
        <w:spacing w:after="240"/>
        <w:jc w:val="center"/>
        <w:rPr>
          <w:rFonts w:ascii="Times New Roman" w:hAnsi="Times New Roman" w:cs="Times New Roman"/>
          <w:b/>
          <w:bCs/>
          <w:sz w:val="22"/>
          <w:szCs w:val="22"/>
          <w:lang w:val="en-CA"/>
        </w:rPr>
      </w:pPr>
      <w:r w:rsidRPr="00AC1484">
        <w:rPr>
          <w:rFonts w:ascii="Times New Roman" w:hAnsi="Times New Roman" w:cs="Times New Roman"/>
          <w:b/>
          <w:bCs/>
          <w:sz w:val="22"/>
          <w:szCs w:val="22"/>
          <w:lang w:val="en-CA"/>
        </w:rPr>
        <w:lastRenderedPageBreak/>
        <w:t>Annex LXX</w:t>
      </w:r>
    </w:p>
    <w:p w14:paraId="1FF41E3C" w14:textId="77777777" w:rsidR="00704F56" w:rsidRPr="00AC1484" w:rsidRDefault="00704F56" w:rsidP="00A26819">
      <w:pPr>
        <w:keepNext/>
        <w:spacing w:after="120"/>
        <w:jc w:val="center"/>
        <w:rPr>
          <w:rFonts w:ascii="Times New Roman" w:hAnsi="Times New Roman" w:cs="Times New Roman"/>
          <w:b/>
          <w:bCs/>
          <w:sz w:val="22"/>
          <w:szCs w:val="22"/>
          <w:lang w:val="en-CA"/>
        </w:rPr>
      </w:pPr>
      <w:r w:rsidRPr="00AC1484">
        <w:rPr>
          <w:rFonts w:ascii="Times New Roman" w:hAnsi="Times New Roman" w:cs="Times New Roman"/>
          <w:b/>
          <w:bCs/>
          <w:sz w:val="22"/>
          <w:szCs w:val="22"/>
          <w:lang w:val="en-CA"/>
        </w:rPr>
        <w:t>GUIDELINES FOR THE PREPARATION OF PILOT PROJECTS</w:t>
      </w:r>
      <w:r w:rsidRPr="00AC1484">
        <w:rPr>
          <w:rFonts w:ascii="Times New Roman" w:hAnsi="Times New Roman" w:cs="Times New Roman"/>
          <w:b/>
          <w:bCs/>
          <w:sz w:val="22"/>
          <w:szCs w:val="22"/>
          <w:lang w:val="en-CA"/>
        </w:rPr>
        <w:br/>
        <w:t>TO ENHANCE REGIONAL ATMOSPHERIC MONITORING OF SUBSTANCES CONTROLLED BY THE MONTREAL PROTOCOL</w:t>
      </w:r>
    </w:p>
    <w:p w14:paraId="733898D8" w14:textId="77777777" w:rsidR="00704F56" w:rsidRPr="005D2FCD" w:rsidRDefault="00704F56" w:rsidP="00A26819">
      <w:pPr>
        <w:tabs>
          <w:tab w:val="left" w:pos="709"/>
        </w:tabs>
        <w:spacing w:after="120"/>
        <w:jc w:val="both"/>
        <w:rPr>
          <w:rFonts w:ascii="Times New Roman" w:hAnsi="Times New Roman" w:cs="Times New Roman"/>
          <w:sz w:val="22"/>
          <w:szCs w:val="22"/>
          <w:lang w:val="en-CA"/>
        </w:rPr>
      </w:pPr>
      <w:r w:rsidRPr="00AC1484">
        <w:rPr>
          <w:rFonts w:ascii="Times New Roman" w:hAnsi="Times New Roman" w:cs="Times New Roman"/>
          <w:sz w:val="22"/>
          <w:szCs w:val="22"/>
          <w:lang w:val="en-CA"/>
        </w:rPr>
        <w:t>1.</w:t>
      </w:r>
      <w:r w:rsidRPr="00AC1484">
        <w:rPr>
          <w:rFonts w:ascii="Times New Roman" w:hAnsi="Times New Roman" w:cs="Times New Roman"/>
          <w:sz w:val="22"/>
          <w:szCs w:val="22"/>
          <w:lang w:val="en-CA"/>
        </w:rPr>
        <w:tab/>
      </w:r>
      <w:r w:rsidRPr="005D2FCD">
        <w:rPr>
          <w:rFonts w:ascii="Times New Roman" w:hAnsi="Times New Roman" w:cs="Times New Roman"/>
          <w:sz w:val="22"/>
          <w:szCs w:val="22"/>
          <w:lang w:val="en-CA"/>
        </w:rPr>
        <w:t>Requests for funding for the preparation of pilot projects to enhance regional atmospheric monitoring of substances controlled by the Montreal Protocol would:</w:t>
      </w:r>
    </w:p>
    <w:p w14:paraId="5D4C8762" w14:textId="77777777" w:rsidR="00704F56" w:rsidRPr="005D2FCD" w:rsidRDefault="00704F56">
      <w:pPr>
        <w:pStyle w:val="Heading2"/>
        <w:keepNext w:val="0"/>
        <w:widowControl w:val="0"/>
        <w:numPr>
          <w:ilvl w:val="0"/>
          <w:numId w:val="7"/>
        </w:numPr>
        <w:tabs>
          <w:tab w:val="num" w:pos="1418"/>
        </w:tabs>
        <w:spacing w:before="0" w:line="240" w:lineRule="auto"/>
        <w:ind w:hanging="720"/>
        <w:jc w:val="both"/>
        <w:rPr>
          <w:rFonts w:ascii="Times New Roman" w:hAnsi="Times New Roman" w:cs="Times New Roman"/>
          <w:b w:val="0"/>
          <w:sz w:val="22"/>
          <w:szCs w:val="22"/>
          <w:lang w:val="en-CA"/>
        </w:rPr>
      </w:pPr>
      <w:r w:rsidRPr="005D2FCD">
        <w:rPr>
          <w:rFonts w:ascii="Times New Roman" w:hAnsi="Times New Roman" w:cs="Times New Roman"/>
          <w:b w:val="0"/>
          <w:sz w:val="22"/>
          <w:szCs w:val="22"/>
          <w:lang w:val="en-CA"/>
        </w:rPr>
        <w:t xml:space="preserve">Consider countries in priority regions identified by the Advisory Committee of the Vienna Convention General Trust Fund that would provide a benefit through the establishment of an atmospheric monitoring station; </w:t>
      </w:r>
    </w:p>
    <w:p w14:paraId="5BF2B09D" w14:textId="77777777" w:rsidR="00704F56" w:rsidRPr="005D2FCD" w:rsidRDefault="00704F56">
      <w:pPr>
        <w:pStyle w:val="Heading2"/>
        <w:keepNext w:val="0"/>
        <w:widowControl w:val="0"/>
        <w:numPr>
          <w:ilvl w:val="0"/>
          <w:numId w:val="7"/>
        </w:numPr>
        <w:tabs>
          <w:tab w:val="num" w:pos="1418"/>
        </w:tabs>
        <w:spacing w:before="0" w:line="240" w:lineRule="auto"/>
        <w:ind w:hanging="720"/>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Follow the process for assessing the suitability of the proposed monitoring station site described in document UNEP/</w:t>
      </w:r>
      <w:proofErr w:type="spellStart"/>
      <w:r w:rsidRPr="005D2FCD">
        <w:rPr>
          <w:rFonts w:ascii="Times New Roman" w:hAnsi="Times New Roman" w:cs="Times New Roman"/>
          <w:b w:val="0"/>
          <w:bCs/>
          <w:sz w:val="22"/>
          <w:szCs w:val="22"/>
          <w:lang w:val="en-CA"/>
        </w:rPr>
        <w:t>OzL.Pro</w:t>
      </w:r>
      <w:proofErr w:type="spellEnd"/>
      <w:r w:rsidRPr="005D2FCD">
        <w:rPr>
          <w:rFonts w:ascii="Times New Roman" w:hAnsi="Times New Roman" w:cs="Times New Roman"/>
          <w:b w:val="0"/>
          <w:bCs/>
          <w:sz w:val="22"/>
          <w:szCs w:val="22"/>
          <w:lang w:val="en-CA"/>
        </w:rPr>
        <w:t>/ExCom/98/61, including undertaking observing system simulation experiments (OSSEs), if necessary, an initial site preliminary observations test (SPOT), and developmental observations test (DOT);</w:t>
      </w:r>
    </w:p>
    <w:p w14:paraId="086E541A" w14:textId="77777777" w:rsidR="00704F56" w:rsidRPr="005D2FCD" w:rsidRDefault="00704F56">
      <w:pPr>
        <w:pStyle w:val="Heading2"/>
        <w:keepNext w:val="0"/>
        <w:widowControl w:val="0"/>
        <w:numPr>
          <w:ilvl w:val="0"/>
          <w:numId w:val="7"/>
        </w:numPr>
        <w:tabs>
          <w:tab w:val="num" w:pos="1418"/>
        </w:tabs>
        <w:spacing w:before="0" w:line="240" w:lineRule="auto"/>
        <w:ind w:hanging="720"/>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Include a letter from the Government concerned committing to ensure that the proposed atmospheric monitoring station would follow the principles of availability and accessibility of data described in paragraphs 20 to 22 of document UNEP/</w:t>
      </w:r>
      <w:proofErr w:type="spellStart"/>
      <w:r w:rsidRPr="005D2FCD">
        <w:rPr>
          <w:rFonts w:ascii="Times New Roman" w:hAnsi="Times New Roman" w:cs="Times New Roman"/>
          <w:b w:val="0"/>
          <w:bCs/>
          <w:sz w:val="22"/>
          <w:szCs w:val="22"/>
          <w:lang w:val="en-CA"/>
        </w:rPr>
        <w:t>OzL.Pro</w:t>
      </w:r>
      <w:proofErr w:type="spellEnd"/>
      <w:r w:rsidRPr="005D2FCD">
        <w:rPr>
          <w:rFonts w:ascii="Times New Roman" w:hAnsi="Times New Roman" w:cs="Times New Roman"/>
          <w:b w:val="0"/>
          <w:bCs/>
          <w:sz w:val="22"/>
          <w:szCs w:val="22"/>
          <w:lang w:val="en-CA"/>
        </w:rPr>
        <w:t>/ExCom/96/62;</w:t>
      </w:r>
    </w:p>
    <w:p w14:paraId="0B9D0D7D" w14:textId="77777777" w:rsidR="00704F56" w:rsidRPr="005D2FCD" w:rsidRDefault="00704F56">
      <w:pPr>
        <w:pStyle w:val="Heading2"/>
        <w:keepNext w:val="0"/>
        <w:widowControl w:val="0"/>
        <w:numPr>
          <w:ilvl w:val="0"/>
          <w:numId w:val="7"/>
        </w:numPr>
        <w:tabs>
          <w:tab w:val="num" w:pos="1418"/>
        </w:tabs>
        <w:spacing w:before="0" w:line="240" w:lineRule="auto"/>
        <w:ind w:hanging="720"/>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Include a description of the proposed site where the atmospheric monitoring station will be established, including local topography, surrounding land types (agricultural, forest, urban, etc.) and neighborhood environs, and existing infrastructure;</w:t>
      </w:r>
    </w:p>
    <w:p w14:paraId="231B360D" w14:textId="77777777" w:rsidR="00704F56" w:rsidRPr="005D2FCD" w:rsidRDefault="00704F56">
      <w:pPr>
        <w:pStyle w:val="Heading2"/>
        <w:keepNext w:val="0"/>
        <w:widowControl w:val="0"/>
        <w:numPr>
          <w:ilvl w:val="0"/>
          <w:numId w:val="7"/>
        </w:numPr>
        <w:tabs>
          <w:tab w:val="num" w:pos="1418"/>
        </w:tabs>
        <w:spacing w:before="0" w:line="240" w:lineRule="auto"/>
        <w:ind w:hanging="720"/>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Include a description of the scientific and technical capacity of local institutions and personnel who could maintain and operate the station, and analyze the resultant data; and</w:t>
      </w:r>
    </w:p>
    <w:p w14:paraId="65F548B1" w14:textId="77777777" w:rsidR="00704F56" w:rsidRPr="005D2FCD" w:rsidRDefault="00704F56">
      <w:pPr>
        <w:pStyle w:val="Heading2"/>
        <w:keepNext w:val="0"/>
        <w:widowControl w:val="0"/>
        <w:numPr>
          <w:ilvl w:val="0"/>
          <w:numId w:val="7"/>
        </w:numPr>
        <w:tabs>
          <w:tab w:val="num" w:pos="1418"/>
        </w:tabs>
        <w:spacing w:before="0" w:line="240" w:lineRule="auto"/>
        <w:ind w:hanging="720"/>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Include a description of potential co-financing available from local institutions or the government for short and long-term viability of the station.</w:t>
      </w:r>
    </w:p>
    <w:p w14:paraId="0DF2A271" w14:textId="77777777" w:rsidR="00704F56" w:rsidRPr="005D2FCD" w:rsidRDefault="00704F56" w:rsidP="00A26819">
      <w:pPr>
        <w:tabs>
          <w:tab w:val="num" w:pos="0"/>
          <w:tab w:val="left" w:pos="709"/>
        </w:tabs>
        <w:spacing w:after="12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2.</w:t>
      </w:r>
      <w:r w:rsidRPr="005D2FCD">
        <w:rPr>
          <w:rFonts w:ascii="Times New Roman" w:hAnsi="Times New Roman" w:cs="Times New Roman"/>
          <w:sz w:val="22"/>
          <w:szCs w:val="22"/>
          <w:lang w:val="en-CA"/>
        </w:rPr>
        <w:tab/>
        <w:t>The maximum amount of funding available for the preparation of pilot projects to establish three regional atmospheric monitoring stations is US $1,730,440 plus agency support costs.</w:t>
      </w:r>
    </w:p>
    <w:p w14:paraId="304E915C" w14:textId="77777777" w:rsidR="00704F56" w:rsidRPr="005D2FCD" w:rsidRDefault="00704F56" w:rsidP="00A26819">
      <w:pPr>
        <w:tabs>
          <w:tab w:val="num" w:pos="0"/>
          <w:tab w:val="left" w:pos="709"/>
        </w:tabs>
        <w:spacing w:after="12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3.</w:t>
      </w:r>
      <w:r w:rsidRPr="005D2FCD">
        <w:rPr>
          <w:rFonts w:ascii="Times New Roman" w:hAnsi="Times New Roman" w:cs="Times New Roman"/>
          <w:sz w:val="22"/>
          <w:szCs w:val="22"/>
          <w:lang w:val="en-CA"/>
        </w:rPr>
        <w:tab/>
        <w:t>Bilateral and implementing agencies are requested, when submitting a request for the preparation of pilot projects to establish an atmospheric monitoring station, to provide an indication of the activities that need to be undertaken for pilot project preparation, with specific costs clearly identified.</w:t>
      </w:r>
    </w:p>
    <w:p w14:paraId="512B34C3" w14:textId="77777777" w:rsidR="00704F56" w:rsidRPr="00AC1484" w:rsidRDefault="00704F56" w:rsidP="00704F56">
      <w:pPr>
        <w:jc w:val="both"/>
        <w:rPr>
          <w:rFonts w:ascii="Times New Roman" w:hAnsi="Times New Roman" w:cs="Times New Roman"/>
          <w:sz w:val="22"/>
          <w:szCs w:val="22"/>
          <w:lang w:val="en-CA"/>
        </w:rPr>
        <w:sectPr w:rsidR="00704F56" w:rsidRPr="00AC1484" w:rsidSect="00014EA2">
          <w:headerReference w:type="even" r:id="rId19"/>
          <w:headerReference w:type="default" r:id="rId20"/>
          <w:headerReference w:type="first" r:id="rId21"/>
          <w:footerReference w:type="first" r:id="rId22"/>
          <w:pgSz w:w="12240" w:h="15840" w:code="1"/>
          <w:pgMar w:top="720" w:right="1440" w:bottom="864" w:left="1440" w:header="720" w:footer="475" w:gutter="0"/>
          <w:cols w:space="720"/>
          <w:titlePg/>
        </w:sectPr>
      </w:pPr>
    </w:p>
    <w:p w14:paraId="0193FB7A" w14:textId="77777777" w:rsidR="00704F56" w:rsidRPr="00AC1484" w:rsidRDefault="00704F56" w:rsidP="00A26819">
      <w:pPr>
        <w:keepNext/>
        <w:spacing w:after="120" w:line="240" w:lineRule="auto"/>
        <w:jc w:val="center"/>
        <w:rPr>
          <w:rFonts w:ascii="Times New Roman" w:hAnsi="Times New Roman" w:cs="Times New Roman"/>
          <w:b/>
          <w:bCs/>
          <w:sz w:val="22"/>
          <w:szCs w:val="22"/>
          <w:lang w:val="en-CA"/>
        </w:rPr>
      </w:pPr>
      <w:r w:rsidRPr="00AC1484">
        <w:rPr>
          <w:rFonts w:ascii="Times New Roman" w:hAnsi="Times New Roman" w:cs="Times New Roman"/>
          <w:b/>
          <w:bCs/>
          <w:sz w:val="22"/>
          <w:szCs w:val="22"/>
          <w:lang w:val="en-CA"/>
        </w:rPr>
        <w:lastRenderedPageBreak/>
        <w:t>Annex LXXI</w:t>
      </w:r>
    </w:p>
    <w:p w14:paraId="25233A9C" w14:textId="77777777" w:rsidR="00704F56" w:rsidRPr="00AC1484" w:rsidRDefault="00704F56" w:rsidP="00A26819">
      <w:pPr>
        <w:keepNext/>
        <w:spacing w:after="120" w:line="240" w:lineRule="auto"/>
        <w:jc w:val="center"/>
        <w:rPr>
          <w:rFonts w:ascii="Times New Roman" w:hAnsi="Times New Roman" w:cs="Times New Roman"/>
          <w:b/>
          <w:bCs/>
          <w:caps/>
          <w:sz w:val="22"/>
          <w:szCs w:val="22"/>
          <w:lang w:val="en-CA"/>
        </w:rPr>
      </w:pPr>
      <w:r w:rsidRPr="00AC1484">
        <w:rPr>
          <w:rFonts w:ascii="Times New Roman" w:hAnsi="Times New Roman" w:cs="Times New Roman"/>
          <w:b/>
          <w:bCs/>
          <w:caps/>
          <w:sz w:val="22"/>
          <w:szCs w:val="22"/>
          <w:lang w:val="en-CA"/>
        </w:rPr>
        <w:t>guidelines for THE IMPLEMENTATION OF pilot projects</w:t>
      </w:r>
      <w:r w:rsidRPr="00AC1484">
        <w:rPr>
          <w:rFonts w:ascii="Times New Roman" w:hAnsi="Times New Roman" w:cs="Times New Roman"/>
          <w:b/>
          <w:bCs/>
          <w:caps/>
          <w:sz w:val="22"/>
          <w:szCs w:val="22"/>
          <w:lang w:val="en-CA"/>
        </w:rPr>
        <w:br/>
        <w:t>to enhance regional atmospheric monitoring of substances</w:t>
      </w:r>
      <w:r w:rsidRPr="00AC1484">
        <w:rPr>
          <w:rFonts w:ascii="Times New Roman" w:hAnsi="Times New Roman" w:cs="Times New Roman"/>
          <w:b/>
          <w:bCs/>
          <w:caps/>
          <w:sz w:val="22"/>
          <w:szCs w:val="22"/>
          <w:lang w:val="en-CA"/>
        </w:rPr>
        <w:br/>
        <w:t>controlled by the Montreal Protocol</w:t>
      </w:r>
    </w:p>
    <w:p w14:paraId="538C2A7E" w14:textId="77777777" w:rsidR="00704F56" w:rsidRPr="005D2FCD" w:rsidRDefault="00704F56">
      <w:pPr>
        <w:pStyle w:val="ListParagraph"/>
        <w:numPr>
          <w:ilvl w:val="0"/>
          <w:numId w:val="8"/>
        </w:numPr>
        <w:tabs>
          <w:tab w:val="num" w:pos="0"/>
          <w:tab w:val="left" w:pos="709"/>
        </w:tabs>
        <w:spacing w:after="120" w:line="240" w:lineRule="auto"/>
        <w:ind w:left="0" w:firstLine="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 xml:space="preserve">Bilateral and implementing agencies are requested to ensure that the following information is included in proposals for pilot projects to establish an atmospheric monitoring station: </w:t>
      </w:r>
    </w:p>
    <w:p w14:paraId="4347157A"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A thorough description of the proposed site where the atmospheric monitoring station will be established, including local topography, surrounding land types (agricultural, forest, urban, etc.) and neighborhood environs, and existing infrastructure;</w:t>
      </w:r>
    </w:p>
    <w:p w14:paraId="190FC87B"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A detailed description of the scientific and technical capacity of local personnel who will maintain and operate the station, and analyze the resultant data;</w:t>
      </w:r>
    </w:p>
    <w:p w14:paraId="0D8AE463"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An assessment of the results of the flask sampling undertaken as part of the pilot project preparation demonstrating the suitability of the site and specifying the nature of monitoring to be undertaken;</w:t>
      </w:r>
    </w:p>
    <w:p w14:paraId="24686B4E"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A description of the costs to establish, maintain and operate the monitoring station, including related to the procurement of required equipment and instrumentation; improvements to or establishment of new infrastructure; compressed gases and calibration scale standards, and if relevant; maintenance; and personnel and other related costs;</w:t>
      </w:r>
    </w:p>
    <w:p w14:paraId="54E951CC"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 xml:space="preserve">A description of how the sustainability of the station, and the accessibility and quality of the measurements, including in relation to the use of stable, well-characterized calibration scales, and regular technical review will be ensured;  </w:t>
      </w:r>
    </w:p>
    <w:p w14:paraId="15F3DD5F"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A commitment from the Government concerned that the station would follow the principles of availability and accessibility of data described in paragraphs 20 to 22 of document UNEP/</w:t>
      </w:r>
      <w:proofErr w:type="spellStart"/>
      <w:r w:rsidRPr="005D2FCD">
        <w:rPr>
          <w:rFonts w:ascii="Times New Roman" w:hAnsi="Times New Roman" w:cs="Times New Roman"/>
          <w:b w:val="0"/>
          <w:bCs/>
          <w:sz w:val="22"/>
          <w:szCs w:val="22"/>
          <w:lang w:val="en-CA"/>
        </w:rPr>
        <w:t>OzL.Pro</w:t>
      </w:r>
      <w:proofErr w:type="spellEnd"/>
      <w:r w:rsidRPr="005D2FCD">
        <w:rPr>
          <w:rFonts w:ascii="Times New Roman" w:hAnsi="Times New Roman" w:cs="Times New Roman"/>
          <w:b w:val="0"/>
          <w:bCs/>
          <w:sz w:val="22"/>
          <w:szCs w:val="22"/>
          <w:lang w:val="en-CA"/>
        </w:rPr>
        <w:t xml:space="preserve">/ExCom/96/62; and </w:t>
      </w:r>
    </w:p>
    <w:p w14:paraId="47804C52" w14:textId="77777777" w:rsidR="00704F56" w:rsidRPr="005D2FCD" w:rsidRDefault="00704F56">
      <w:pPr>
        <w:pStyle w:val="Heading2"/>
        <w:keepNext w:val="0"/>
        <w:widowControl w:val="0"/>
        <w:numPr>
          <w:ilvl w:val="0"/>
          <w:numId w:val="9"/>
        </w:numPr>
        <w:spacing w:before="0" w:line="240" w:lineRule="auto"/>
        <w:ind w:hanging="731"/>
        <w:jc w:val="both"/>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A description of co-financing available from local institutions or the government for short and long-term viability of the station.</w:t>
      </w:r>
    </w:p>
    <w:p w14:paraId="1FFCB238" w14:textId="77777777" w:rsidR="00704F56" w:rsidRPr="005D2FCD" w:rsidRDefault="00704F56">
      <w:pPr>
        <w:pStyle w:val="ListParagraph"/>
        <w:numPr>
          <w:ilvl w:val="0"/>
          <w:numId w:val="8"/>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The establishment of an atmospheric monitoring station at sites with existing infrastructure and access to appropriate scientific and technical capacity to maintain and operate the station will be prioritized. However, proposals for sites lacking infrastructure may be considered if there is a strong scientific justification.</w:t>
      </w:r>
    </w:p>
    <w:p w14:paraId="3C4DCC4F" w14:textId="77777777" w:rsidR="00704F56" w:rsidRPr="005D2FCD" w:rsidRDefault="00704F56">
      <w:pPr>
        <w:pStyle w:val="ListParagraph"/>
        <w:numPr>
          <w:ilvl w:val="0"/>
          <w:numId w:val="8"/>
        </w:numPr>
        <w:tabs>
          <w:tab w:val="num" w:pos="0"/>
          <w:tab w:val="left" w:pos="709"/>
        </w:tabs>
        <w:spacing w:after="120" w:line="240" w:lineRule="auto"/>
        <w:ind w:left="0" w:firstLine="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Pilot projects to establish an atmospheric monitoring station to enhance regional atmospheric monitoring of substances controlled by the Montreal Protocol would only be considered that inter alia are:</w:t>
      </w:r>
    </w:p>
    <w:p w14:paraId="0FA3D4DC" w14:textId="77777777" w:rsidR="00704F56" w:rsidRPr="005D2FCD" w:rsidRDefault="00704F56">
      <w:pPr>
        <w:pStyle w:val="Heading2"/>
        <w:keepNext w:val="0"/>
        <w:widowControl w:val="0"/>
        <w:numPr>
          <w:ilvl w:val="0"/>
          <w:numId w:val="10"/>
        </w:numPr>
        <w:spacing w:before="0" w:line="240" w:lineRule="auto"/>
        <w:ind w:hanging="731"/>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In a region identified by the Advisory Committee of the Vienna Convention General Trust Fund that would provide a benefit through the establishment of an atmospheric monitoring station; and</w:t>
      </w:r>
    </w:p>
    <w:p w14:paraId="1B29AD74" w14:textId="77777777" w:rsidR="00704F56" w:rsidRPr="005D2FCD" w:rsidRDefault="00704F56">
      <w:pPr>
        <w:pStyle w:val="Heading2"/>
        <w:keepNext w:val="0"/>
        <w:widowControl w:val="0"/>
        <w:numPr>
          <w:ilvl w:val="0"/>
          <w:numId w:val="10"/>
        </w:numPr>
        <w:spacing w:before="0" w:line="240" w:lineRule="auto"/>
        <w:ind w:hanging="731"/>
        <w:rPr>
          <w:rFonts w:ascii="Times New Roman" w:hAnsi="Times New Roman" w:cs="Times New Roman"/>
          <w:b w:val="0"/>
          <w:bCs/>
          <w:sz w:val="22"/>
          <w:szCs w:val="22"/>
          <w:lang w:val="en-CA"/>
        </w:rPr>
      </w:pPr>
      <w:r w:rsidRPr="005D2FCD">
        <w:rPr>
          <w:rFonts w:ascii="Times New Roman" w:hAnsi="Times New Roman" w:cs="Times New Roman"/>
          <w:b w:val="0"/>
          <w:bCs/>
          <w:sz w:val="22"/>
          <w:szCs w:val="22"/>
          <w:lang w:val="en-CA"/>
        </w:rPr>
        <w:t>In an Article 5 country that committed to ensuring that the atmospheric monitoring station would follow the principles of availability and accessibility of data described in paragraphs 20 to 22 of document UNEP/</w:t>
      </w:r>
      <w:proofErr w:type="spellStart"/>
      <w:r w:rsidRPr="005D2FCD">
        <w:rPr>
          <w:rFonts w:ascii="Times New Roman" w:hAnsi="Times New Roman" w:cs="Times New Roman"/>
          <w:b w:val="0"/>
          <w:bCs/>
          <w:sz w:val="22"/>
          <w:szCs w:val="22"/>
          <w:lang w:val="en-CA"/>
        </w:rPr>
        <w:t>OzL.Pro</w:t>
      </w:r>
      <w:proofErr w:type="spellEnd"/>
      <w:r w:rsidRPr="005D2FCD">
        <w:rPr>
          <w:rFonts w:ascii="Times New Roman" w:hAnsi="Times New Roman" w:cs="Times New Roman"/>
          <w:b w:val="0"/>
          <w:bCs/>
          <w:sz w:val="22"/>
          <w:szCs w:val="22"/>
          <w:lang w:val="en-CA"/>
        </w:rPr>
        <w:t>/ExCom/96/62, including the Findability, Accessibility, Interoperability, and Reusability (FAIR) guiding principles for scientific data management and stewardship</w:t>
      </w:r>
      <w:r w:rsidRPr="005D2FCD">
        <w:rPr>
          <w:rFonts w:ascii="Times New Roman" w:hAnsi="Times New Roman" w:cs="Times New Roman"/>
          <w:b w:val="0"/>
          <w:bCs/>
          <w:sz w:val="22"/>
          <w:szCs w:val="22"/>
          <w:vertAlign w:val="superscript"/>
          <w:lang w:val="en-CA"/>
        </w:rPr>
        <w:footnoteReference w:id="2"/>
      </w:r>
      <w:r w:rsidRPr="005D2FCD">
        <w:rPr>
          <w:rFonts w:ascii="Times New Roman" w:hAnsi="Times New Roman" w:cs="Times New Roman"/>
          <w:b w:val="0"/>
          <w:bCs/>
          <w:sz w:val="22"/>
          <w:szCs w:val="22"/>
          <w:lang w:val="en-CA"/>
        </w:rPr>
        <w:t xml:space="preserve"> and open data availability and accessibility.</w:t>
      </w:r>
    </w:p>
    <w:p w14:paraId="28EFF117" w14:textId="77777777" w:rsidR="00704F56" w:rsidRPr="005D2FCD" w:rsidRDefault="00704F56">
      <w:pPr>
        <w:pStyle w:val="ListParagraph"/>
        <w:numPr>
          <w:ilvl w:val="0"/>
          <w:numId w:val="8"/>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 xml:space="preserve">Atmospheric monitoring stations would be provided incremental recurring costs (IRCs) for up to five years on a pilot basis and without prejudice to any subsequent decision the Executive Committee may take on the provision of IRCs, noting that the Executive Committee will review options for the duration and provision of IRCs at the 107th meeting of the Executive Committee. Atmospheric monitoring stations established in Article 5 countries with the support of the Vienna Convention General Trust Fund could be </w:t>
      </w:r>
      <w:r w:rsidRPr="005D2FCD">
        <w:rPr>
          <w:rFonts w:ascii="Times New Roman" w:hAnsi="Times New Roman" w:cs="Times New Roman"/>
          <w:sz w:val="22"/>
          <w:szCs w:val="22"/>
          <w:lang w:val="en-CA"/>
        </w:rPr>
        <w:lastRenderedPageBreak/>
        <w:t>eligible for IRCs on the same basis as monitoring stations established under the Multilateral Fund on the understanding that the maximum number of years for which support for their operation was provided was irrespective of whether that support was provided by the Vienna Convention General Trust Fund or the Multilateral Fund.</w:t>
      </w:r>
    </w:p>
    <w:p w14:paraId="1800D0CE" w14:textId="69CF0A12" w:rsidR="00220288" w:rsidRPr="005D2FCD" w:rsidRDefault="00704F56">
      <w:pPr>
        <w:pStyle w:val="ListParagraph"/>
        <w:numPr>
          <w:ilvl w:val="0"/>
          <w:numId w:val="8"/>
        </w:numPr>
        <w:tabs>
          <w:tab w:val="num" w:pos="0"/>
          <w:tab w:val="left" w:pos="709"/>
        </w:tabs>
        <w:spacing w:after="120" w:line="240" w:lineRule="auto"/>
        <w:ind w:left="0" w:firstLine="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 xml:space="preserve">The Secretariat will assess the costs to establish an atmospheric monitoring station </w:t>
      </w:r>
      <w:proofErr w:type="gramStart"/>
      <w:r w:rsidRPr="005D2FCD">
        <w:rPr>
          <w:rFonts w:ascii="Times New Roman" w:hAnsi="Times New Roman" w:cs="Times New Roman"/>
          <w:sz w:val="22"/>
          <w:szCs w:val="22"/>
          <w:lang w:val="en-CA"/>
        </w:rPr>
        <w:t>in light of</w:t>
      </w:r>
      <w:proofErr w:type="gramEnd"/>
      <w:r w:rsidRPr="005D2FCD">
        <w:rPr>
          <w:rFonts w:ascii="Times New Roman" w:hAnsi="Times New Roman" w:cs="Times New Roman"/>
          <w:sz w:val="22"/>
          <w:szCs w:val="22"/>
          <w:lang w:val="en-CA"/>
        </w:rPr>
        <w:t xml:space="preserve"> the financial model prepared by the Ozone Secretariat for the Thirty Eighth Meeting of the Parties, advice from the Advisory Committee of the Vienna Convention General Trust Fund, and other relevant information.</w:t>
      </w:r>
    </w:p>
    <w:p w14:paraId="1CF122C1" w14:textId="2152E928" w:rsidR="00704F56" w:rsidRPr="005D2FCD" w:rsidRDefault="00220288" w:rsidP="00220288">
      <w:pPr>
        <w:spacing w:after="0" w:line="240" w:lineRule="auto"/>
        <w:rPr>
          <w:rFonts w:ascii="Times New Roman" w:hAnsi="Times New Roman" w:cs="Times New Roman"/>
          <w:sz w:val="22"/>
          <w:szCs w:val="22"/>
          <w:lang w:val="en-CA"/>
        </w:rPr>
      </w:pPr>
      <w:r w:rsidRPr="005D2FCD">
        <w:rPr>
          <w:rFonts w:ascii="Times New Roman" w:hAnsi="Times New Roman" w:cs="Times New Roman"/>
          <w:sz w:val="22"/>
          <w:szCs w:val="22"/>
          <w:lang w:val="en-CA"/>
        </w:rPr>
        <w:br w:type="page"/>
      </w:r>
    </w:p>
    <w:p w14:paraId="337FD98A" w14:textId="77777777" w:rsidR="00364725" w:rsidRPr="00364725" w:rsidRDefault="00364725" w:rsidP="00364725">
      <w:pPr>
        <w:tabs>
          <w:tab w:val="center" w:pos="4680"/>
          <w:tab w:val="left" w:pos="6230"/>
        </w:tabs>
        <w:spacing w:after="120" w:line="240" w:lineRule="auto"/>
        <w:jc w:val="center"/>
        <w:rPr>
          <w:rFonts w:ascii="Times New Roman" w:hAnsi="Times New Roman" w:cs="Times New Roman"/>
          <w:b/>
          <w:bCs/>
          <w:sz w:val="22"/>
          <w:szCs w:val="22"/>
          <w:lang w:val="en-CA"/>
        </w:rPr>
      </w:pPr>
      <w:r w:rsidRPr="00364725">
        <w:rPr>
          <w:rFonts w:ascii="Times New Roman" w:hAnsi="Times New Roman" w:cs="Times New Roman"/>
          <w:b/>
          <w:bCs/>
          <w:sz w:val="22"/>
          <w:szCs w:val="22"/>
          <w:lang w:val="en-CA"/>
        </w:rPr>
        <w:lastRenderedPageBreak/>
        <w:t>Annex LXXII</w:t>
      </w:r>
    </w:p>
    <w:p w14:paraId="4AC95C86" w14:textId="77777777" w:rsidR="00364725" w:rsidRPr="00364725" w:rsidRDefault="00364725" w:rsidP="00364725">
      <w:pPr>
        <w:shd w:val="clear" w:color="auto" w:fill="FFFFFF"/>
        <w:spacing w:after="120" w:line="240" w:lineRule="auto"/>
        <w:jc w:val="center"/>
        <w:rPr>
          <w:rFonts w:ascii="Times New Roman" w:hAnsi="Times New Roman" w:cs="Times New Roman"/>
          <w:b/>
          <w:sz w:val="22"/>
          <w:szCs w:val="22"/>
          <w:lang w:val="en-CA"/>
        </w:rPr>
      </w:pPr>
      <w:r w:rsidRPr="00364725">
        <w:rPr>
          <w:rFonts w:ascii="Times New Roman" w:hAnsi="Times New Roman" w:cs="Times New Roman"/>
          <w:b/>
          <w:sz w:val="22"/>
          <w:szCs w:val="22"/>
          <w:lang w:val="en-CA"/>
        </w:rPr>
        <w:t>TEMPLATE</w:t>
      </w:r>
    </w:p>
    <w:p w14:paraId="29EF4EE8" w14:textId="77777777" w:rsidR="00364725" w:rsidRPr="00364725" w:rsidRDefault="00364725" w:rsidP="00364725">
      <w:pPr>
        <w:shd w:val="clear" w:color="auto" w:fill="FFFFFF"/>
        <w:spacing w:after="120" w:line="240" w:lineRule="auto"/>
        <w:jc w:val="center"/>
        <w:rPr>
          <w:rFonts w:ascii="Times New Roman" w:hAnsi="Times New Roman" w:cs="Times New Roman"/>
          <w:b/>
          <w:sz w:val="22"/>
          <w:szCs w:val="22"/>
          <w:lang w:val="en-CA"/>
        </w:rPr>
      </w:pPr>
      <w:r w:rsidRPr="00364725">
        <w:rPr>
          <w:rFonts w:ascii="Times New Roman" w:hAnsi="Times New Roman" w:cs="Times New Roman"/>
          <w:b/>
          <w:sz w:val="22"/>
          <w:szCs w:val="22"/>
          <w:lang w:val="en-CA"/>
        </w:rPr>
        <w:t xml:space="preserve">DRAFT AGREEMENT BETWEEN THE GOVERNMENT OF </w:t>
      </w:r>
      <w:r w:rsidRPr="00364725">
        <w:rPr>
          <w:rFonts w:ascii="Times New Roman" w:hAnsi="Times New Roman" w:cs="Times New Roman"/>
          <w:b/>
          <w:sz w:val="22"/>
          <w:szCs w:val="22"/>
          <w:highlight w:val="lightGray"/>
          <w:lang w:val="en-CA"/>
        </w:rPr>
        <w:t>[COUNTRY]</w:t>
      </w:r>
      <w:r w:rsidRPr="00364725">
        <w:rPr>
          <w:rFonts w:ascii="Times New Roman" w:hAnsi="Times New Roman" w:cs="Times New Roman"/>
          <w:b/>
          <w:sz w:val="22"/>
          <w:szCs w:val="22"/>
          <w:lang w:val="en-CA"/>
        </w:rPr>
        <w:t xml:space="preserve"> AND THE EXECUTIVE COMMITTEE OF THE MULTILATERAL FUND TO ENHANCE REGIONAL ATMOSPHERIC MONITORING IN ACCORDANCE WITH THE PILOT PROJECT TO ESTABLISH AND OPERATE A STATION TO MONITOR THE ATMOSPHERIC ABUNDANCES OF SUBSTANCES CONTROLLED BY THE MONTREAL PROTOCOL</w:t>
      </w:r>
    </w:p>
    <w:p w14:paraId="5CB2E608" w14:textId="77777777" w:rsidR="00364725" w:rsidRPr="005D2FCD" w:rsidRDefault="00364725" w:rsidP="00364725">
      <w:pPr>
        <w:keepNext/>
        <w:shd w:val="clear" w:color="auto" w:fill="FFFFFF"/>
        <w:spacing w:after="120" w:line="240" w:lineRule="auto"/>
        <w:jc w:val="both"/>
        <w:rPr>
          <w:rFonts w:ascii="Times New Roman" w:hAnsi="Times New Roman" w:cs="Times New Roman"/>
          <w:b/>
          <w:sz w:val="22"/>
          <w:szCs w:val="22"/>
          <w:lang w:val="en-CA"/>
        </w:rPr>
      </w:pPr>
      <w:r w:rsidRPr="005D2FCD">
        <w:rPr>
          <w:rFonts w:ascii="Times New Roman" w:hAnsi="Times New Roman" w:cs="Times New Roman"/>
          <w:b/>
          <w:sz w:val="22"/>
          <w:szCs w:val="22"/>
          <w:lang w:val="en-CA"/>
        </w:rPr>
        <w:t>Purpose</w:t>
      </w:r>
    </w:p>
    <w:p w14:paraId="562FB33F"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 xml:space="preserve">This Agreement represents the understanding of the Government of [country] (“the Country”) and the Executive Committee with respect to the establishment and operation of a station to monitor the atmospheric abundance of substances controlled under the Montreal </w:t>
      </w:r>
      <w:bookmarkStart w:id="6" w:name="_Hlk128135089"/>
      <w:r w:rsidRPr="005D2FCD">
        <w:rPr>
          <w:rFonts w:ascii="Times New Roman" w:hAnsi="Times New Roman" w:cs="Times New Roman"/>
          <w:sz w:val="22"/>
          <w:szCs w:val="22"/>
          <w:lang w:val="en-CA"/>
        </w:rPr>
        <w:t>Protocol.</w:t>
      </w:r>
      <w:bookmarkEnd w:id="6"/>
      <w:r w:rsidRPr="005D2FCD">
        <w:rPr>
          <w:rFonts w:ascii="Times New Roman" w:hAnsi="Times New Roman" w:cs="Times New Roman"/>
          <w:sz w:val="22"/>
          <w:szCs w:val="22"/>
          <w:lang w:val="en-CA"/>
        </w:rPr>
        <w:t xml:space="preserve"> The Country agrees to ensure that the atmospheric monitoring station will follow the principles of availability and accessibility of data described in document UNEP/</w:t>
      </w:r>
      <w:proofErr w:type="spellStart"/>
      <w:r w:rsidRPr="005D2FCD">
        <w:rPr>
          <w:rFonts w:ascii="Times New Roman" w:hAnsi="Times New Roman" w:cs="Times New Roman"/>
          <w:sz w:val="22"/>
          <w:szCs w:val="22"/>
          <w:lang w:val="en-CA"/>
        </w:rPr>
        <w:t>OzL.Pro</w:t>
      </w:r>
      <w:proofErr w:type="spellEnd"/>
      <w:r w:rsidRPr="005D2FCD">
        <w:rPr>
          <w:rFonts w:ascii="Times New Roman" w:hAnsi="Times New Roman" w:cs="Times New Roman"/>
          <w:sz w:val="22"/>
          <w:szCs w:val="22"/>
          <w:lang w:val="en-CA"/>
        </w:rPr>
        <w:t>/ExCom/96/62, including an open data policy and the Findability, Accessibility, Interoperability, and Reusability (FAIR) guiding principles for scientific data management and stewardship.</w:t>
      </w:r>
    </w:p>
    <w:p w14:paraId="7EFC58C4"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Subject to compliance by the Country with its obligations set out in this Agreement, the Executive Committee agrees, in principle, to provide the funding set out in row 2.1 of Appendix 1-A (“Funding”) to the Country. The Executive Committee will, in principle, provide this funding at the Executive Committee meetings specified in Appendix 2-A (“Funding Approval Schedule”). The Country agrees to implement this Agreement in accordance with the pilot project to establish and operate a station to monitor the atmospheric abundance of substances controlled by the Montreal Protocol (“the Plan”) as approved.</w:t>
      </w:r>
    </w:p>
    <w:p w14:paraId="31E65216" w14:textId="77777777" w:rsidR="00364725" w:rsidRPr="005D2FCD" w:rsidRDefault="00364725" w:rsidP="00364725">
      <w:pPr>
        <w:keepNext/>
        <w:spacing w:after="120" w:line="240" w:lineRule="auto"/>
        <w:jc w:val="both"/>
        <w:rPr>
          <w:rFonts w:ascii="Times New Roman" w:hAnsi="Times New Roman" w:cs="Times New Roman"/>
          <w:b/>
          <w:sz w:val="22"/>
          <w:szCs w:val="22"/>
          <w:lang w:val="en-CA"/>
        </w:rPr>
      </w:pPr>
      <w:r w:rsidRPr="005D2FCD">
        <w:rPr>
          <w:rFonts w:ascii="Times New Roman" w:hAnsi="Times New Roman" w:cs="Times New Roman"/>
          <w:b/>
          <w:sz w:val="22"/>
          <w:szCs w:val="22"/>
          <w:lang w:val="en-CA"/>
        </w:rPr>
        <w:t>Conditions for funding release</w:t>
      </w:r>
    </w:p>
    <w:p w14:paraId="6BE7EBA2"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The Executive Committee will provide the Funding, in accordance with the Funding Approval Schedule, when the Country demonstrates, at least 10 weeks in advance of the applicable Executive Committee meeting set out in the Funding Approval Schedule, that the atmospheric monitoring station followed the principles of availability and accessibility of data described in paragraph 1 above for all relevant years; and that the rate of disbursement of funding available from the previously approved tranche was more than 20 per cent.</w:t>
      </w:r>
    </w:p>
    <w:p w14:paraId="3B47974B" w14:textId="77777777" w:rsidR="00364725" w:rsidRPr="005D2FCD" w:rsidRDefault="00364725" w:rsidP="00364725">
      <w:pPr>
        <w:keepNext/>
        <w:spacing w:after="120" w:line="240" w:lineRule="auto"/>
        <w:jc w:val="both"/>
        <w:rPr>
          <w:rFonts w:ascii="Times New Roman" w:hAnsi="Times New Roman" w:cs="Times New Roman"/>
          <w:b/>
          <w:sz w:val="22"/>
          <w:szCs w:val="22"/>
          <w:lang w:val="en-CA"/>
        </w:rPr>
      </w:pPr>
      <w:r w:rsidRPr="005D2FCD">
        <w:rPr>
          <w:rFonts w:ascii="Times New Roman" w:hAnsi="Times New Roman" w:cs="Times New Roman"/>
          <w:b/>
          <w:sz w:val="22"/>
          <w:szCs w:val="22"/>
          <w:lang w:val="en-CA"/>
        </w:rPr>
        <w:t>Implementation, monitoring and reporting</w:t>
      </w:r>
    </w:p>
    <w:p w14:paraId="4483F263"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The Country agrees to assume overall responsibility for the management and implementation of this Agreement and of all activities undertaken by it or on its behalf to fulfil the obligations under this Agreement. [IA] has agreed to be the implementing agency (the “IA”) in respect of the Country’s activities under this Agreement. The Country agrees to evaluations, which might be carried out under the evaluation work programmes of the Multilateral Fund or under the evaluation programme of the IA. The Country and IA will take into consideration relevant decisions of the Executive Committee that take effect during the implementation of the Plan.</w:t>
      </w:r>
    </w:p>
    <w:p w14:paraId="14F68726"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 xml:space="preserve">The Country will ensure that it conducts accurate monitoring of its activities under this Agreement. The institutions set out in Appendix 3-A (“Monitoring Institutions and Roles”) will monitor and report on the implementation of the activities in the previous Tranche Implementation Plans in accordance with their </w:t>
      </w:r>
      <w:bookmarkStart w:id="7" w:name="_Hlk128740135"/>
      <w:r w:rsidRPr="005D2FCD">
        <w:rPr>
          <w:rFonts w:ascii="Times New Roman" w:hAnsi="Times New Roman" w:cs="Times New Roman"/>
          <w:sz w:val="22"/>
          <w:szCs w:val="22"/>
          <w:lang w:val="en-CA"/>
        </w:rPr>
        <w:t>roles and responsibilities set out in the same appendix.</w:t>
      </w:r>
    </w:p>
    <w:p w14:paraId="50AB85B6"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The IA will be responsible for ensuring coordinated planning, implementation and reporting of all activities under this Agreement. The Executive Committee agrees, in principle, to provide the IA with the fees set out in row 1.2 of Appendix 1</w:t>
      </w:r>
      <w:r w:rsidRPr="005D2FCD">
        <w:rPr>
          <w:rFonts w:ascii="Times New Roman" w:hAnsi="Times New Roman" w:cs="Times New Roman"/>
          <w:sz w:val="22"/>
          <w:szCs w:val="22"/>
          <w:lang w:val="en-CA"/>
        </w:rPr>
        <w:noBreakHyphen/>
        <w:t>A.</w:t>
      </w:r>
    </w:p>
    <w:p w14:paraId="5F3566D7"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r w:rsidRPr="005D2FCD">
        <w:rPr>
          <w:rFonts w:ascii="Times New Roman" w:hAnsi="Times New Roman" w:cs="Times New Roman"/>
          <w:sz w:val="22"/>
          <w:szCs w:val="22"/>
          <w:lang w:val="en-CA"/>
        </w:rPr>
        <w:t>The submission of each tranche request will consist of three parts: a brief executive summary, a Tranche Implementation Report, and a Tranche Implementation Plan. The Tranche Implementation Report will provide data, separated by tranche, describing the progress achieved since the previous report, including the status of the monitoring station, the availability and accessibility of data, whether scientific articles had been published in the peer-reviewed scientific literature based on data from the station, any capacity</w:t>
      </w:r>
      <w:r w:rsidRPr="005D2FCD">
        <w:rPr>
          <w:rFonts w:ascii="Times New Roman" w:hAnsi="Times New Roman" w:cs="Times New Roman"/>
          <w:sz w:val="22"/>
          <w:szCs w:val="22"/>
          <w:lang w:val="en-CA"/>
        </w:rPr>
        <w:noBreakHyphen/>
        <w:t xml:space="preserve">building activities completed by personnel at the station, quantitative information on the activities implemented, successes and challenges, and information on changes, delays, or the use of flexibility for the reallocation of </w:t>
      </w:r>
      <w:r w:rsidRPr="005D2FCD">
        <w:rPr>
          <w:rFonts w:ascii="Times New Roman" w:hAnsi="Times New Roman" w:cs="Times New Roman"/>
          <w:sz w:val="22"/>
          <w:szCs w:val="22"/>
          <w:lang w:val="en-CA"/>
        </w:rPr>
        <w:lastRenderedPageBreak/>
        <w:t>funds described in paragraph 9. The Tranche Implementation Plan will provide a description of the activities to be undertaken during the period covered by the requested tranche, including quantitative information, implementation milestones, the date of completion, and the interdependence of the activities, as well as scientific advice received from the Advisory Committee and how this advice was taken up in project implementation.</w:t>
      </w:r>
    </w:p>
    <w:p w14:paraId="1EB72A23" w14:textId="77777777" w:rsidR="00364725" w:rsidRPr="005D2FCD"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2"/>
          <w:szCs w:val="22"/>
          <w:lang w:val="en-CA"/>
        </w:rPr>
      </w:pPr>
      <w:bookmarkStart w:id="8" w:name="_Hlk130666479"/>
      <w:r w:rsidRPr="005D2FCD">
        <w:rPr>
          <w:rFonts w:ascii="Times New Roman" w:hAnsi="Times New Roman" w:cs="Times New Roman"/>
          <w:sz w:val="22"/>
          <w:szCs w:val="22"/>
          <w:lang w:val="en-CA"/>
        </w:rPr>
        <w:t>The Country will comply with any reasonable request of the Executive Committee and the IA to facilitate implementation of this Agreement. In the case of non</w:t>
      </w:r>
      <w:r w:rsidRPr="005D2FCD">
        <w:rPr>
          <w:rFonts w:ascii="Times New Roman" w:hAnsi="Times New Roman" w:cs="Times New Roman"/>
          <w:sz w:val="22"/>
          <w:szCs w:val="22"/>
          <w:lang w:val="en-CA"/>
        </w:rPr>
        <w:noBreakHyphen/>
        <w:t xml:space="preserve">compliance, the Executive Committee will discuss each specific case in which the Country did not comply with this Agreement and take related decisions. </w:t>
      </w:r>
    </w:p>
    <w:p w14:paraId="73D846FF" w14:textId="77777777" w:rsidR="00364725" w:rsidRPr="00364725" w:rsidRDefault="00364725" w:rsidP="00364725">
      <w:pPr>
        <w:keepNext/>
        <w:spacing w:after="120" w:line="240" w:lineRule="auto"/>
        <w:jc w:val="both"/>
        <w:rPr>
          <w:rFonts w:ascii="Times New Roman" w:hAnsi="Times New Roman" w:cs="Times New Roman"/>
          <w:b/>
          <w:sz w:val="20"/>
          <w:szCs w:val="20"/>
          <w:lang w:val="en-CA"/>
        </w:rPr>
      </w:pPr>
      <w:r w:rsidRPr="00364725">
        <w:rPr>
          <w:rFonts w:ascii="Times New Roman" w:hAnsi="Times New Roman" w:cs="Times New Roman"/>
          <w:b/>
          <w:sz w:val="20"/>
          <w:szCs w:val="20"/>
          <w:lang w:val="en-CA"/>
        </w:rPr>
        <w:t>Flexibility in the reallocation of funds</w:t>
      </w:r>
    </w:p>
    <w:bookmarkEnd w:id="8"/>
    <w:p w14:paraId="4B288D03" w14:textId="77777777" w:rsidR="00364725" w:rsidRPr="00364725"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0"/>
          <w:szCs w:val="20"/>
          <w:lang w:val="en-CA"/>
        </w:rPr>
      </w:pPr>
      <w:r w:rsidRPr="00364725">
        <w:rPr>
          <w:rFonts w:ascii="Times New Roman" w:hAnsi="Times New Roman" w:cs="Times New Roman"/>
          <w:sz w:val="20"/>
          <w:szCs w:val="20"/>
          <w:lang w:val="en-CA"/>
        </w:rPr>
        <w:t>The Executive Committee agrees that the Country may have the flexibility to reallocate up to 30 per cent of the last approved tranche, according to the evolving circumstances, to achieve the smoothest operation of the atmospheric monitoring station</w:t>
      </w:r>
      <w:bookmarkStart w:id="9" w:name="_Hlk130666540"/>
      <w:r w:rsidRPr="00364725">
        <w:rPr>
          <w:rFonts w:ascii="Times New Roman" w:hAnsi="Times New Roman" w:cs="Times New Roman"/>
          <w:sz w:val="20"/>
          <w:szCs w:val="20"/>
          <w:lang w:val="en-CA"/>
        </w:rPr>
        <w:t xml:space="preserve"> and address specific needs that might arise during project implementation. </w:t>
      </w:r>
      <w:bookmarkEnd w:id="7"/>
      <w:bookmarkEnd w:id="9"/>
      <w:r w:rsidRPr="00364725">
        <w:rPr>
          <w:rFonts w:ascii="Times New Roman" w:hAnsi="Times New Roman" w:cs="Times New Roman"/>
          <w:sz w:val="20"/>
          <w:szCs w:val="20"/>
          <w:lang w:val="en-CA"/>
        </w:rPr>
        <w:t>Reallocations categorized as major changes will be documented at least 10 weeks prior to any meeting of the Executive Committee for its approval. Any remaining funds held by the IA or the Country under the Plan will be returned to the Multilateral Fund upon completion of the last tranche foreseen under this Agreement or upon cancellation of the project. Limited-time no-cost extensions will be considered on a case-by-case basis if a strong justification is provided by the Country (see paragraph 10 below).</w:t>
      </w:r>
    </w:p>
    <w:p w14:paraId="6DB686FA" w14:textId="77777777" w:rsidR="00364725" w:rsidRPr="00364725" w:rsidRDefault="00364725" w:rsidP="00364725">
      <w:pPr>
        <w:keepNext/>
        <w:spacing w:after="120" w:line="240" w:lineRule="auto"/>
        <w:jc w:val="both"/>
        <w:rPr>
          <w:rFonts w:ascii="Times New Roman" w:hAnsi="Times New Roman" w:cs="Times New Roman"/>
          <w:b/>
          <w:sz w:val="20"/>
          <w:szCs w:val="20"/>
          <w:lang w:val="en-CA"/>
        </w:rPr>
      </w:pPr>
      <w:r w:rsidRPr="00364725">
        <w:rPr>
          <w:rFonts w:ascii="Times New Roman" w:hAnsi="Times New Roman" w:cs="Times New Roman"/>
          <w:b/>
          <w:sz w:val="20"/>
          <w:szCs w:val="20"/>
          <w:lang w:val="en-CA"/>
        </w:rPr>
        <w:t>Date of completion</w:t>
      </w:r>
    </w:p>
    <w:p w14:paraId="0E650B53" w14:textId="77777777" w:rsidR="00364725" w:rsidRPr="00364725"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0"/>
          <w:szCs w:val="20"/>
          <w:lang w:val="en-CA"/>
        </w:rPr>
      </w:pPr>
      <w:r w:rsidRPr="00364725">
        <w:rPr>
          <w:rFonts w:ascii="Times New Roman" w:hAnsi="Times New Roman" w:cs="Times New Roman"/>
          <w:sz w:val="20"/>
          <w:szCs w:val="20"/>
          <w:lang w:val="en-CA"/>
        </w:rPr>
        <w:t>The completion of the Plan and the associated Agreement will take place at the end of the year following the last year specified in Appendix 1</w:t>
      </w:r>
      <w:r w:rsidRPr="00364725">
        <w:rPr>
          <w:rFonts w:ascii="Times New Roman" w:hAnsi="Times New Roman" w:cs="Times New Roman"/>
          <w:sz w:val="20"/>
          <w:szCs w:val="20"/>
          <w:lang w:val="en-CA"/>
        </w:rPr>
        <w:noBreakHyphen/>
        <w:t>A. Should at that time there still be activities that are outstanding, and which had been reported in the last tranche request or documented in accordance with paragraph 7 above, the completion of the Plan will be delayed until the end of the year following the implementation of the remaining activities. The reporting requirements of this Agreement will continue until the time of the completion of the Plan unless otherwise specified by the Executive Committee.</w:t>
      </w:r>
      <w:bookmarkStart w:id="10" w:name="_Hlk130668684"/>
    </w:p>
    <w:bookmarkEnd w:id="10"/>
    <w:p w14:paraId="55703536" w14:textId="77777777" w:rsidR="00364725" w:rsidRPr="00364725" w:rsidRDefault="00364725" w:rsidP="00364725">
      <w:pPr>
        <w:keepNext/>
        <w:spacing w:after="120" w:line="240" w:lineRule="auto"/>
        <w:jc w:val="both"/>
        <w:rPr>
          <w:rFonts w:ascii="Times New Roman" w:hAnsi="Times New Roman" w:cs="Times New Roman"/>
          <w:b/>
          <w:sz w:val="20"/>
          <w:szCs w:val="20"/>
          <w:lang w:val="en-CA"/>
        </w:rPr>
      </w:pPr>
      <w:r w:rsidRPr="00364725">
        <w:rPr>
          <w:rFonts w:ascii="Times New Roman" w:hAnsi="Times New Roman" w:cs="Times New Roman"/>
          <w:b/>
          <w:sz w:val="20"/>
          <w:szCs w:val="20"/>
          <w:lang w:val="en-CA"/>
        </w:rPr>
        <w:t>Disposition of equipment</w:t>
      </w:r>
    </w:p>
    <w:p w14:paraId="4CB62C16" w14:textId="77777777" w:rsidR="00364725" w:rsidRPr="00364725" w:rsidRDefault="00364725">
      <w:pPr>
        <w:pStyle w:val="ListParagraph"/>
        <w:numPr>
          <w:ilvl w:val="0"/>
          <w:numId w:val="11"/>
        </w:numPr>
        <w:tabs>
          <w:tab w:val="num" w:pos="0"/>
          <w:tab w:val="left" w:pos="709"/>
        </w:tabs>
        <w:spacing w:after="120" w:line="240" w:lineRule="auto"/>
        <w:ind w:left="0" w:firstLine="0"/>
        <w:contextualSpacing w:val="0"/>
        <w:jc w:val="both"/>
        <w:outlineLvl w:val="0"/>
        <w:rPr>
          <w:rFonts w:ascii="Times New Roman" w:hAnsi="Times New Roman" w:cs="Times New Roman"/>
          <w:sz w:val="20"/>
          <w:szCs w:val="20"/>
          <w:lang w:val="en-CA"/>
        </w:rPr>
      </w:pPr>
      <w:r w:rsidRPr="00364725">
        <w:rPr>
          <w:rFonts w:ascii="Times New Roman" w:hAnsi="Times New Roman" w:cs="Times New Roman"/>
          <w:sz w:val="20"/>
          <w:szCs w:val="20"/>
          <w:lang w:val="en-CA"/>
        </w:rPr>
        <w:t xml:space="preserve">The Country agrees to return all equipment procured by the Multilateral Fund in case a monitoring station ceases to operate, ceases to make data available, or if </w:t>
      </w:r>
      <w:proofErr w:type="gramStart"/>
      <w:r w:rsidRPr="00364725">
        <w:rPr>
          <w:rFonts w:ascii="Times New Roman" w:hAnsi="Times New Roman" w:cs="Times New Roman"/>
          <w:sz w:val="20"/>
          <w:szCs w:val="20"/>
          <w:lang w:val="en-CA"/>
        </w:rPr>
        <w:t>so-requested</w:t>
      </w:r>
      <w:proofErr w:type="gramEnd"/>
      <w:r w:rsidRPr="00364725">
        <w:rPr>
          <w:rFonts w:ascii="Times New Roman" w:hAnsi="Times New Roman" w:cs="Times New Roman"/>
          <w:sz w:val="20"/>
          <w:szCs w:val="20"/>
          <w:lang w:val="en-CA"/>
        </w:rPr>
        <w:t xml:space="preserve"> by the Executive Committee.</w:t>
      </w:r>
    </w:p>
    <w:p w14:paraId="03C62F2C" w14:textId="77777777" w:rsidR="00364725" w:rsidRDefault="00364725" w:rsidP="00364725">
      <w:pPr>
        <w:rPr>
          <w:b/>
          <w:sz w:val="22"/>
          <w:szCs w:val="22"/>
          <w:lang w:val="en-CA"/>
        </w:rPr>
      </w:pPr>
      <w:r>
        <w:rPr>
          <w:b/>
          <w:sz w:val="22"/>
          <w:szCs w:val="22"/>
          <w:lang w:val="en-CA"/>
        </w:rPr>
        <w:br w:type="page"/>
      </w:r>
    </w:p>
    <w:p w14:paraId="6E8F8C17" w14:textId="77777777" w:rsidR="00062D1A" w:rsidRPr="00AC1484" w:rsidRDefault="00062D1A" w:rsidP="00623D86">
      <w:pPr>
        <w:keepNext/>
        <w:tabs>
          <w:tab w:val="left" w:pos="3544"/>
        </w:tabs>
        <w:spacing w:after="120" w:line="240" w:lineRule="auto"/>
        <w:jc w:val="both"/>
        <w:outlineLvl w:val="0"/>
        <w:rPr>
          <w:rFonts w:ascii="Times New Roman" w:hAnsi="Times New Roman" w:cs="Times New Roman"/>
          <w:b/>
          <w:sz w:val="22"/>
          <w:szCs w:val="22"/>
          <w:lang w:val="en-CA"/>
        </w:rPr>
      </w:pPr>
      <w:r w:rsidRPr="00AC1484">
        <w:rPr>
          <w:rFonts w:ascii="Times New Roman" w:hAnsi="Times New Roman" w:cs="Times New Roman"/>
          <w:b/>
          <w:sz w:val="22"/>
          <w:szCs w:val="22"/>
          <w:lang w:val="en-CA"/>
        </w:rPr>
        <w:lastRenderedPageBreak/>
        <w:t>APPENDICES</w:t>
      </w:r>
    </w:p>
    <w:p w14:paraId="13FE310A" w14:textId="77777777" w:rsidR="00062D1A" w:rsidRPr="00AC1484" w:rsidRDefault="00062D1A" w:rsidP="00623D86">
      <w:pPr>
        <w:keepNext/>
        <w:spacing w:after="120" w:line="240" w:lineRule="auto"/>
        <w:jc w:val="both"/>
        <w:outlineLvl w:val="0"/>
        <w:rPr>
          <w:rFonts w:ascii="Times New Roman" w:hAnsi="Times New Roman" w:cs="Times New Roman"/>
          <w:b/>
          <w:sz w:val="22"/>
          <w:szCs w:val="22"/>
          <w:lang w:val="en-CA"/>
        </w:rPr>
      </w:pPr>
      <w:r w:rsidRPr="00AC1484">
        <w:rPr>
          <w:rFonts w:ascii="Times New Roman" w:hAnsi="Times New Roman" w:cs="Times New Roman"/>
          <w:b/>
          <w:sz w:val="22"/>
          <w:szCs w:val="22"/>
          <w:lang w:val="en-CA"/>
        </w:rPr>
        <w:t>APPENDIX 1-A: FUNDING</w:t>
      </w:r>
    </w:p>
    <w:tbl>
      <w:tblPr>
        <w:tblW w:w="5000" w:type="pct"/>
        <w:jc w:val="center"/>
        <w:tblCellMar>
          <w:left w:w="85" w:type="dxa"/>
          <w:right w:w="85" w:type="dxa"/>
        </w:tblCellMar>
        <w:tblLook w:val="04A0" w:firstRow="1" w:lastRow="0" w:firstColumn="1" w:lastColumn="0" w:noHBand="0" w:noVBand="1"/>
      </w:tblPr>
      <w:tblGrid>
        <w:gridCol w:w="637"/>
        <w:gridCol w:w="3117"/>
        <w:gridCol w:w="952"/>
        <w:gridCol w:w="952"/>
        <w:gridCol w:w="953"/>
        <w:gridCol w:w="953"/>
        <w:gridCol w:w="953"/>
        <w:gridCol w:w="953"/>
      </w:tblGrid>
      <w:tr w:rsidR="00062D1A" w:rsidRPr="00AC1484" w14:paraId="311577C9" w14:textId="77777777" w:rsidTr="0074519A">
        <w:trPr>
          <w:trHeight w:val="113"/>
          <w:tblHeader/>
          <w:jc w:val="center"/>
        </w:trPr>
        <w:tc>
          <w:tcPr>
            <w:tcW w:w="336" w:type="pct"/>
            <w:tcBorders>
              <w:top w:val="single" w:sz="4" w:space="0" w:color="auto"/>
              <w:left w:val="single" w:sz="4" w:space="0" w:color="auto"/>
              <w:bottom w:val="single" w:sz="4" w:space="0" w:color="auto"/>
              <w:right w:val="single" w:sz="4" w:space="0" w:color="auto"/>
            </w:tcBorders>
            <w:vAlign w:val="center"/>
            <w:hideMark/>
          </w:tcPr>
          <w:p w14:paraId="19AC08A7"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Row</w:t>
            </w:r>
          </w:p>
        </w:tc>
        <w:tc>
          <w:tcPr>
            <w:tcW w:w="1646" w:type="pct"/>
            <w:tcBorders>
              <w:top w:val="single" w:sz="4" w:space="0" w:color="auto"/>
              <w:left w:val="single" w:sz="4" w:space="0" w:color="auto"/>
              <w:bottom w:val="single" w:sz="4" w:space="0" w:color="auto"/>
              <w:right w:val="single" w:sz="4" w:space="0" w:color="auto"/>
            </w:tcBorders>
            <w:vAlign w:val="center"/>
            <w:hideMark/>
          </w:tcPr>
          <w:p w14:paraId="77D4B519"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Particulars</w:t>
            </w:r>
          </w:p>
        </w:tc>
        <w:tc>
          <w:tcPr>
            <w:tcW w:w="503" w:type="pct"/>
            <w:tcBorders>
              <w:top w:val="single" w:sz="4" w:space="0" w:color="auto"/>
              <w:left w:val="single" w:sz="4" w:space="0" w:color="auto"/>
              <w:bottom w:val="single" w:sz="4" w:space="0" w:color="auto"/>
              <w:right w:val="single" w:sz="4" w:space="0" w:color="auto"/>
            </w:tcBorders>
            <w:vAlign w:val="center"/>
            <w:hideMark/>
          </w:tcPr>
          <w:p w14:paraId="36347665"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2027</w:t>
            </w:r>
          </w:p>
        </w:tc>
        <w:tc>
          <w:tcPr>
            <w:tcW w:w="503" w:type="pct"/>
            <w:tcBorders>
              <w:top w:val="single" w:sz="4" w:space="0" w:color="auto"/>
              <w:left w:val="single" w:sz="4" w:space="0" w:color="auto"/>
              <w:bottom w:val="single" w:sz="4" w:space="0" w:color="auto"/>
              <w:right w:val="single" w:sz="4" w:space="0" w:color="auto"/>
            </w:tcBorders>
            <w:vAlign w:val="center"/>
            <w:hideMark/>
          </w:tcPr>
          <w:p w14:paraId="15AED357"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2028</w:t>
            </w:r>
          </w:p>
        </w:tc>
        <w:tc>
          <w:tcPr>
            <w:tcW w:w="503" w:type="pct"/>
            <w:tcBorders>
              <w:top w:val="single" w:sz="4" w:space="0" w:color="auto"/>
              <w:left w:val="single" w:sz="4" w:space="0" w:color="auto"/>
              <w:bottom w:val="single" w:sz="4" w:space="0" w:color="auto"/>
              <w:right w:val="single" w:sz="4" w:space="0" w:color="auto"/>
            </w:tcBorders>
            <w:vAlign w:val="center"/>
            <w:hideMark/>
          </w:tcPr>
          <w:p w14:paraId="6EEE717E"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2029</w:t>
            </w:r>
          </w:p>
        </w:tc>
        <w:tc>
          <w:tcPr>
            <w:tcW w:w="503" w:type="pct"/>
            <w:tcBorders>
              <w:top w:val="single" w:sz="4" w:space="0" w:color="auto"/>
              <w:left w:val="single" w:sz="4" w:space="0" w:color="auto"/>
              <w:bottom w:val="single" w:sz="4" w:space="0" w:color="auto"/>
              <w:right w:val="single" w:sz="4" w:space="0" w:color="auto"/>
            </w:tcBorders>
            <w:vAlign w:val="center"/>
          </w:tcPr>
          <w:p w14:paraId="4C84D427"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2030</w:t>
            </w:r>
          </w:p>
        </w:tc>
        <w:tc>
          <w:tcPr>
            <w:tcW w:w="503" w:type="pct"/>
            <w:tcBorders>
              <w:top w:val="single" w:sz="4" w:space="0" w:color="auto"/>
              <w:left w:val="single" w:sz="4" w:space="0" w:color="auto"/>
              <w:bottom w:val="single" w:sz="4" w:space="0" w:color="auto"/>
              <w:right w:val="single" w:sz="4" w:space="0" w:color="auto"/>
            </w:tcBorders>
            <w:vAlign w:val="center"/>
            <w:hideMark/>
          </w:tcPr>
          <w:p w14:paraId="1ECBACDE"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2031</w:t>
            </w:r>
          </w:p>
        </w:tc>
        <w:tc>
          <w:tcPr>
            <w:tcW w:w="503" w:type="pct"/>
            <w:tcBorders>
              <w:top w:val="single" w:sz="4" w:space="0" w:color="auto"/>
              <w:left w:val="single" w:sz="4" w:space="0" w:color="auto"/>
              <w:bottom w:val="single" w:sz="4" w:space="0" w:color="auto"/>
              <w:right w:val="single" w:sz="4" w:space="0" w:color="auto"/>
            </w:tcBorders>
            <w:vAlign w:val="center"/>
            <w:hideMark/>
          </w:tcPr>
          <w:p w14:paraId="06B38C2E" w14:textId="77777777" w:rsidR="00062D1A" w:rsidRPr="00AC1484" w:rsidRDefault="00062D1A" w:rsidP="00623D86">
            <w:pPr>
              <w:keepNext/>
              <w:keepLines/>
              <w:spacing w:after="120" w:line="240" w:lineRule="auto"/>
              <w:jc w:val="center"/>
              <w:rPr>
                <w:rFonts w:ascii="Times New Roman" w:hAnsi="Times New Roman" w:cs="Times New Roman"/>
                <w:b/>
                <w:bCs/>
                <w:color w:val="000000"/>
                <w:lang w:val="en-CA" w:eastAsia="en-CA"/>
              </w:rPr>
            </w:pPr>
            <w:r w:rsidRPr="00AC1484">
              <w:rPr>
                <w:rFonts w:ascii="Times New Roman" w:hAnsi="Times New Roman" w:cs="Times New Roman"/>
                <w:b/>
                <w:bCs/>
                <w:color w:val="000000"/>
                <w:lang w:val="en-CA" w:eastAsia="en-CA"/>
              </w:rPr>
              <w:t>Total</w:t>
            </w:r>
          </w:p>
        </w:tc>
      </w:tr>
      <w:tr w:rsidR="00062D1A" w:rsidRPr="00AC1484" w14:paraId="6DDAE6EE" w14:textId="77777777" w:rsidTr="0074519A">
        <w:trPr>
          <w:trHeight w:val="113"/>
          <w:jc w:val="center"/>
        </w:trPr>
        <w:tc>
          <w:tcPr>
            <w:tcW w:w="336" w:type="pct"/>
            <w:tcBorders>
              <w:top w:val="single" w:sz="4" w:space="0" w:color="auto"/>
              <w:left w:val="single" w:sz="4" w:space="0" w:color="auto"/>
              <w:bottom w:val="single" w:sz="4" w:space="0" w:color="auto"/>
              <w:right w:val="single" w:sz="4" w:space="0" w:color="auto"/>
            </w:tcBorders>
            <w:hideMark/>
          </w:tcPr>
          <w:p w14:paraId="1FA120E7" w14:textId="77777777" w:rsidR="00062D1A" w:rsidRPr="00AC1484" w:rsidRDefault="00062D1A" w:rsidP="00623D86">
            <w:pPr>
              <w:spacing w:after="120" w:line="240" w:lineRule="auto"/>
              <w:rPr>
                <w:rFonts w:ascii="Times New Roman" w:hAnsi="Times New Roman" w:cs="Times New Roman"/>
                <w:color w:val="000000"/>
                <w:lang w:val="en-CA" w:eastAsia="en-CA"/>
              </w:rPr>
            </w:pPr>
            <w:r w:rsidRPr="00AC1484">
              <w:rPr>
                <w:rFonts w:ascii="Times New Roman" w:hAnsi="Times New Roman" w:cs="Times New Roman"/>
                <w:color w:val="000000"/>
                <w:lang w:val="en-CA" w:eastAsia="en-CA"/>
              </w:rPr>
              <w:t>1.1</w:t>
            </w:r>
          </w:p>
        </w:tc>
        <w:tc>
          <w:tcPr>
            <w:tcW w:w="1646" w:type="pct"/>
            <w:tcBorders>
              <w:top w:val="single" w:sz="4" w:space="0" w:color="auto"/>
              <w:left w:val="single" w:sz="4" w:space="0" w:color="auto"/>
              <w:bottom w:val="single" w:sz="4" w:space="0" w:color="auto"/>
              <w:right w:val="single" w:sz="4" w:space="0" w:color="auto"/>
            </w:tcBorders>
            <w:hideMark/>
          </w:tcPr>
          <w:p w14:paraId="03781151" w14:textId="77777777" w:rsidR="00062D1A" w:rsidRPr="00AC1484" w:rsidRDefault="00062D1A" w:rsidP="00623D86">
            <w:pPr>
              <w:spacing w:after="120" w:line="240" w:lineRule="auto"/>
              <w:rPr>
                <w:rFonts w:ascii="Times New Roman" w:hAnsi="Times New Roman" w:cs="Times New Roman"/>
                <w:color w:val="000000"/>
                <w:lang w:val="en-CA" w:eastAsia="en-CA"/>
              </w:rPr>
            </w:pPr>
            <w:r w:rsidRPr="00AC1484">
              <w:rPr>
                <w:rFonts w:ascii="Times New Roman" w:hAnsi="Times New Roman" w:cs="Times New Roman"/>
                <w:color w:val="000000"/>
                <w:lang w:val="en-CA" w:eastAsia="en-CA"/>
              </w:rPr>
              <w:t>IA (</w:t>
            </w:r>
            <w:r w:rsidRPr="00AC1484">
              <w:rPr>
                <w:rFonts w:ascii="Times New Roman" w:hAnsi="Times New Roman" w:cs="Times New Roman"/>
                <w:color w:val="000000"/>
                <w:highlight w:val="lightGray"/>
                <w:lang w:val="en-CA" w:eastAsia="en-CA"/>
              </w:rPr>
              <w:t>[IA]</w:t>
            </w:r>
            <w:r w:rsidRPr="00AC1484">
              <w:rPr>
                <w:rFonts w:ascii="Times New Roman" w:hAnsi="Times New Roman" w:cs="Times New Roman"/>
                <w:color w:val="000000"/>
                <w:lang w:val="en-CA" w:eastAsia="en-CA"/>
              </w:rPr>
              <w:t>) agreed funding (US $)</w:t>
            </w:r>
          </w:p>
        </w:tc>
        <w:tc>
          <w:tcPr>
            <w:tcW w:w="503" w:type="pct"/>
            <w:tcBorders>
              <w:top w:val="single" w:sz="4" w:space="0" w:color="auto"/>
              <w:left w:val="single" w:sz="4" w:space="0" w:color="auto"/>
              <w:bottom w:val="single" w:sz="4" w:space="0" w:color="auto"/>
              <w:right w:val="single" w:sz="4" w:space="0" w:color="auto"/>
            </w:tcBorders>
          </w:tcPr>
          <w:p w14:paraId="303D0A46"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30BFDB99"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4B5850F3"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1626685A"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5A7DF1A7"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2CAC6CE9"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r>
      <w:tr w:rsidR="00062D1A" w:rsidRPr="00AC1484" w14:paraId="35E20C83" w14:textId="77777777" w:rsidTr="0074519A">
        <w:trPr>
          <w:trHeight w:val="113"/>
          <w:jc w:val="center"/>
        </w:trPr>
        <w:tc>
          <w:tcPr>
            <w:tcW w:w="336" w:type="pct"/>
            <w:tcBorders>
              <w:top w:val="single" w:sz="4" w:space="0" w:color="auto"/>
              <w:left w:val="single" w:sz="4" w:space="0" w:color="auto"/>
              <w:bottom w:val="single" w:sz="4" w:space="0" w:color="auto"/>
              <w:right w:val="single" w:sz="4" w:space="0" w:color="auto"/>
            </w:tcBorders>
            <w:hideMark/>
          </w:tcPr>
          <w:p w14:paraId="01DA32D3" w14:textId="77777777" w:rsidR="00062D1A" w:rsidRPr="00AC1484" w:rsidRDefault="00062D1A" w:rsidP="00623D86">
            <w:pPr>
              <w:spacing w:after="120" w:line="240" w:lineRule="auto"/>
              <w:rPr>
                <w:rFonts w:ascii="Times New Roman" w:hAnsi="Times New Roman" w:cs="Times New Roman"/>
                <w:color w:val="000000"/>
                <w:lang w:val="en-CA" w:eastAsia="en-CA"/>
              </w:rPr>
            </w:pPr>
            <w:r w:rsidRPr="00AC1484">
              <w:rPr>
                <w:rFonts w:ascii="Times New Roman" w:hAnsi="Times New Roman" w:cs="Times New Roman"/>
                <w:color w:val="000000"/>
                <w:lang w:val="en-CA" w:eastAsia="en-CA"/>
              </w:rPr>
              <w:t>1.2</w:t>
            </w:r>
          </w:p>
        </w:tc>
        <w:tc>
          <w:tcPr>
            <w:tcW w:w="1646" w:type="pct"/>
            <w:tcBorders>
              <w:top w:val="single" w:sz="4" w:space="0" w:color="auto"/>
              <w:left w:val="single" w:sz="4" w:space="0" w:color="auto"/>
              <w:bottom w:val="single" w:sz="4" w:space="0" w:color="auto"/>
              <w:right w:val="single" w:sz="4" w:space="0" w:color="auto"/>
            </w:tcBorders>
            <w:hideMark/>
          </w:tcPr>
          <w:p w14:paraId="2ADC6D98" w14:textId="77777777" w:rsidR="00062D1A" w:rsidRPr="00AC1484" w:rsidRDefault="00062D1A" w:rsidP="00623D86">
            <w:pPr>
              <w:spacing w:after="120" w:line="240" w:lineRule="auto"/>
              <w:rPr>
                <w:rFonts w:ascii="Times New Roman" w:hAnsi="Times New Roman" w:cs="Times New Roman"/>
                <w:color w:val="000000"/>
                <w:lang w:val="en-CA" w:eastAsia="en-CA"/>
              </w:rPr>
            </w:pPr>
            <w:r w:rsidRPr="00AC1484">
              <w:rPr>
                <w:rFonts w:ascii="Times New Roman" w:hAnsi="Times New Roman" w:cs="Times New Roman"/>
                <w:color w:val="000000"/>
                <w:lang w:val="en-CA" w:eastAsia="en-CA"/>
              </w:rPr>
              <w:t>Support costs for IA (US $)</w:t>
            </w:r>
          </w:p>
        </w:tc>
        <w:tc>
          <w:tcPr>
            <w:tcW w:w="503" w:type="pct"/>
            <w:tcBorders>
              <w:top w:val="single" w:sz="4" w:space="0" w:color="auto"/>
              <w:left w:val="single" w:sz="4" w:space="0" w:color="auto"/>
              <w:bottom w:val="single" w:sz="4" w:space="0" w:color="auto"/>
              <w:right w:val="single" w:sz="4" w:space="0" w:color="auto"/>
            </w:tcBorders>
          </w:tcPr>
          <w:p w14:paraId="656528C0"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74D937FF"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4C462134"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3974B390"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4D1975D3"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64CA09AD" w14:textId="77777777" w:rsidR="00062D1A" w:rsidRPr="00AC1484" w:rsidRDefault="00062D1A" w:rsidP="00623D86">
            <w:pPr>
              <w:spacing w:after="120" w:line="240" w:lineRule="auto"/>
              <w:jc w:val="right"/>
              <w:rPr>
                <w:rFonts w:ascii="Times New Roman" w:hAnsi="Times New Roman" w:cs="Times New Roman"/>
                <w:color w:val="000000"/>
                <w:lang w:val="en-CA" w:eastAsia="en-CA"/>
              </w:rPr>
            </w:pPr>
          </w:p>
        </w:tc>
      </w:tr>
      <w:tr w:rsidR="00062D1A" w:rsidRPr="00AC1484" w14:paraId="705AC3FF" w14:textId="77777777" w:rsidTr="0074519A">
        <w:trPr>
          <w:trHeight w:val="113"/>
          <w:jc w:val="center"/>
        </w:trPr>
        <w:tc>
          <w:tcPr>
            <w:tcW w:w="336" w:type="pct"/>
            <w:tcBorders>
              <w:top w:val="single" w:sz="4" w:space="0" w:color="auto"/>
              <w:left w:val="single" w:sz="4" w:space="0" w:color="auto"/>
              <w:bottom w:val="single" w:sz="4" w:space="0" w:color="auto"/>
              <w:right w:val="single" w:sz="4" w:space="0" w:color="auto"/>
            </w:tcBorders>
            <w:hideMark/>
          </w:tcPr>
          <w:p w14:paraId="3C06CF30" w14:textId="77777777" w:rsidR="00062D1A" w:rsidRPr="00AC1484" w:rsidRDefault="00062D1A" w:rsidP="009F765F">
            <w:pPr>
              <w:spacing w:after="240" w:line="240" w:lineRule="auto"/>
              <w:rPr>
                <w:rFonts w:ascii="Times New Roman" w:hAnsi="Times New Roman" w:cs="Times New Roman"/>
                <w:color w:val="000000"/>
                <w:lang w:val="en-CA" w:eastAsia="en-CA"/>
              </w:rPr>
            </w:pPr>
            <w:r w:rsidRPr="00AC1484">
              <w:rPr>
                <w:rFonts w:ascii="Times New Roman" w:hAnsi="Times New Roman" w:cs="Times New Roman"/>
                <w:color w:val="000000"/>
                <w:lang w:val="en-CA" w:eastAsia="en-CA"/>
              </w:rPr>
              <w:t>1.3</w:t>
            </w:r>
          </w:p>
        </w:tc>
        <w:tc>
          <w:tcPr>
            <w:tcW w:w="1646" w:type="pct"/>
            <w:tcBorders>
              <w:top w:val="single" w:sz="4" w:space="0" w:color="auto"/>
              <w:left w:val="single" w:sz="4" w:space="0" w:color="auto"/>
              <w:bottom w:val="single" w:sz="4" w:space="0" w:color="auto"/>
              <w:right w:val="single" w:sz="4" w:space="0" w:color="auto"/>
            </w:tcBorders>
            <w:hideMark/>
          </w:tcPr>
          <w:p w14:paraId="6C4736DB" w14:textId="77777777" w:rsidR="00062D1A" w:rsidRPr="00AC1484" w:rsidRDefault="00062D1A" w:rsidP="009F765F">
            <w:pPr>
              <w:spacing w:after="240" w:line="240" w:lineRule="auto"/>
              <w:rPr>
                <w:rFonts w:ascii="Times New Roman" w:hAnsi="Times New Roman" w:cs="Times New Roman"/>
                <w:color w:val="000000"/>
                <w:lang w:val="en-CA" w:eastAsia="en-CA"/>
              </w:rPr>
            </w:pPr>
            <w:r w:rsidRPr="00AC1484">
              <w:rPr>
                <w:rFonts w:ascii="Times New Roman" w:hAnsi="Times New Roman" w:cs="Times New Roman"/>
                <w:color w:val="000000"/>
                <w:lang w:val="en-CA" w:eastAsia="en-CA"/>
              </w:rPr>
              <w:t>Total agreed costs (US $)</w:t>
            </w:r>
          </w:p>
        </w:tc>
        <w:tc>
          <w:tcPr>
            <w:tcW w:w="503" w:type="pct"/>
            <w:tcBorders>
              <w:top w:val="single" w:sz="4" w:space="0" w:color="auto"/>
              <w:left w:val="single" w:sz="4" w:space="0" w:color="auto"/>
              <w:bottom w:val="single" w:sz="4" w:space="0" w:color="auto"/>
              <w:right w:val="single" w:sz="4" w:space="0" w:color="auto"/>
            </w:tcBorders>
          </w:tcPr>
          <w:p w14:paraId="03106846" w14:textId="77777777" w:rsidR="00062D1A" w:rsidRPr="00AC1484" w:rsidRDefault="00062D1A" w:rsidP="009F765F">
            <w:pPr>
              <w:spacing w:after="24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277CEA85" w14:textId="77777777" w:rsidR="00062D1A" w:rsidRPr="00AC1484" w:rsidRDefault="00062D1A" w:rsidP="009F765F">
            <w:pPr>
              <w:spacing w:after="24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7E3DC6C8" w14:textId="77777777" w:rsidR="00062D1A" w:rsidRPr="00AC1484" w:rsidRDefault="00062D1A" w:rsidP="009F765F">
            <w:pPr>
              <w:spacing w:after="24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22FFEF07" w14:textId="77777777" w:rsidR="00062D1A" w:rsidRPr="00AC1484" w:rsidRDefault="00062D1A" w:rsidP="009F765F">
            <w:pPr>
              <w:spacing w:after="24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4F81A97F" w14:textId="77777777" w:rsidR="00062D1A" w:rsidRPr="00AC1484" w:rsidRDefault="00062D1A" w:rsidP="009F765F">
            <w:pPr>
              <w:spacing w:after="240" w:line="240" w:lineRule="auto"/>
              <w:jc w:val="right"/>
              <w:rPr>
                <w:rFonts w:ascii="Times New Roman" w:hAnsi="Times New Roman" w:cs="Times New Roman"/>
                <w:color w:val="000000"/>
                <w:lang w:val="en-CA" w:eastAsia="en-CA"/>
              </w:rPr>
            </w:pPr>
          </w:p>
        </w:tc>
        <w:tc>
          <w:tcPr>
            <w:tcW w:w="503" w:type="pct"/>
            <w:tcBorders>
              <w:top w:val="single" w:sz="4" w:space="0" w:color="auto"/>
              <w:left w:val="single" w:sz="4" w:space="0" w:color="auto"/>
              <w:bottom w:val="single" w:sz="4" w:space="0" w:color="auto"/>
              <w:right w:val="single" w:sz="4" w:space="0" w:color="auto"/>
            </w:tcBorders>
          </w:tcPr>
          <w:p w14:paraId="3C5051B1" w14:textId="77777777" w:rsidR="00062D1A" w:rsidRPr="00AC1484" w:rsidRDefault="00062D1A" w:rsidP="009F765F">
            <w:pPr>
              <w:spacing w:after="240" w:line="240" w:lineRule="auto"/>
              <w:jc w:val="right"/>
              <w:rPr>
                <w:rFonts w:ascii="Times New Roman" w:hAnsi="Times New Roman" w:cs="Times New Roman"/>
                <w:color w:val="000000"/>
                <w:lang w:val="en-CA" w:eastAsia="en-CA"/>
              </w:rPr>
            </w:pPr>
          </w:p>
        </w:tc>
      </w:tr>
    </w:tbl>
    <w:p w14:paraId="45E55CA0" w14:textId="77777777" w:rsidR="0074519A" w:rsidRPr="00F629A9" w:rsidRDefault="0074519A" w:rsidP="0074519A">
      <w:pPr>
        <w:keepNext/>
        <w:spacing w:before="360" w:after="240"/>
        <w:rPr>
          <w:rFonts w:ascii="Times New Roman" w:hAnsi="Times New Roman" w:cs="Times New Roman"/>
          <w:b/>
          <w:sz w:val="22"/>
          <w:szCs w:val="22"/>
        </w:rPr>
      </w:pPr>
      <w:r w:rsidRPr="00F629A9">
        <w:rPr>
          <w:rFonts w:ascii="Times New Roman" w:hAnsi="Times New Roman" w:cs="Times New Roman"/>
          <w:b/>
          <w:sz w:val="22"/>
          <w:szCs w:val="22"/>
        </w:rPr>
        <w:t>APPENDIX 2-A: FUNDING APPROVAL SCHEDULE</w:t>
      </w:r>
    </w:p>
    <w:p w14:paraId="0B1F4849" w14:textId="38D7BC14" w:rsidR="0074519A" w:rsidRPr="00F629A9" w:rsidRDefault="0074519A" w:rsidP="000E5BC4">
      <w:pPr>
        <w:pStyle w:val="Heading1"/>
        <w:keepNext w:val="0"/>
        <w:numPr>
          <w:ilvl w:val="0"/>
          <w:numId w:val="12"/>
        </w:numPr>
        <w:tabs>
          <w:tab w:val="clear" w:pos="1247"/>
          <w:tab w:val="clear" w:pos="1814"/>
        </w:tabs>
        <w:spacing w:before="0" w:after="240" w:line="240" w:lineRule="auto"/>
        <w:ind w:left="0" w:hanging="11"/>
        <w:jc w:val="both"/>
        <w:rPr>
          <w:rFonts w:ascii="Times New Roman" w:hAnsi="Times New Roman" w:cs="Times New Roman"/>
          <w:b w:val="0"/>
          <w:bCs/>
          <w:sz w:val="22"/>
          <w:szCs w:val="22"/>
        </w:rPr>
      </w:pPr>
      <w:r w:rsidRPr="00F629A9">
        <w:rPr>
          <w:rFonts w:ascii="Times New Roman" w:hAnsi="Times New Roman" w:cs="Times New Roman"/>
          <w:b w:val="0"/>
          <w:bCs/>
          <w:sz w:val="22"/>
          <w:szCs w:val="22"/>
        </w:rPr>
        <w:t>Funding for the future tranches will be considered for approval at the first/second meeting of the year specified in Appendix</w:t>
      </w:r>
      <w:r w:rsidR="00F629A9">
        <w:rPr>
          <w:rFonts w:ascii="Times New Roman" w:hAnsi="Times New Roman" w:cs="Times New Roman"/>
          <w:b w:val="0"/>
          <w:bCs/>
          <w:sz w:val="22"/>
          <w:szCs w:val="22"/>
        </w:rPr>
        <w:t xml:space="preserve"> </w:t>
      </w:r>
      <w:r w:rsidRPr="00F629A9">
        <w:rPr>
          <w:rFonts w:ascii="Times New Roman" w:hAnsi="Times New Roman" w:cs="Times New Roman"/>
          <w:b w:val="0"/>
          <w:bCs/>
          <w:sz w:val="22"/>
          <w:szCs w:val="22"/>
        </w:rPr>
        <w:t>1-A.</w:t>
      </w:r>
    </w:p>
    <w:p w14:paraId="4A24CA0C" w14:textId="77777777" w:rsidR="0074519A" w:rsidRPr="00F629A9" w:rsidRDefault="0074519A" w:rsidP="0074519A">
      <w:pPr>
        <w:keepNext/>
        <w:spacing w:before="360" w:after="240"/>
        <w:rPr>
          <w:rFonts w:ascii="Times New Roman" w:hAnsi="Times New Roman" w:cs="Times New Roman"/>
          <w:b/>
          <w:sz w:val="22"/>
          <w:szCs w:val="22"/>
        </w:rPr>
      </w:pPr>
      <w:r w:rsidRPr="00F629A9">
        <w:rPr>
          <w:rFonts w:ascii="Times New Roman" w:hAnsi="Times New Roman" w:cs="Times New Roman"/>
          <w:b/>
          <w:sz w:val="22"/>
          <w:szCs w:val="22"/>
        </w:rPr>
        <w:t xml:space="preserve">APPENDIX 3-A: MONITORING INSTITUTIONS AND ROLES </w:t>
      </w:r>
    </w:p>
    <w:p w14:paraId="00680AAD" w14:textId="564DA6BF" w:rsidR="0074519A" w:rsidRPr="00F629A9" w:rsidRDefault="0074519A" w:rsidP="000E5BC4">
      <w:pPr>
        <w:pStyle w:val="Heading1"/>
        <w:keepNext w:val="0"/>
        <w:numPr>
          <w:ilvl w:val="0"/>
          <w:numId w:val="14"/>
        </w:numPr>
        <w:tabs>
          <w:tab w:val="clear" w:pos="1247"/>
          <w:tab w:val="clear" w:pos="1814"/>
          <w:tab w:val="left" w:pos="567"/>
        </w:tabs>
        <w:spacing w:before="0" w:after="240" w:line="240" w:lineRule="auto"/>
        <w:ind w:left="0" w:firstLine="0"/>
        <w:jc w:val="both"/>
        <w:rPr>
          <w:rFonts w:ascii="Times New Roman" w:hAnsi="Times New Roman" w:cs="Times New Roman"/>
          <w:b w:val="0"/>
          <w:bCs/>
          <w:sz w:val="22"/>
          <w:szCs w:val="22"/>
        </w:rPr>
      </w:pPr>
      <w:r w:rsidRPr="00F629A9">
        <w:rPr>
          <w:rFonts w:ascii="Times New Roman" w:hAnsi="Times New Roman" w:cs="Times New Roman"/>
          <w:b w:val="0"/>
          <w:bCs/>
          <w:sz w:val="22"/>
          <w:szCs w:val="22"/>
        </w:rPr>
        <w:t>This section must be completed by the Country and the IA. It must provide a detailed and credible indication of how progress is to be monitored, and which organizations will be responsible for the activities and the sustainability of the operation of the atmospheric monitoring station.</w:t>
      </w:r>
    </w:p>
    <w:p w14:paraId="2738B4BE" w14:textId="3FD0BCBC" w:rsidR="00062D1A" w:rsidRPr="0074519A" w:rsidRDefault="00062D1A" w:rsidP="009F765F">
      <w:pPr>
        <w:tabs>
          <w:tab w:val="num" w:pos="0"/>
        </w:tabs>
        <w:spacing w:after="240" w:line="240" w:lineRule="auto"/>
        <w:jc w:val="both"/>
        <w:outlineLvl w:val="0"/>
        <w:rPr>
          <w:rFonts w:ascii="Times New Roman" w:hAnsi="Times New Roman" w:cs="Times New Roman"/>
          <w:sz w:val="22"/>
          <w:szCs w:val="22"/>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1"/>
        <w:gridCol w:w="1872"/>
        <w:gridCol w:w="1872"/>
        <w:gridCol w:w="1872"/>
        <w:gridCol w:w="1873"/>
      </w:tblGrid>
      <w:tr w:rsidR="00062D1A" w:rsidRPr="00AC1484" w14:paraId="44D20BFC" w14:textId="77777777" w:rsidTr="00AA6B78">
        <w:tc>
          <w:tcPr>
            <w:tcW w:w="1871" w:type="dxa"/>
          </w:tcPr>
          <w:p w14:paraId="457AA4BB" w14:textId="77777777" w:rsidR="00062D1A" w:rsidRPr="00AC1484" w:rsidRDefault="00062D1A" w:rsidP="00AA6B78">
            <w:pPr>
              <w:rPr>
                <w:rFonts w:ascii="Times New Roman" w:hAnsi="Times New Roman" w:cs="Times New Roman"/>
                <w:sz w:val="22"/>
                <w:szCs w:val="22"/>
                <w:lang w:val="en-CA"/>
              </w:rPr>
            </w:pPr>
          </w:p>
        </w:tc>
        <w:tc>
          <w:tcPr>
            <w:tcW w:w="1872" w:type="dxa"/>
          </w:tcPr>
          <w:p w14:paraId="0D0E6D42" w14:textId="77777777" w:rsidR="00062D1A" w:rsidRPr="00AC1484" w:rsidRDefault="00062D1A" w:rsidP="00AA6B78">
            <w:pPr>
              <w:rPr>
                <w:rFonts w:ascii="Times New Roman" w:hAnsi="Times New Roman" w:cs="Times New Roman"/>
                <w:sz w:val="22"/>
                <w:szCs w:val="22"/>
                <w:lang w:val="en-CA"/>
              </w:rPr>
            </w:pPr>
          </w:p>
        </w:tc>
        <w:tc>
          <w:tcPr>
            <w:tcW w:w="1872" w:type="dxa"/>
            <w:tcBorders>
              <w:bottom w:val="single" w:sz="4" w:space="0" w:color="auto"/>
            </w:tcBorders>
          </w:tcPr>
          <w:p w14:paraId="7D822FD9" w14:textId="77777777" w:rsidR="00062D1A" w:rsidRPr="00AC1484" w:rsidRDefault="00062D1A" w:rsidP="00AA6B78">
            <w:pPr>
              <w:rPr>
                <w:rFonts w:ascii="Times New Roman" w:hAnsi="Times New Roman" w:cs="Times New Roman"/>
                <w:sz w:val="22"/>
                <w:szCs w:val="22"/>
                <w:lang w:val="en-CA"/>
              </w:rPr>
            </w:pPr>
          </w:p>
        </w:tc>
        <w:tc>
          <w:tcPr>
            <w:tcW w:w="1872" w:type="dxa"/>
          </w:tcPr>
          <w:p w14:paraId="0672A4DA" w14:textId="77777777" w:rsidR="00062D1A" w:rsidRPr="00AC1484" w:rsidRDefault="00062D1A" w:rsidP="00AA6B78">
            <w:pPr>
              <w:rPr>
                <w:rFonts w:ascii="Times New Roman" w:hAnsi="Times New Roman" w:cs="Times New Roman"/>
                <w:sz w:val="22"/>
                <w:szCs w:val="22"/>
                <w:lang w:val="en-CA"/>
              </w:rPr>
            </w:pPr>
          </w:p>
        </w:tc>
        <w:tc>
          <w:tcPr>
            <w:tcW w:w="1873" w:type="dxa"/>
          </w:tcPr>
          <w:p w14:paraId="772AECF9" w14:textId="77777777" w:rsidR="00062D1A" w:rsidRPr="00AC1484" w:rsidRDefault="00062D1A" w:rsidP="00AA6B78">
            <w:pPr>
              <w:rPr>
                <w:rFonts w:ascii="Times New Roman" w:hAnsi="Times New Roman" w:cs="Times New Roman"/>
                <w:sz w:val="22"/>
                <w:szCs w:val="22"/>
                <w:lang w:val="en-CA"/>
              </w:rPr>
            </w:pPr>
          </w:p>
        </w:tc>
      </w:tr>
    </w:tbl>
    <w:p w14:paraId="6DAC5199" w14:textId="77777777" w:rsidR="00A51E2D" w:rsidRPr="00704F56" w:rsidRDefault="00A51E2D" w:rsidP="00521E1F">
      <w:pPr>
        <w:pStyle w:val="Normal-pool"/>
        <w:rPr>
          <w:lang w:val="en-CA"/>
        </w:rPr>
      </w:pPr>
    </w:p>
    <w:sectPr w:rsidR="00A51E2D" w:rsidRPr="00704F56" w:rsidSect="00CC2133">
      <w:footerReference w:type="default" r:id="rId23"/>
      <w:headerReference w:type="first" r:id="rId24"/>
      <w:footerReference w:type="first" r:id="rId25"/>
      <w:pgSz w:w="11906" w:h="16838" w:code="9"/>
      <w:pgMar w:top="992" w:right="1418" w:bottom="1418" w:left="1008" w:header="539" w:footer="9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9AB3" w14:textId="77777777" w:rsidR="005B2688" w:rsidRDefault="005B2688">
      <w:r>
        <w:separator/>
      </w:r>
    </w:p>
  </w:endnote>
  <w:endnote w:type="continuationSeparator" w:id="0">
    <w:p w14:paraId="25F818F2" w14:textId="77777777" w:rsidR="005B2688" w:rsidRDefault="005B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F1B9" w14:textId="77777777" w:rsidR="00CD6438" w:rsidRPr="00574242" w:rsidRDefault="00CD6438" w:rsidP="00574242">
    <w:pPr>
      <w:pStyle w:val="Footer"/>
      <w:rPr>
        <w:b/>
      </w:rPr>
    </w:pPr>
    <w:r w:rsidRPr="00574242">
      <w:rPr>
        <w:b/>
      </w:rPr>
      <w:fldChar w:fldCharType="begin"/>
    </w:r>
    <w:r w:rsidRPr="00574242">
      <w:rPr>
        <w:b/>
      </w:rPr>
      <w:instrText xml:space="preserve"> PAGE   \* MERGEFORMAT </w:instrText>
    </w:r>
    <w:r w:rsidRPr="00574242">
      <w:rPr>
        <w:b/>
      </w:rPr>
      <w:fldChar w:fldCharType="separate"/>
    </w:r>
    <w:r>
      <w:rPr>
        <w:b/>
        <w:noProof/>
      </w:rPr>
      <w:t>4</w:t>
    </w:r>
    <w:r w:rsidRPr="00574242">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19B4" w14:textId="77777777" w:rsidR="00CD6438" w:rsidRPr="00A67C8F" w:rsidRDefault="00CD6438" w:rsidP="00081AF5">
    <w:pPr>
      <w:pStyle w:val="Footer"/>
      <w:jc w:val="right"/>
      <w:rPr>
        <w:b/>
      </w:rPr>
    </w:pPr>
    <w:r w:rsidRPr="00A67C8F">
      <w:rPr>
        <w:b/>
      </w:rPr>
      <w:fldChar w:fldCharType="begin"/>
    </w:r>
    <w:r w:rsidRPr="00A67C8F">
      <w:rPr>
        <w:b/>
      </w:rPr>
      <w:instrText xml:space="preserve"> PAGE   \* MERGEFORMAT </w:instrText>
    </w:r>
    <w:r w:rsidRPr="00A67C8F">
      <w:rPr>
        <w:b/>
      </w:rPr>
      <w:fldChar w:fldCharType="separate"/>
    </w:r>
    <w:r>
      <w:rPr>
        <w:b/>
        <w:noProof/>
      </w:rPr>
      <w:t>3</w:t>
    </w:r>
    <w:r w:rsidRPr="00A67C8F">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EC08" w14:textId="77777777" w:rsidR="00CD6438" w:rsidRPr="009834C0" w:rsidRDefault="00CD6438" w:rsidP="007A5374">
    <w:pPr>
      <w:pStyle w:val="Footer"/>
      <w:tabs>
        <w:tab w:val="clear" w:pos="1247"/>
        <w:tab w:val="clear" w:pos="1814"/>
        <w:tab w:val="clear" w:pos="2381"/>
        <w:tab w:val="clear" w:pos="2948"/>
        <w:tab w:val="clear" w:pos="3515"/>
        <w:tab w:val="clear" w:pos="4320"/>
        <w:tab w:val="clear" w:pos="864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42257"/>
      <w:docPartObj>
        <w:docPartGallery w:val="Page Numbers (Bottom of Page)"/>
        <w:docPartUnique/>
      </w:docPartObj>
    </w:sdtPr>
    <w:sdtEndPr>
      <w:rPr>
        <w:noProof/>
      </w:rPr>
    </w:sdtEndPr>
    <w:sdtContent>
      <w:p w14:paraId="6DF9466B" w14:textId="77777777" w:rsidR="00704F56" w:rsidRDefault="00704F56" w:rsidP="00014EA2">
        <w:pPr>
          <w:pStyle w:val="Footer"/>
        </w:pPr>
        <w:r>
          <w:fldChar w:fldCharType="begin"/>
        </w:r>
        <w:r>
          <w:instrText xml:space="preserve"> PAGE   \* MERGEFORMAT </w:instrText>
        </w:r>
        <w:r>
          <w:fldChar w:fldCharType="separate"/>
        </w:r>
        <w:r>
          <w:rPr>
            <w:noProof/>
          </w:rPr>
          <w:t>2</w:t>
        </w:r>
        <w:r>
          <w:rPr>
            <w:noProof/>
          </w:rPr>
          <w:fldChar w:fldCharType="end"/>
        </w:r>
      </w:p>
    </w:sdtContent>
  </w:sdt>
  <w:p w14:paraId="0F0F5D00" w14:textId="77777777" w:rsidR="00704F56" w:rsidRPr="00794BB4" w:rsidRDefault="00704F56" w:rsidP="00794BB4">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E6C6" w14:textId="711A0B47" w:rsidR="00485E12" w:rsidRPr="00A67C8F" w:rsidRDefault="00485E12" w:rsidP="00A67C8F">
    <w:pPr>
      <w:pStyle w:val="Footer"/>
      <w:jc w:val="right"/>
      <w:rPr>
        <w:b/>
      </w:rPr>
    </w:pPr>
    <w:r w:rsidRPr="00A67C8F">
      <w:rPr>
        <w:b/>
      </w:rPr>
      <w:fldChar w:fldCharType="begin"/>
    </w:r>
    <w:r w:rsidRPr="00A67C8F">
      <w:rPr>
        <w:b/>
      </w:rPr>
      <w:instrText xml:space="preserve"> PAGE   \* MERGEFORMAT </w:instrText>
    </w:r>
    <w:r w:rsidRPr="00A67C8F">
      <w:rPr>
        <w:b/>
      </w:rPr>
      <w:fldChar w:fldCharType="separate"/>
    </w:r>
    <w:r w:rsidR="0083335F">
      <w:rPr>
        <w:b/>
        <w:noProof/>
      </w:rPr>
      <w:t>3</w:t>
    </w:r>
    <w:r w:rsidRPr="00A67C8F">
      <w:rPr>
        <w:b/>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14910"/>
      <w:docPartObj>
        <w:docPartGallery w:val="Page Numbers (Bottom of Page)"/>
        <w:docPartUnique/>
      </w:docPartObj>
    </w:sdtPr>
    <w:sdtEndPr>
      <w:rPr>
        <w:noProof/>
      </w:rPr>
    </w:sdtEndPr>
    <w:sdtContent>
      <w:p w14:paraId="50E961F2" w14:textId="28ED3DC3" w:rsidR="007E2498" w:rsidRDefault="007E24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F6765F" w14:textId="165EE0F9" w:rsidR="00485E12" w:rsidRPr="009834C0" w:rsidRDefault="00485E12" w:rsidP="004D1DC3">
    <w:pPr>
      <w:pStyle w:val="Footer"/>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47FAC" w14:textId="77777777" w:rsidR="005B2688" w:rsidRDefault="005B2688" w:rsidP="00A67C8F">
      <w:pPr>
        <w:spacing w:before="20" w:after="40"/>
        <w:ind w:left="624"/>
      </w:pPr>
      <w:r>
        <w:separator/>
      </w:r>
    </w:p>
  </w:footnote>
  <w:footnote w:type="continuationSeparator" w:id="0">
    <w:p w14:paraId="734AA803" w14:textId="77777777" w:rsidR="005B2688" w:rsidRDefault="005B2688">
      <w:r>
        <w:continuationSeparator/>
      </w:r>
    </w:p>
  </w:footnote>
  <w:footnote w:id="1">
    <w:p w14:paraId="19C41163" w14:textId="77777777" w:rsidR="00080B42" w:rsidRPr="00B71893" w:rsidRDefault="00080B42" w:rsidP="00080B42">
      <w:pPr>
        <w:pStyle w:val="FootnoteText"/>
      </w:pPr>
      <w:r>
        <w:rPr>
          <w:rStyle w:val="FootnoteReference"/>
        </w:rPr>
        <w:footnoteRef/>
      </w:r>
      <w:r w:rsidRPr="00B71893">
        <w:t xml:space="preserve"> Available at: </w:t>
      </w:r>
      <w:hyperlink r:id="rId1" w:history="1">
        <w:r w:rsidRPr="008A5325">
          <w:rPr>
            <w:rStyle w:val="Hyperlink"/>
            <w:sz w:val="18"/>
            <w:lang w:val="en-GB"/>
          </w:rPr>
          <w:t>https://www.multilateralfund.org/meetings/98/pre-session</w:t>
        </w:r>
      </w:hyperlink>
      <w:r>
        <w:t>.</w:t>
      </w:r>
    </w:p>
  </w:footnote>
  <w:footnote w:id="2">
    <w:p w14:paraId="72573351" w14:textId="77777777" w:rsidR="00704F56" w:rsidRPr="00AA2C55" w:rsidRDefault="00704F56" w:rsidP="00704F56">
      <w:pPr>
        <w:pStyle w:val="FootnoteText"/>
        <w:rPr>
          <w:lang w:val="en-US"/>
        </w:rPr>
      </w:pPr>
      <w:r>
        <w:rPr>
          <w:rStyle w:val="FootnoteReference"/>
        </w:rPr>
        <w:footnoteRef/>
      </w:r>
      <w:r w:rsidRPr="00DB2DDB">
        <w:rPr>
          <w:lang w:val="en-US"/>
        </w:rPr>
        <w:t xml:space="preserve"> Wilkinson, M., Dumontier, M., </w:t>
      </w:r>
      <w:proofErr w:type="spellStart"/>
      <w:r w:rsidRPr="00DB2DDB">
        <w:rPr>
          <w:lang w:val="en-US"/>
        </w:rPr>
        <w:t>Aalbersberg</w:t>
      </w:r>
      <w:proofErr w:type="spellEnd"/>
      <w:r w:rsidRPr="00DB2DDB">
        <w:rPr>
          <w:lang w:val="en-US"/>
        </w:rPr>
        <w:t xml:space="preserve">, I. et al. </w:t>
      </w:r>
      <w:r w:rsidRPr="00FB7861">
        <w:t xml:space="preserve">The FAIR Guiding Principles for scientific data management and stewardship. </w:t>
      </w:r>
      <w:r w:rsidRPr="00AA2C55">
        <w:t xml:space="preserve">Sci Data 3, 160018 (2016). </w:t>
      </w:r>
      <w:hyperlink r:id="rId2" w:history="1">
        <w:r w:rsidRPr="00B10AD1">
          <w:rPr>
            <w:rStyle w:val="Hyperlink"/>
          </w:rPr>
          <w:t>https://doi.org/10.1038/sdata.2016.18</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1FD1E" w14:textId="77777777" w:rsidR="00CD6438" w:rsidRDefault="00CD6438" w:rsidP="00526D60">
    <w:pPr>
      <w:pStyle w:val="Header"/>
    </w:pPr>
  </w:p>
  <w:p w14:paraId="08E86A0D" w14:textId="7B7A567D" w:rsidR="00CD6438" w:rsidRPr="00DA175B" w:rsidRDefault="00DA175B" w:rsidP="00DA175B">
    <w:pPr>
      <w:pStyle w:val="Header"/>
      <w:rPr>
        <w:szCs w:val="18"/>
      </w:rPr>
    </w:pPr>
    <w:r>
      <w:rPr>
        <w:szCs w:val="18"/>
      </w:rPr>
      <w:t>UNEP/</w:t>
    </w:r>
    <w:r w:rsidRPr="00DB5126">
      <w:rPr>
        <w:noProof/>
        <w:sz w:val="20"/>
      </w:rPr>
      <w:t>OzL.Pro.</w:t>
    </w:r>
    <w:r>
      <w:rPr>
        <w:noProof/>
        <w:sz w:val="20"/>
      </w:rPr>
      <w:t>WG.</w:t>
    </w:r>
    <w:r w:rsidR="00B76F36">
      <w:rPr>
        <w:noProof/>
        <w:sz w:val="20"/>
      </w:rPr>
      <w:t>1/</w:t>
    </w:r>
    <w:r>
      <w:rPr>
        <w:noProof/>
        <w:sz w:val="20"/>
      </w:rPr>
      <w:t>4</w:t>
    </w:r>
    <w:r w:rsidR="00C72C41">
      <w:rPr>
        <w:noProof/>
        <w:sz w:val="20"/>
      </w:rPr>
      <w:t>8</w:t>
    </w:r>
    <w:r>
      <w:rPr>
        <w:noProof/>
        <w:sz w:val="20"/>
      </w:rPr>
      <w:t>/</w:t>
    </w:r>
    <w:r w:rsidRPr="00DB5126">
      <w:rPr>
        <w:noProof/>
        <w:sz w:val="20"/>
      </w:rPr>
      <w:t>INF/</w:t>
    </w:r>
    <w:r>
      <w:rPr>
        <w:noProof/>
        <w:sz w:val="20"/>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1C51" w14:textId="0E651658" w:rsidR="00CD6438" w:rsidRPr="00322BB6" w:rsidRDefault="000122F6" w:rsidP="000122F6">
    <w:pPr>
      <w:pStyle w:val="Header"/>
      <w:jc w:val="right"/>
      <w:rPr>
        <w:szCs w:val="18"/>
      </w:rPr>
    </w:pPr>
    <w:r>
      <w:rPr>
        <w:szCs w:val="18"/>
      </w:rPr>
      <w:t>UNEP/</w:t>
    </w:r>
    <w:r w:rsidRPr="00DB5126">
      <w:rPr>
        <w:noProof/>
        <w:sz w:val="20"/>
      </w:rPr>
      <w:t>OzL.Pro.</w:t>
    </w:r>
    <w:r>
      <w:rPr>
        <w:noProof/>
        <w:sz w:val="20"/>
      </w:rPr>
      <w:t>WG.1/48/</w:t>
    </w:r>
    <w:r w:rsidRPr="00DB5126">
      <w:rPr>
        <w:noProof/>
        <w:sz w:val="20"/>
      </w:rPr>
      <w:t>INF/</w:t>
    </w:r>
    <w:r>
      <w:rPr>
        <w:noProof/>
        <w:sz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3085" w14:textId="77777777" w:rsidR="00CD6438" w:rsidRPr="009834C0" w:rsidRDefault="00CD6438" w:rsidP="00A67C8F">
    <w:pPr>
      <w:pStyle w:val="Header"/>
      <w:pBdr>
        <w:bottom w:val="none" w:sz="0" w:space="0" w:color="auto"/>
      </w:pBdr>
      <w:rPr>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8AB61" w14:textId="77777777" w:rsidR="00704F56" w:rsidRDefault="00704F56" w:rsidP="00B60BBB">
    <w:pPr>
      <w:pStyle w:val="Header"/>
    </w:pPr>
    <w:r w:rsidRPr="00553B51">
      <w:t>UNEP/</w:t>
    </w:r>
    <w:r w:rsidRPr="00553B51">
      <w:rPr>
        <w:b w:val="0"/>
        <w:bCs/>
      </w:rPr>
      <w:t>OzL.Pro.WG.1/48/INF/5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4DF41" w14:textId="77777777" w:rsidR="00B60BBB" w:rsidRDefault="00B60BBB" w:rsidP="00B60BBB">
    <w:pPr>
      <w:pStyle w:val="Header"/>
      <w:jc w:val="right"/>
    </w:pPr>
    <w:r w:rsidRPr="00553B51">
      <w:t>UNEP/</w:t>
    </w:r>
    <w:r w:rsidRPr="00553B51">
      <w:rPr>
        <w:b w:val="0"/>
        <w:bCs/>
      </w:rPr>
      <w:t>OzL.Pro.WG.1/48/INF/5</w:t>
    </w:r>
  </w:p>
  <w:p w14:paraId="194D6510" w14:textId="41D9EAE3" w:rsidR="00704F56" w:rsidRPr="002E7C33" w:rsidRDefault="00704F56" w:rsidP="00AA5A6B">
    <w:pPr>
      <w:pStyle w:val="ASymbol"/>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D09" w14:textId="28594E2E" w:rsidR="00704F56" w:rsidRDefault="00007363" w:rsidP="006914F0">
    <w:pPr>
      <w:pStyle w:val="Header"/>
    </w:pPr>
    <w:r w:rsidRPr="007F738A">
      <w:t>UNEP/</w:t>
    </w:r>
    <w:r w:rsidRPr="00007363">
      <w:rPr>
        <w:b w:val="0"/>
        <w:bCs/>
      </w:rPr>
      <w:t>OzL.Pro.WG.1/48/INF/5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9FB7" w14:textId="6E59855E" w:rsidR="000E1620" w:rsidRPr="004219D9" w:rsidRDefault="00DA175B" w:rsidP="006914F0">
    <w:pPr>
      <w:pStyle w:val="Header"/>
      <w:jc w:val="right"/>
      <w:rPr>
        <w:b w:val="0"/>
        <w:bCs/>
        <w:szCs w:val="18"/>
      </w:rPr>
    </w:pPr>
    <w:r w:rsidRPr="004219D9">
      <w:rPr>
        <w:szCs w:val="18"/>
      </w:rPr>
      <w:t>UNEP/</w:t>
    </w:r>
    <w:r w:rsidRPr="004219D9">
      <w:rPr>
        <w:b w:val="0"/>
        <w:bCs/>
        <w:noProof/>
        <w:szCs w:val="18"/>
      </w:rPr>
      <w:t>OzL.Pro.WG.</w:t>
    </w:r>
    <w:r w:rsidR="005B4900" w:rsidRPr="004219D9">
      <w:rPr>
        <w:b w:val="0"/>
        <w:bCs/>
        <w:noProof/>
        <w:szCs w:val="18"/>
      </w:rPr>
      <w:t>1/</w:t>
    </w:r>
    <w:r w:rsidRPr="004219D9">
      <w:rPr>
        <w:b w:val="0"/>
        <w:bCs/>
        <w:noProof/>
        <w:szCs w:val="18"/>
      </w:rPr>
      <w:t>4</w:t>
    </w:r>
    <w:r w:rsidR="00887CED" w:rsidRPr="004219D9">
      <w:rPr>
        <w:b w:val="0"/>
        <w:bCs/>
        <w:noProof/>
        <w:szCs w:val="18"/>
      </w:rPr>
      <w:t>8</w:t>
    </w:r>
    <w:r w:rsidRPr="004219D9">
      <w:rPr>
        <w:b w:val="0"/>
        <w:bCs/>
        <w:noProof/>
        <w:szCs w:val="18"/>
      </w:rPr>
      <w:t>/INF/</w:t>
    </w:r>
    <w:r w:rsidR="00CC2133" w:rsidRPr="004219D9">
      <w:rPr>
        <w:b w:val="0"/>
        <w:bCs/>
        <w:noProof/>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3F8D"/>
    <w:multiLevelType w:val="hybridMultilevel"/>
    <w:tmpl w:val="52ECB9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DC3AF9"/>
    <w:multiLevelType w:val="hybridMultilevel"/>
    <w:tmpl w:val="52ECB90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F91657C"/>
    <w:multiLevelType w:val="hybridMultilevel"/>
    <w:tmpl w:val="009844CA"/>
    <w:lvl w:ilvl="0" w:tplc="51105904">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hint="default"/>
        <w:b w:val="0"/>
        <w:i w:val="0"/>
        <w:sz w:val="20"/>
        <w:szCs w:val="20"/>
      </w:rPr>
    </w:lvl>
  </w:abstractNum>
  <w:abstractNum w:abstractNumId="4" w15:restartNumberingAfterBreak="0">
    <w:nsid w:val="156D31D8"/>
    <w:multiLevelType w:val="hybridMultilevel"/>
    <w:tmpl w:val="BDCCD36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B571867"/>
    <w:multiLevelType w:val="singleLevel"/>
    <w:tmpl w:val="A2E252AA"/>
    <w:lvl w:ilvl="0">
      <w:start w:val="1"/>
      <w:numFmt w:val="upperRoman"/>
      <w:pStyle w:val="Heading8"/>
      <w:lvlText w:val="%1."/>
      <w:lvlJc w:val="left"/>
      <w:pPr>
        <w:tabs>
          <w:tab w:val="num" w:pos="720"/>
        </w:tabs>
        <w:ind w:left="720" w:hanging="720"/>
      </w:pPr>
      <w:rPr>
        <w:rFonts w:hint="default"/>
      </w:rPr>
    </w:lvl>
  </w:abstractNum>
  <w:abstractNum w:abstractNumId="6" w15:restartNumberingAfterBreak="0">
    <w:nsid w:val="231C3085"/>
    <w:multiLevelType w:val="singleLevel"/>
    <w:tmpl w:val="BFA0F994"/>
    <w:lvl w:ilvl="0">
      <w:start w:val="1"/>
      <w:numFmt w:val="lowerLetter"/>
      <w:pStyle w:val="Paralevel2"/>
      <w:lvlText w:val="(%1)"/>
      <w:lvlJc w:val="left"/>
      <w:pPr>
        <w:tabs>
          <w:tab w:val="num" w:pos="938"/>
        </w:tabs>
        <w:ind w:left="0" w:firstLine="578"/>
      </w:pPr>
    </w:lvl>
  </w:abstractNum>
  <w:abstractNum w:abstractNumId="7" w15:restartNumberingAfterBreak="0">
    <w:nsid w:val="35571603"/>
    <w:multiLevelType w:val="singleLevel"/>
    <w:tmpl w:val="2868AC2A"/>
    <w:lvl w:ilvl="0">
      <w:start w:val="6"/>
      <w:numFmt w:val="upperLetter"/>
      <w:pStyle w:val="Heading9"/>
      <w:lvlText w:val="%1."/>
      <w:lvlJc w:val="left"/>
      <w:pPr>
        <w:tabs>
          <w:tab w:val="num" w:pos="360"/>
        </w:tabs>
        <w:ind w:left="360" w:hanging="360"/>
      </w:pPr>
      <w:rPr>
        <w:rFonts w:hint="default"/>
      </w:rPr>
    </w:lvl>
  </w:abstractNum>
  <w:abstractNum w:abstractNumId="8" w15:restartNumberingAfterBreak="0">
    <w:nsid w:val="50895292"/>
    <w:multiLevelType w:val="singleLevel"/>
    <w:tmpl w:val="3736A298"/>
    <w:lvl w:ilvl="0">
      <w:start w:val="1"/>
      <w:numFmt w:val="decimal"/>
      <w:pStyle w:val="Normal-num"/>
      <w:lvlText w:val="%1."/>
      <w:lvlJc w:val="left"/>
      <w:pPr>
        <w:tabs>
          <w:tab w:val="num" w:pos="1855"/>
        </w:tabs>
        <w:ind w:left="1855" w:hanging="720"/>
      </w:pPr>
      <w:rPr>
        <w:rFonts w:ascii="Times New Roman" w:eastAsia="Times New Roman" w:hAnsi="Times New Roman" w:cs="Times New Roman"/>
      </w:rPr>
    </w:lvl>
  </w:abstractNum>
  <w:abstractNum w:abstractNumId="9" w15:restartNumberingAfterBreak="0">
    <w:nsid w:val="52A66A9D"/>
    <w:multiLevelType w:val="multilevel"/>
    <w:tmpl w:val="48241D1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10" w15:restartNumberingAfterBreak="0">
    <w:nsid w:val="72DA5705"/>
    <w:multiLevelType w:val="hybridMultilevel"/>
    <w:tmpl w:val="436AABE6"/>
    <w:lvl w:ilvl="0" w:tplc="5142A012">
      <w:start w:val="1"/>
      <w:numFmt w:val="decimal"/>
      <w:lvlText w:val="%1."/>
      <w:lvlJc w:val="left"/>
      <w:pPr>
        <w:ind w:left="133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311E55"/>
    <w:multiLevelType w:val="hybridMultilevel"/>
    <w:tmpl w:val="04DCB6DA"/>
    <w:lvl w:ilvl="0" w:tplc="0809000F">
      <w:start w:val="1"/>
      <w:numFmt w:val="decimal"/>
      <w:lvlText w:val="%1."/>
      <w:lvlJc w:val="left"/>
      <w:pPr>
        <w:ind w:left="1339" w:hanging="360"/>
      </w:pPr>
      <w:rPr>
        <w:rFonts w:hint="default"/>
      </w:rPr>
    </w:lvl>
    <w:lvl w:ilvl="1" w:tplc="08090019" w:tentative="1">
      <w:start w:val="1"/>
      <w:numFmt w:val="lowerLetter"/>
      <w:lvlText w:val="%2."/>
      <w:lvlJc w:val="left"/>
      <w:pPr>
        <w:ind w:left="2059" w:hanging="360"/>
      </w:pPr>
    </w:lvl>
    <w:lvl w:ilvl="2" w:tplc="0809001B" w:tentative="1">
      <w:start w:val="1"/>
      <w:numFmt w:val="lowerRoman"/>
      <w:lvlText w:val="%3."/>
      <w:lvlJc w:val="right"/>
      <w:pPr>
        <w:ind w:left="2779" w:hanging="180"/>
      </w:pPr>
    </w:lvl>
    <w:lvl w:ilvl="3" w:tplc="0809000F" w:tentative="1">
      <w:start w:val="1"/>
      <w:numFmt w:val="decimal"/>
      <w:lvlText w:val="%4."/>
      <w:lvlJc w:val="left"/>
      <w:pPr>
        <w:ind w:left="3499" w:hanging="360"/>
      </w:pPr>
    </w:lvl>
    <w:lvl w:ilvl="4" w:tplc="08090019" w:tentative="1">
      <w:start w:val="1"/>
      <w:numFmt w:val="lowerLetter"/>
      <w:lvlText w:val="%5."/>
      <w:lvlJc w:val="left"/>
      <w:pPr>
        <w:ind w:left="4219" w:hanging="360"/>
      </w:pPr>
    </w:lvl>
    <w:lvl w:ilvl="5" w:tplc="0809001B" w:tentative="1">
      <w:start w:val="1"/>
      <w:numFmt w:val="lowerRoman"/>
      <w:lvlText w:val="%6."/>
      <w:lvlJc w:val="right"/>
      <w:pPr>
        <w:ind w:left="4939" w:hanging="180"/>
      </w:pPr>
    </w:lvl>
    <w:lvl w:ilvl="6" w:tplc="0809000F" w:tentative="1">
      <w:start w:val="1"/>
      <w:numFmt w:val="decimal"/>
      <w:lvlText w:val="%7."/>
      <w:lvlJc w:val="left"/>
      <w:pPr>
        <w:ind w:left="5659" w:hanging="360"/>
      </w:pPr>
    </w:lvl>
    <w:lvl w:ilvl="7" w:tplc="08090019" w:tentative="1">
      <w:start w:val="1"/>
      <w:numFmt w:val="lowerLetter"/>
      <w:lvlText w:val="%8."/>
      <w:lvlJc w:val="left"/>
      <w:pPr>
        <w:ind w:left="6379" w:hanging="360"/>
      </w:pPr>
    </w:lvl>
    <w:lvl w:ilvl="8" w:tplc="0809001B" w:tentative="1">
      <w:start w:val="1"/>
      <w:numFmt w:val="lowerRoman"/>
      <w:lvlText w:val="%9."/>
      <w:lvlJc w:val="right"/>
      <w:pPr>
        <w:ind w:left="7099" w:hanging="180"/>
      </w:pPr>
    </w:lvl>
  </w:abstractNum>
  <w:abstractNum w:abstractNumId="12" w15:restartNumberingAfterBreak="0">
    <w:nsid w:val="76F606D7"/>
    <w:multiLevelType w:val="hybridMultilevel"/>
    <w:tmpl w:val="4F3E4C1E"/>
    <w:lvl w:ilvl="0" w:tplc="AA389D30">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B6907"/>
    <w:multiLevelType w:val="hybridMultilevel"/>
    <w:tmpl w:val="00503B78"/>
    <w:lvl w:ilvl="0" w:tplc="748CBB5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62393797">
    <w:abstractNumId w:val="8"/>
  </w:num>
  <w:num w:numId="2" w16cid:durableId="1101798190">
    <w:abstractNumId w:val="3"/>
  </w:num>
  <w:num w:numId="3" w16cid:durableId="188492119">
    <w:abstractNumId w:val="6"/>
  </w:num>
  <w:num w:numId="4" w16cid:durableId="2132357402">
    <w:abstractNumId w:val="5"/>
  </w:num>
  <w:num w:numId="5" w16cid:durableId="561142298">
    <w:abstractNumId w:val="7"/>
  </w:num>
  <w:num w:numId="6" w16cid:durableId="1157455661">
    <w:abstractNumId w:val="9"/>
  </w:num>
  <w:num w:numId="7" w16cid:durableId="1605916904">
    <w:abstractNumId w:val="13"/>
  </w:num>
  <w:num w:numId="8" w16cid:durableId="1870952329">
    <w:abstractNumId w:val="11"/>
  </w:num>
  <w:num w:numId="9" w16cid:durableId="1805192508">
    <w:abstractNumId w:val="12"/>
  </w:num>
  <w:num w:numId="10" w16cid:durableId="862590830">
    <w:abstractNumId w:val="2"/>
  </w:num>
  <w:num w:numId="11" w16cid:durableId="523638037">
    <w:abstractNumId w:val="10"/>
  </w:num>
  <w:num w:numId="12" w16cid:durableId="1128350891">
    <w:abstractNumId w:val="1"/>
  </w:num>
  <w:num w:numId="13" w16cid:durableId="1568685542">
    <w:abstractNumId w:val="4"/>
  </w:num>
  <w:num w:numId="14" w16cid:durableId="95853169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24"/>
  <w:hyphenationZone w:val="425"/>
  <w:evenAndOddHeaders/>
  <w:noPunctuationKerning/>
  <w:characterSpacingControl w:val="doNotCompress"/>
  <w:hdrShapeDefaults>
    <o:shapedefaults v:ext="edit" spidmax="2050"/>
  </w:hdrShapeDefaults>
  <w:footnotePr>
    <w:numFmt w:val="chicago"/>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7EE"/>
    <w:rsid w:val="00007363"/>
    <w:rsid w:val="000122F6"/>
    <w:rsid w:val="00014EA2"/>
    <w:rsid w:val="00016304"/>
    <w:rsid w:val="00030DF1"/>
    <w:rsid w:val="00034C2C"/>
    <w:rsid w:val="00052F5D"/>
    <w:rsid w:val="00062D1A"/>
    <w:rsid w:val="0007117A"/>
    <w:rsid w:val="00072280"/>
    <w:rsid w:val="00072E4C"/>
    <w:rsid w:val="000749BD"/>
    <w:rsid w:val="00075512"/>
    <w:rsid w:val="00076314"/>
    <w:rsid w:val="00077602"/>
    <w:rsid w:val="00080B42"/>
    <w:rsid w:val="00081AF5"/>
    <w:rsid w:val="00083D5F"/>
    <w:rsid w:val="000922A4"/>
    <w:rsid w:val="000943D0"/>
    <w:rsid w:val="00096912"/>
    <w:rsid w:val="000A0795"/>
    <w:rsid w:val="000A1986"/>
    <w:rsid w:val="000A26DB"/>
    <w:rsid w:val="000A44F1"/>
    <w:rsid w:val="000B3A8D"/>
    <w:rsid w:val="000B754B"/>
    <w:rsid w:val="000C1EE4"/>
    <w:rsid w:val="000C4D2B"/>
    <w:rsid w:val="000C577E"/>
    <w:rsid w:val="000C5AF4"/>
    <w:rsid w:val="000D0831"/>
    <w:rsid w:val="000D2411"/>
    <w:rsid w:val="000D316D"/>
    <w:rsid w:val="000D35C7"/>
    <w:rsid w:val="000E1620"/>
    <w:rsid w:val="000E1C4F"/>
    <w:rsid w:val="000E47FB"/>
    <w:rsid w:val="000E47FE"/>
    <w:rsid w:val="000E5BC4"/>
    <w:rsid w:val="000F0BFF"/>
    <w:rsid w:val="000F1C7D"/>
    <w:rsid w:val="00126666"/>
    <w:rsid w:val="0012759E"/>
    <w:rsid w:val="00130DA6"/>
    <w:rsid w:val="00141FCC"/>
    <w:rsid w:val="0014691B"/>
    <w:rsid w:val="00156823"/>
    <w:rsid w:val="0016307C"/>
    <w:rsid w:val="001672D3"/>
    <w:rsid w:val="00173033"/>
    <w:rsid w:val="001774AA"/>
    <w:rsid w:val="0017798A"/>
    <w:rsid w:val="001A017A"/>
    <w:rsid w:val="001B6A3F"/>
    <w:rsid w:val="001C2BC6"/>
    <w:rsid w:val="001C4003"/>
    <w:rsid w:val="001C6128"/>
    <w:rsid w:val="001C7537"/>
    <w:rsid w:val="001D0197"/>
    <w:rsid w:val="001E7C54"/>
    <w:rsid w:val="001F0064"/>
    <w:rsid w:val="001F5CD0"/>
    <w:rsid w:val="002011CA"/>
    <w:rsid w:val="002112FE"/>
    <w:rsid w:val="00217D63"/>
    <w:rsid w:val="00220288"/>
    <w:rsid w:val="00234828"/>
    <w:rsid w:val="00237E0D"/>
    <w:rsid w:val="00237EE3"/>
    <w:rsid w:val="00241545"/>
    <w:rsid w:val="00251362"/>
    <w:rsid w:val="00251B90"/>
    <w:rsid w:val="00252162"/>
    <w:rsid w:val="0025311C"/>
    <w:rsid w:val="0025461E"/>
    <w:rsid w:val="002551E1"/>
    <w:rsid w:val="0025570F"/>
    <w:rsid w:val="00256743"/>
    <w:rsid w:val="002568F5"/>
    <w:rsid w:val="0026406A"/>
    <w:rsid w:val="00272551"/>
    <w:rsid w:val="0027347A"/>
    <w:rsid w:val="0028058B"/>
    <w:rsid w:val="0028258D"/>
    <w:rsid w:val="00282D8A"/>
    <w:rsid w:val="00283475"/>
    <w:rsid w:val="0028469F"/>
    <w:rsid w:val="002944EF"/>
    <w:rsid w:val="002A4458"/>
    <w:rsid w:val="002B19C8"/>
    <w:rsid w:val="002C3751"/>
    <w:rsid w:val="002C5778"/>
    <w:rsid w:val="002D1480"/>
    <w:rsid w:val="002D2389"/>
    <w:rsid w:val="002D73B2"/>
    <w:rsid w:val="002E4B14"/>
    <w:rsid w:val="002E4C40"/>
    <w:rsid w:val="002E5B8E"/>
    <w:rsid w:val="002E6750"/>
    <w:rsid w:val="002F1509"/>
    <w:rsid w:val="002F4F8F"/>
    <w:rsid w:val="00305C8A"/>
    <w:rsid w:val="00310FE3"/>
    <w:rsid w:val="00317170"/>
    <w:rsid w:val="00317A89"/>
    <w:rsid w:val="00322BB6"/>
    <w:rsid w:val="00323C05"/>
    <w:rsid w:val="00327952"/>
    <w:rsid w:val="0033433A"/>
    <w:rsid w:val="00335B08"/>
    <w:rsid w:val="0033687C"/>
    <w:rsid w:val="003409B1"/>
    <w:rsid w:val="00347123"/>
    <w:rsid w:val="003507BB"/>
    <w:rsid w:val="003526C5"/>
    <w:rsid w:val="00353750"/>
    <w:rsid w:val="00355F2A"/>
    <w:rsid w:val="00356C11"/>
    <w:rsid w:val="00357407"/>
    <w:rsid w:val="00364725"/>
    <w:rsid w:val="003703FC"/>
    <w:rsid w:val="003704B7"/>
    <w:rsid w:val="00370FEE"/>
    <w:rsid w:val="003876B6"/>
    <w:rsid w:val="00390AD1"/>
    <w:rsid w:val="00391DC0"/>
    <w:rsid w:val="0039759B"/>
    <w:rsid w:val="003A1B11"/>
    <w:rsid w:val="003D169B"/>
    <w:rsid w:val="003D184A"/>
    <w:rsid w:val="003E2E45"/>
    <w:rsid w:val="003E49E3"/>
    <w:rsid w:val="003E4D81"/>
    <w:rsid w:val="003E7CFD"/>
    <w:rsid w:val="003F2EF4"/>
    <w:rsid w:val="003F481E"/>
    <w:rsid w:val="003F6EF5"/>
    <w:rsid w:val="004002BA"/>
    <w:rsid w:val="0040419C"/>
    <w:rsid w:val="0040521D"/>
    <w:rsid w:val="0040642D"/>
    <w:rsid w:val="00406973"/>
    <w:rsid w:val="00410693"/>
    <w:rsid w:val="004122CD"/>
    <w:rsid w:val="00412C78"/>
    <w:rsid w:val="00416281"/>
    <w:rsid w:val="00420B72"/>
    <w:rsid w:val="00421879"/>
    <w:rsid w:val="004219D9"/>
    <w:rsid w:val="0042596E"/>
    <w:rsid w:val="00430E0B"/>
    <w:rsid w:val="00434631"/>
    <w:rsid w:val="004358DB"/>
    <w:rsid w:val="004358E3"/>
    <w:rsid w:val="00441FA9"/>
    <w:rsid w:val="0044728E"/>
    <w:rsid w:val="00447F73"/>
    <w:rsid w:val="004501C5"/>
    <w:rsid w:val="00450C20"/>
    <w:rsid w:val="00455C3E"/>
    <w:rsid w:val="004617C4"/>
    <w:rsid w:val="004636BB"/>
    <w:rsid w:val="00466720"/>
    <w:rsid w:val="004706A7"/>
    <w:rsid w:val="004836B7"/>
    <w:rsid w:val="00485575"/>
    <w:rsid w:val="00485E12"/>
    <w:rsid w:val="00486F50"/>
    <w:rsid w:val="004A42F7"/>
    <w:rsid w:val="004B3F43"/>
    <w:rsid w:val="004D1DC3"/>
    <w:rsid w:val="004D4287"/>
    <w:rsid w:val="004D4496"/>
    <w:rsid w:val="004E587B"/>
    <w:rsid w:val="004E6616"/>
    <w:rsid w:val="004F1A95"/>
    <w:rsid w:val="004F7982"/>
    <w:rsid w:val="005028A7"/>
    <w:rsid w:val="005053BB"/>
    <w:rsid w:val="005105B2"/>
    <w:rsid w:val="00513AD8"/>
    <w:rsid w:val="0051431B"/>
    <w:rsid w:val="0052195F"/>
    <w:rsid w:val="00521E1F"/>
    <w:rsid w:val="00522946"/>
    <w:rsid w:val="00526D60"/>
    <w:rsid w:val="00527B50"/>
    <w:rsid w:val="005321EC"/>
    <w:rsid w:val="0053576A"/>
    <w:rsid w:val="00550196"/>
    <w:rsid w:val="005514F3"/>
    <w:rsid w:val="005548A7"/>
    <w:rsid w:val="00560D66"/>
    <w:rsid w:val="00561EAB"/>
    <w:rsid w:val="0056562A"/>
    <w:rsid w:val="00573BA2"/>
    <w:rsid w:val="00573CA0"/>
    <w:rsid w:val="00574242"/>
    <w:rsid w:val="00574B50"/>
    <w:rsid w:val="00592A56"/>
    <w:rsid w:val="005969C3"/>
    <w:rsid w:val="005A1019"/>
    <w:rsid w:val="005A6F94"/>
    <w:rsid w:val="005B13D7"/>
    <w:rsid w:val="005B1F27"/>
    <w:rsid w:val="005B2688"/>
    <w:rsid w:val="005B2B27"/>
    <w:rsid w:val="005B4900"/>
    <w:rsid w:val="005C0AE5"/>
    <w:rsid w:val="005C5F9D"/>
    <w:rsid w:val="005C7DED"/>
    <w:rsid w:val="005D0740"/>
    <w:rsid w:val="005D226D"/>
    <w:rsid w:val="005D2378"/>
    <w:rsid w:val="005D2FCD"/>
    <w:rsid w:val="005E079A"/>
    <w:rsid w:val="005E3141"/>
    <w:rsid w:val="005F2B24"/>
    <w:rsid w:val="005F354C"/>
    <w:rsid w:val="005F5D77"/>
    <w:rsid w:val="00601534"/>
    <w:rsid w:val="00603B78"/>
    <w:rsid w:val="00612716"/>
    <w:rsid w:val="00614E03"/>
    <w:rsid w:val="006156CB"/>
    <w:rsid w:val="00615980"/>
    <w:rsid w:val="00617FB6"/>
    <w:rsid w:val="00621130"/>
    <w:rsid w:val="00623D86"/>
    <w:rsid w:val="0063171C"/>
    <w:rsid w:val="006319B7"/>
    <w:rsid w:val="0064079E"/>
    <w:rsid w:val="006428BD"/>
    <w:rsid w:val="006461B9"/>
    <w:rsid w:val="00651274"/>
    <w:rsid w:val="00655909"/>
    <w:rsid w:val="00657DF4"/>
    <w:rsid w:val="00662A53"/>
    <w:rsid w:val="00662D7C"/>
    <w:rsid w:val="0066496B"/>
    <w:rsid w:val="0067432B"/>
    <w:rsid w:val="0068093B"/>
    <w:rsid w:val="00680998"/>
    <w:rsid w:val="00683BF9"/>
    <w:rsid w:val="00684299"/>
    <w:rsid w:val="0068471B"/>
    <w:rsid w:val="006914F0"/>
    <w:rsid w:val="0069457E"/>
    <w:rsid w:val="00694E07"/>
    <w:rsid w:val="006A001A"/>
    <w:rsid w:val="006A1223"/>
    <w:rsid w:val="006A3F28"/>
    <w:rsid w:val="006A4216"/>
    <w:rsid w:val="006B14CF"/>
    <w:rsid w:val="006B2009"/>
    <w:rsid w:val="006B3E2F"/>
    <w:rsid w:val="006C0642"/>
    <w:rsid w:val="006C579B"/>
    <w:rsid w:val="006C65C8"/>
    <w:rsid w:val="006D2D1A"/>
    <w:rsid w:val="006D7453"/>
    <w:rsid w:val="006E6AD9"/>
    <w:rsid w:val="006F038B"/>
    <w:rsid w:val="006F1D1A"/>
    <w:rsid w:val="006F1DBF"/>
    <w:rsid w:val="006F4F61"/>
    <w:rsid w:val="006F5E66"/>
    <w:rsid w:val="00702E6B"/>
    <w:rsid w:val="00704692"/>
    <w:rsid w:val="00704F56"/>
    <w:rsid w:val="0070658C"/>
    <w:rsid w:val="00711F1C"/>
    <w:rsid w:val="00712D54"/>
    <w:rsid w:val="00714783"/>
    <w:rsid w:val="00717981"/>
    <w:rsid w:val="00720E7E"/>
    <w:rsid w:val="00734182"/>
    <w:rsid w:val="0074330C"/>
    <w:rsid w:val="00743455"/>
    <w:rsid w:val="0074519A"/>
    <w:rsid w:val="007460D4"/>
    <w:rsid w:val="00747ADF"/>
    <w:rsid w:val="00752D55"/>
    <w:rsid w:val="007633A1"/>
    <w:rsid w:val="00765766"/>
    <w:rsid w:val="00767D66"/>
    <w:rsid w:val="00780C78"/>
    <w:rsid w:val="00790D37"/>
    <w:rsid w:val="00795759"/>
    <w:rsid w:val="007A09D4"/>
    <w:rsid w:val="007A0A78"/>
    <w:rsid w:val="007A270B"/>
    <w:rsid w:val="007A5374"/>
    <w:rsid w:val="007A67F2"/>
    <w:rsid w:val="007B28C7"/>
    <w:rsid w:val="007C4FC7"/>
    <w:rsid w:val="007D014F"/>
    <w:rsid w:val="007D3CFE"/>
    <w:rsid w:val="007D4BED"/>
    <w:rsid w:val="007D7B04"/>
    <w:rsid w:val="007E2498"/>
    <w:rsid w:val="007E43F8"/>
    <w:rsid w:val="007E4D2B"/>
    <w:rsid w:val="007E6A8A"/>
    <w:rsid w:val="007F06EA"/>
    <w:rsid w:val="007F334D"/>
    <w:rsid w:val="007F68B3"/>
    <w:rsid w:val="007F738A"/>
    <w:rsid w:val="00812A50"/>
    <w:rsid w:val="00813CFA"/>
    <w:rsid w:val="00815A41"/>
    <w:rsid w:val="008203CF"/>
    <w:rsid w:val="00831D3A"/>
    <w:rsid w:val="0083335F"/>
    <w:rsid w:val="00833FFC"/>
    <w:rsid w:val="00840A29"/>
    <w:rsid w:val="00850BF2"/>
    <w:rsid w:val="00852C3A"/>
    <w:rsid w:val="00863993"/>
    <w:rsid w:val="00871623"/>
    <w:rsid w:val="0088305D"/>
    <w:rsid w:val="008856C3"/>
    <w:rsid w:val="00885FBA"/>
    <w:rsid w:val="00886C31"/>
    <w:rsid w:val="00887CED"/>
    <w:rsid w:val="00890451"/>
    <w:rsid w:val="008A0014"/>
    <w:rsid w:val="008A02F2"/>
    <w:rsid w:val="008A7898"/>
    <w:rsid w:val="008B0391"/>
    <w:rsid w:val="008B30C2"/>
    <w:rsid w:val="008C5EB2"/>
    <w:rsid w:val="008C7DFE"/>
    <w:rsid w:val="008E26AE"/>
    <w:rsid w:val="008E595A"/>
    <w:rsid w:val="008E5BBB"/>
    <w:rsid w:val="0091209F"/>
    <w:rsid w:val="00916231"/>
    <w:rsid w:val="00933A2D"/>
    <w:rsid w:val="00933F5E"/>
    <w:rsid w:val="0094123A"/>
    <w:rsid w:val="009448A9"/>
    <w:rsid w:val="00945DE5"/>
    <w:rsid w:val="009541B1"/>
    <w:rsid w:val="00955A58"/>
    <w:rsid w:val="00956070"/>
    <w:rsid w:val="009568AB"/>
    <w:rsid w:val="00961923"/>
    <w:rsid w:val="00963386"/>
    <w:rsid w:val="009667A5"/>
    <w:rsid w:val="00967CA3"/>
    <w:rsid w:val="009715AE"/>
    <w:rsid w:val="00972FDA"/>
    <w:rsid w:val="00973C3D"/>
    <w:rsid w:val="00981239"/>
    <w:rsid w:val="0098329A"/>
    <w:rsid w:val="009834C0"/>
    <w:rsid w:val="009845BB"/>
    <w:rsid w:val="00987A80"/>
    <w:rsid w:val="00987DF6"/>
    <w:rsid w:val="00991F65"/>
    <w:rsid w:val="009A4D6A"/>
    <w:rsid w:val="009A4D9F"/>
    <w:rsid w:val="009B086D"/>
    <w:rsid w:val="009B38CC"/>
    <w:rsid w:val="009C5AAE"/>
    <w:rsid w:val="009D334D"/>
    <w:rsid w:val="009E64B3"/>
    <w:rsid w:val="009F07EE"/>
    <w:rsid w:val="009F765F"/>
    <w:rsid w:val="00A02F62"/>
    <w:rsid w:val="00A03088"/>
    <w:rsid w:val="00A03793"/>
    <w:rsid w:val="00A03AC7"/>
    <w:rsid w:val="00A05124"/>
    <w:rsid w:val="00A11C86"/>
    <w:rsid w:val="00A21ED8"/>
    <w:rsid w:val="00A227A4"/>
    <w:rsid w:val="00A2522A"/>
    <w:rsid w:val="00A26819"/>
    <w:rsid w:val="00A26FB2"/>
    <w:rsid w:val="00A27A9B"/>
    <w:rsid w:val="00A321B2"/>
    <w:rsid w:val="00A426AC"/>
    <w:rsid w:val="00A42EBA"/>
    <w:rsid w:val="00A4441A"/>
    <w:rsid w:val="00A45D07"/>
    <w:rsid w:val="00A4668D"/>
    <w:rsid w:val="00A5111D"/>
    <w:rsid w:val="00A51E2D"/>
    <w:rsid w:val="00A57F4D"/>
    <w:rsid w:val="00A62A00"/>
    <w:rsid w:val="00A666AF"/>
    <w:rsid w:val="00A67C8F"/>
    <w:rsid w:val="00A772BF"/>
    <w:rsid w:val="00A832D5"/>
    <w:rsid w:val="00A9073A"/>
    <w:rsid w:val="00A91EE2"/>
    <w:rsid w:val="00A94E85"/>
    <w:rsid w:val="00AA6F61"/>
    <w:rsid w:val="00AB0541"/>
    <w:rsid w:val="00AC1484"/>
    <w:rsid w:val="00AD00B7"/>
    <w:rsid w:val="00AD577C"/>
    <w:rsid w:val="00AD75B1"/>
    <w:rsid w:val="00AD769B"/>
    <w:rsid w:val="00AE0457"/>
    <w:rsid w:val="00AE50DB"/>
    <w:rsid w:val="00AF650A"/>
    <w:rsid w:val="00AF7AD6"/>
    <w:rsid w:val="00B13EFB"/>
    <w:rsid w:val="00B20455"/>
    <w:rsid w:val="00B273D1"/>
    <w:rsid w:val="00B27B85"/>
    <w:rsid w:val="00B31116"/>
    <w:rsid w:val="00B3266B"/>
    <w:rsid w:val="00B32941"/>
    <w:rsid w:val="00B346BD"/>
    <w:rsid w:val="00B40E6D"/>
    <w:rsid w:val="00B4360D"/>
    <w:rsid w:val="00B473EE"/>
    <w:rsid w:val="00B47540"/>
    <w:rsid w:val="00B53722"/>
    <w:rsid w:val="00B55E29"/>
    <w:rsid w:val="00B57280"/>
    <w:rsid w:val="00B60BBB"/>
    <w:rsid w:val="00B61E3F"/>
    <w:rsid w:val="00B638F0"/>
    <w:rsid w:val="00B6479D"/>
    <w:rsid w:val="00B67622"/>
    <w:rsid w:val="00B745E4"/>
    <w:rsid w:val="00B75981"/>
    <w:rsid w:val="00B76F36"/>
    <w:rsid w:val="00B821DD"/>
    <w:rsid w:val="00B82465"/>
    <w:rsid w:val="00B94BF8"/>
    <w:rsid w:val="00BA2A8D"/>
    <w:rsid w:val="00BA3C84"/>
    <w:rsid w:val="00BA3F55"/>
    <w:rsid w:val="00BA74FC"/>
    <w:rsid w:val="00BA7BBF"/>
    <w:rsid w:val="00BB0234"/>
    <w:rsid w:val="00BB1489"/>
    <w:rsid w:val="00BB2D7A"/>
    <w:rsid w:val="00BB4077"/>
    <w:rsid w:val="00BB600F"/>
    <w:rsid w:val="00BD6924"/>
    <w:rsid w:val="00BE30ED"/>
    <w:rsid w:val="00BE7CA8"/>
    <w:rsid w:val="00C05D12"/>
    <w:rsid w:val="00C14846"/>
    <w:rsid w:val="00C1614A"/>
    <w:rsid w:val="00C21C51"/>
    <w:rsid w:val="00C23303"/>
    <w:rsid w:val="00C2413A"/>
    <w:rsid w:val="00C3129D"/>
    <w:rsid w:val="00C31F18"/>
    <w:rsid w:val="00C44E6A"/>
    <w:rsid w:val="00C46BC9"/>
    <w:rsid w:val="00C56324"/>
    <w:rsid w:val="00C57DF0"/>
    <w:rsid w:val="00C61A47"/>
    <w:rsid w:val="00C63CC8"/>
    <w:rsid w:val="00C67F26"/>
    <w:rsid w:val="00C72C41"/>
    <w:rsid w:val="00C73686"/>
    <w:rsid w:val="00C82A2A"/>
    <w:rsid w:val="00C82B23"/>
    <w:rsid w:val="00C872F9"/>
    <w:rsid w:val="00C90268"/>
    <w:rsid w:val="00CB3AB7"/>
    <w:rsid w:val="00CC2133"/>
    <w:rsid w:val="00CD6438"/>
    <w:rsid w:val="00CE0BEA"/>
    <w:rsid w:val="00CE10CD"/>
    <w:rsid w:val="00CF4AA1"/>
    <w:rsid w:val="00CF7E4B"/>
    <w:rsid w:val="00D01656"/>
    <w:rsid w:val="00D03BB0"/>
    <w:rsid w:val="00D06FBA"/>
    <w:rsid w:val="00D079F1"/>
    <w:rsid w:val="00D1667E"/>
    <w:rsid w:val="00D30390"/>
    <w:rsid w:val="00D32E99"/>
    <w:rsid w:val="00D335CA"/>
    <w:rsid w:val="00D364E7"/>
    <w:rsid w:val="00D424B0"/>
    <w:rsid w:val="00D43369"/>
    <w:rsid w:val="00D5622C"/>
    <w:rsid w:val="00D56FAC"/>
    <w:rsid w:val="00D62EC7"/>
    <w:rsid w:val="00D64BA9"/>
    <w:rsid w:val="00D64F22"/>
    <w:rsid w:val="00D677A2"/>
    <w:rsid w:val="00D72B9A"/>
    <w:rsid w:val="00D74080"/>
    <w:rsid w:val="00D74698"/>
    <w:rsid w:val="00D84739"/>
    <w:rsid w:val="00D97C17"/>
    <w:rsid w:val="00DA010D"/>
    <w:rsid w:val="00DA175B"/>
    <w:rsid w:val="00DA7DCF"/>
    <w:rsid w:val="00DB40F8"/>
    <w:rsid w:val="00DB4254"/>
    <w:rsid w:val="00DB5126"/>
    <w:rsid w:val="00DB53A3"/>
    <w:rsid w:val="00DC0CC9"/>
    <w:rsid w:val="00DC1A9B"/>
    <w:rsid w:val="00DC42E3"/>
    <w:rsid w:val="00DD0D68"/>
    <w:rsid w:val="00DD1FBF"/>
    <w:rsid w:val="00DD4910"/>
    <w:rsid w:val="00DD641A"/>
    <w:rsid w:val="00DE18AE"/>
    <w:rsid w:val="00DE7C16"/>
    <w:rsid w:val="00DF6EDF"/>
    <w:rsid w:val="00E00DDF"/>
    <w:rsid w:val="00E04048"/>
    <w:rsid w:val="00E0528F"/>
    <w:rsid w:val="00E10343"/>
    <w:rsid w:val="00E1127D"/>
    <w:rsid w:val="00E21653"/>
    <w:rsid w:val="00E22790"/>
    <w:rsid w:val="00E42D98"/>
    <w:rsid w:val="00E46D14"/>
    <w:rsid w:val="00E51A5E"/>
    <w:rsid w:val="00E52111"/>
    <w:rsid w:val="00E529EE"/>
    <w:rsid w:val="00E578A9"/>
    <w:rsid w:val="00E60879"/>
    <w:rsid w:val="00E61232"/>
    <w:rsid w:val="00E61F34"/>
    <w:rsid w:val="00E63C22"/>
    <w:rsid w:val="00E64C95"/>
    <w:rsid w:val="00E66E60"/>
    <w:rsid w:val="00E72564"/>
    <w:rsid w:val="00E73E9E"/>
    <w:rsid w:val="00E85D21"/>
    <w:rsid w:val="00E92D3A"/>
    <w:rsid w:val="00E936A3"/>
    <w:rsid w:val="00E968E5"/>
    <w:rsid w:val="00EB696D"/>
    <w:rsid w:val="00EB75C4"/>
    <w:rsid w:val="00EB78AB"/>
    <w:rsid w:val="00EC0668"/>
    <w:rsid w:val="00ED0E92"/>
    <w:rsid w:val="00ED2116"/>
    <w:rsid w:val="00EE3BC7"/>
    <w:rsid w:val="00EE56EB"/>
    <w:rsid w:val="00EF727F"/>
    <w:rsid w:val="00EF7C98"/>
    <w:rsid w:val="00F02D4C"/>
    <w:rsid w:val="00F03EFB"/>
    <w:rsid w:val="00F06790"/>
    <w:rsid w:val="00F07B4E"/>
    <w:rsid w:val="00F12813"/>
    <w:rsid w:val="00F140A2"/>
    <w:rsid w:val="00F15766"/>
    <w:rsid w:val="00F16108"/>
    <w:rsid w:val="00F21A5B"/>
    <w:rsid w:val="00F3555D"/>
    <w:rsid w:val="00F43F3E"/>
    <w:rsid w:val="00F44619"/>
    <w:rsid w:val="00F51EDE"/>
    <w:rsid w:val="00F558B7"/>
    <w:rsid w:val="00F55B9F"/>
    <w:rsid w:val="00F6173C"/>
    <w:rsid w:val="00F629A9"/>
    <w:rsid w:val="00F7005F"/>
    <w:rsid w:val="00F75974"/>
    <w:rsid w:val="00F75C27"/>
    <w:rsid w:val="00F75D36"/>
    <w:rsid w:val="00F77CC5"/>
    <w:rsid w:val="00F85049"/>
    <w:rsid w:val="00F867E6"/>
    <w:rsid w:val="00F900B5"/>
    <w:rsid w:val="00F90231"/>
    <w:rsid w:val="00F92940"/>
    <w:rsid w:val="00F9390F"/>
    <w:rsid w:val="00FA469B"/>
    <w:rsid w:val="00FA4E17"/>
    <w:rsid w:val="00FB0562"/>
    <w:rsid w:val="00FB291B"/>
    <w:rsid w:val="00FB78FD"/>
    <w:rsid w:val="00FB7D11"/>
    <w:rsid w:val="00FC0482"/>
    <w:rsid w:val="00FC0EE8"/>
    <w:rsid w:val="00FC7DF8"/>
    <w:rsid w:val="00FD1FBB"/>
    <w:rsid w:val="00FD7801"/>
    <w:rsid w:val="00FF7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53F1D"/>
  <w15:chartTrackingRefBased/>
  <w15:docId w15:val="{735703A4-923E-4F75-9A87-99C7BF32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5C4"/>
    <w:pPr>
      <w:spacing w:after="160" w:line="278" w:lineRule="auto"/>
    </w:pPr>
    <w:rPr>
      <w:rFonts w:asciiTheme="minorHAnsi" w:eastAsiaTheme="minorHAnsi" w:hAnsiTheme="minorHAnsi" w:cstheme="minorBidi"/>
      <w:kern w:val="2"/>
      <w:sz w:val="24"/>
      <w:szCs w:val="24"/>
      <w:lang w:val="en-KE"/>
      <w14:ligatures w14:val="standardContextual"/>
    </w:rPr>
  </w:style>
  <w:style w:type="paragraph" w:styleId="Heading1">
    <w:name w:val="heading 1"/>
    <w:aliases w:val="Para (1),Heading 1 Char,Heading 1 Char3 Char,Heading 1 Char Char1 Char,Heading 1 Char1 Char Char1 Char,Heading 1 Char Char Char Char1 Char1,Para (1) Char Char Char Char1 Char,Heading 1 Char3 Char Char Char Char1 Char,Heading 1 Char3,Título 11"/>
    <w:basedOn w:val="Normal"/>
    <w:next w:val="Normalnumber"/>
    <w:qFormat/>
    <w:rsid w:val="00A321B2"/>
    <w:pPr>
      <w:keepNext/>
      <w:tabs>
        <w:tab w:val="left" w:pos="1247"/>
        <w:tab w:val="left" w:pos="1814"/>
      </w:tabs>
      <w:spacing w:before="240" w:after="120"/>
      <w:ind w:left="1247" w:hanging="680"/>
      <w:outlineLvl w:val="0"/>
    </w:pPr>
    <w:rPr>
      <w:b/>
      <w:sz w:val="28"/>
    </w:rPr>
  </w:style>
  <w:style w:type="paragraph" w:styleId="Heading2">
    <w:name w:val="heading 2"/>
    <w:aliases w:val="SubPara (a),Heading 2 Char3,Heading 2 Char Char2,Heading 2 Char1 Char Char1,SubPara (a) Char Char Char1,Heading 2 Char Char Char Char1,Heading 2 Char1 Char Char Char Char1,SubPara (a) Char1 Char Char Char Char1,Heading 2 Char2,Heading 2 Char1"/>
    <w:basedOn w:val="Normal"/>
    <w:next w:val="Normalnumber"/>
    <w:qFormat/>
    <w:rsid w:val="00A321B2"/>
    <w:pPr>
      <w:keepNext/>
      <w:spacing w:before="240" w:after="120"/>
      <w:ind w:left="1247" w:hanging="680"/>
      <w:outlineLvl w:val="1"/>
    </w:pPr>
    <w:rPr>
      <w:b/>
    </w:rPr>
  </w:style>
  <w:style w:type="paragraph" w:styleId="Heading3">
    <w:name w:val="heading 3"/>
    <w:aliases w:val="Char,Char Char,Heading 3 Char,Heading 3 Char1,Heading 3 Char Char,Char Char Char,Char Char1,Heading 3 Char1 Char,Heading 3 Char Char Char,Char Char Char Char,Char Char1 Char,Heading 3 Char2,Char Char2,Char Char Char1,Heading 3 Char Char1 Char"/>
    <w:basedOn w:val="Normal"/>
    <w:next w:val="Normalnumber"/>
    <w:qFormat/>
    <w:rsid w:val="00A321B2"/>
    <w:pPr>
      <w:spacing w:after="120"/>
      <w:ind w:left="1247" w:hanging="680"/>
      <w:outlineLvl w:val="2"/>
    </w:pPr>
    <w:rPr>
      <w:b/>
    </w:rPr>
  </w:style>
  <w:style w:type="paragraph" w:styleId="Heading4">
    <w:name w:val="heading 4"/>
    <w:aliases w:val="Heading 11,para 4,Título 41,heading 4,Heading 41,标题 41,He=ding 41,标 题  41"/>
    <w:basedOn w:val="Heading3"/>
    <w:next w:val="Normalnumber"/>
    <w:qFormat/>
    <w:rsid w:val="00A321B2"/>
    <w:pPr>
      <w:keepNext/>
      <w:outlineLvl w:val="3"/>
    </w:pPr>
  </w:style>
  <w:style w:type="paragraph" w:styleId="Heading5">
    <w:name w:val="heading 5"/>
    <w:basedOn w:val="Normal"/>
    <w:next w:val="Normal"/>
    <w:qFormat/>
    <w:rsid w:val="00A321B2"/>
    <w:pPr>
      <w:keepNext/>
      <w:outlineLvl w:val="4"/>
    </w:pPr>
    <w:rPr>
      <w:rFonts w:ascii="Univers" w:hAnsi="Univers"/>
      <w:b/>
    </w:rPr>
  </w:style>
  <w:style w:type="paragraph" w:styleId="Heading6">
    <w:name w:val="heading 6"/>
    <w:basedOn w:val="Normal"/>
    <w:next w:val="Normal"/>
    <w:qFormat/>
    <w:rsid w:val="00A321B2"/>
    <w:pPr>
      <w:keepNext/>
      <w:ind w:left="578"/>
      <w:outlineLvl w:val="5"/>
    </w:pPr>
    <w:rPr>
      <w:b/>
      <w:bCs/>
    </w:rPr>
  </w:style>
  <w:style w:type="paragraph" w:styleId="Heading7">
    <w:name w:val="heading 7"/>
    <w:basedOn w:val="Normal"/>
    <w:next w:val="Normal"/>
    <w:qFormat/>
    <w:rsid w:val="00A321B2"/>
    <w:pPr>
      <w:keepNext/>
      <w:widowControl w:val="0"/>
      <w:jc w:val="center"/>
      <w:outlineLvl w:val="6"/>
    </w:pPr>
    <w:rPr>
      <w:snapToGrid w:val="0"/>
      <w:u w:val="single"/>
    </w:rPr>
  </w:style>
  <w:style w:type="paragraph" w:styleId="Heading8">
    <w:name w:val="heading 8"/>
    <w:basedOn w:val="Normal"/>
    <w:next w:val="Normal"/>
    <w:qFormat/>
    <w:rsid w:val="00A321B2"/>
    <w:pPr>
      <w:keepNext/>
      <w:widowControl w:val="0"/>
      <w:numPr>
        <w:numId w:val="4"/>
      </w:numPr>
      <w:tabs>
        <w:tab w:val="left" w:pos="-1440"/>
        <w:tab w:val="left" w:pos="-720"/>
      </w:tabs>
      <w:suppressAutoHyphens/>
      <w:jc w:val="center"/>
      <w:outlineLvl w:val="7"/>
    </w:pPr>
    <w:rPr>
      <w:snapToGrid w:val="0"/>
      <w:u w:val="single"/>
    </w:rPr>
  </w:style>
  <w:style w:type="paragraph" w:styleId="Heading9">
    <w:name w:val="heading 9"/>
    <w:basedOn w:val="Normal"/>
    <w:next w:val="Normal"/>
    <w:qFormat/>
    <w:rsid w:val="00A321B2"/>
    <w:pPr>
      <w:keepNext/>
      <w:widowControl w:val="0"/>
      <w:numPr>
        <w:numId w:val="5"/>
      </w:numPr>
      <w:suppressAutoHyphens/>
      <w:jc w:val="center"/>
      <w:outlineLvl w:val="8"/>
    </w:pPr>
    <w:rPr>
      <w:snapToGrid w:val="0"/>
      <w:u w:val="single"/>
    </w:rPr>
  </w:style>
  <w:style w:type="character" w:default="1" w:styleId="DefaultParagraphFont">
    <w:name w:val="Default Paragraph Font"/>
    <w:uiPriority w:val="1"/>
    <w:semiHidden/>
    <w:unhideWhenUsed/>
    <w:rsid w:val="00EB75C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75C4"/>
  </w:style>
  <w:style w:type="character" w:styleId="PageNumber">
    <w:name w:val="page number"/>
    <w:semiHidden/>
    <w:rsid w:val="00A321B2"/>
    <w:rPr>
      <w:rFonts w:ascii="Times New Roman" w:hAnsi="Times New Roman"/>
      <w:b/>
      <w:sz w:val="18"/>
    </w:rPr>
  </w:style>
  <w:style w:type="table" w:customStyle="1" w:styleId="Tabledocright">
    <w:name w:val="Table_doc_right"/>
    <w:basedOn w:val="TableNormal"/>
    <w:rsid w:val="00A321B2"/>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autoRedefine/>
    <w:semiHidden/>
    <w:rsid w:val="00A321B2"/>
    <w:pPr>
      <w:ind w:left="1000"/>
    </w:pPr>
    <w:rPr>
      <w:sz w:val="18"/>
      <w:szCs w:val="18"/>
    </w:rPr>
  </w:style>
  <w:style w:type="paragraph" w:styleId="TOC7">
    <w:name w:val="toc 7"/>
    <w:basedOn w:val="Normal"/>
    <w:next w:val="Normal"/>
    <w:autoRedefine/>
    <w:semiHidden/>
    <w:rsid w:val="00A321B2"/>
    <w:pPr>
      <w:ind w:left="1200"/>
    </w:pPr>
    <w:rPr>
      <w:sz w:val="18"/>
      <w:szCs w:val="18"/>
    </w:rPr>
  </w:style>
  <w:style w:type="paragraph" w:styleId="TOC8">
    <w:name w:val="toc 8"/>
    <w:basedOn w:val="Normal"/>
    <w:next w:val="Normal"/>
    <w:autoRedefine/>
    <w:semiHidden/>
    <w:rsid w:val="00A321B2"/>
    <w:pPr>
      <w:ind w:left="1400"/>
    </w:pPr>
    <w:rPr>
      <w:sz w:val="18"/>
      <w:szCs w:val="18"/>
    </w:rPr>
  </w:style>
  <w:style w:type="paragraph" w:styleId="TOC9">
    <w:name w:val="toc 9"/>
    <w:basedOn w:val="Normal"/>
    <w:next w:val="Normal"/>
    <w:autoRedefine/>
    <w:semiHidden/>
    <w:rsid w:val="00A321B2"/>
    <w:pPr>
      <w:ind w:left="1600"/>
    </w:pPr>
    <w:rPr>
      <w:sz w:val="18"/>
      <w:szCs w:val="18"/>
    </w:rPr>
  </w:style>
  <w:style w:type="paragraph" w:customStyle="1" w:styleId="Titlefigure">
    <w:name w:val="Title_figure"/>
    <w:basedOn w:val="Titletable"/>
    <w:next w:val="NormalNonumber"/>
    <w:rsid w:val="00A321B2"/>
    <w:rPr>
      <w:bCs w:val="0"/>
    </w:rPr>
  </w:style>
  <w:style w:type="paragraph" w:styleId="TableofFigures">
    <w:name w:val="table of figures"/>
    <w:basedOn w:val="Normal"/>
    <w:next w:val="Normal"/>
    <w:autoRedefine/>
    <w:semiHidden/>
    <w:rsid w:val="00A321B2"/>
    <w:pPr>
      <w:ind w:left="1814" w:hanging="567"/>
    </w:pPr>
  </w:style>
  <w:style w:type="paragraph" w:customStyle="1" w:styleId="CH1">
    <w:name w:val="CH1"/>
    <w:basedOn w:val="Normal-pool"/>
    <w:next w:val="CH2"/>
    <w:rsid w:val="00A321B2"/>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A321B2"/>
    <w:pPr>
      <w:keepNext/>
      <w:keepLines/>
      <w:tabs>
        <w:tab w:val="right" w:pos="851"/>
      </w:tabs>
      <w:suppressAutoHyphens/>
      <w:spacing w:before="120" w:after="120"/>
      <w:ind w:left="1247" w:right="284" w:hanging="1247"/>
    </w:pPr>
    <w:rPr>
      <w:b/>
      <w:sz w:val="24"/>
      <w:szCs w:val="24"/>
    </w:rPr>
  </w:style>
  <w:style w:type="paragraph" w:customStyle="1" w:styleId="CH3">
    <w:name w:val="CH3"/>
    <w:basedOn w:val="Normal-pool"/>
    <w:next w:val="Normalnumber"/>
    <w:rsid w:val="00A321B2"/>
    <w:pPr>
      <w:keepNext/>
      <w:keepLines/>
      <w:tabs>
        <w:tab w:val="right" w:pos="851"/>
      </w:tabs>
      <w:suppressAutoHyphens/>
      <w:spacing w:after="120"/>
      <w:ind w:left="1247" w:right="284" w:hanging="1247"/>
    </w:pPr>
    <w:rPr>
      <w:b/>
    </w:rPr>
  </w:style>
  <w:style w:type="paragraph" w:customStyle="1" w:styleId="CH4">
    <w:name w:val="CH4"/>
    <w:basedOn w:val="Normal-pool"/>
    <w:next w:val="Normalnumber"/>
    <w:rsid w:val="00A321B2"/>
    <w:pPr>
      <w:keepNext/>
      <w:keepLines/>
      <w:tabs>
        <w:tab w:val="right" w:pos="851"/>
      </w:tabs>
      <w:suppressAutoHyphens/>
      <w:spacing w:after="120"/>
      <w:ind w:left="1247" w:right="284" w:hanging="1247"/>
    </w:pPr>
    <w:rPr>
      <w:b/>
    </w:rPr>
  </w:style>
  <w:style w:type="table" w:customStyle="1" w:styleId="Footertable">
    <w:name w:val="Footer_table"/>
    <w:basedOn w:val="TableNormal"/>
    <w:semiHidden/>
    <w:rsid w:val="00A321B2"/>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semiHidden/>
    <w:rsid w:val="00A321B2"/>
    <w:pPr>
      <w:keepNext/>
      <w:keepLines/>
      <w:tabs>
        <w:tab w:val="right" w:pos="851"/>
      </w:tabs>
      <w:suppressAutoHyphens/>
      <w:spacing w:after="120"/>
      <w:ind w:left="1247" w:right="284" w:hanging="1247"/>
    </w:pPr>
    <w:rPr>
      <w:b/>
    </w:rPr>
  </w:style>
  <w:style w:type="paragraph" w:styleId="Caption">
    <w:name w:val="caption"/>
    <w:basedOn w:val="Normal"/>
    <w:next w:val="Normal"/>
    <w:qFormat/>
    <w:rsid w:val="009F07EE"/>
    <w:pPr>
      <w:widowControl w:val="0"/>
    </w:pPr>
    <w:rPr>
      <w:snapToGrid w:val="0"/>
    </w:rPr>
  </w:style>
  <w:style w:type="paragraph" w:customStyle="1" w:styleId="Normal-num">
    <w:name w:val="Normal-num"/>
    <w:basedOn w:val="Normal"/>
    <w:next w:val="Normal"/>
    <w:rsid w:val="009F07EE"/>
    <w:pPr>
      <w:numPr>
        <w:numId w:val="1"/>
      </w:numPr>
      <w:suppressAutoHyphens/>
      <w:spacing w:after="120"/>
    </w:pPr>
    <w:rPr>
      <w:lang w:eastAsia="zh-CN"/>
    </w:rPr>
  </w:style>
  <w:style w:type="paragraph" w:customStyle="1" w:styleId="Paralevel1">
    <w:name w:val="Para level1"/>
    <w:basedOn w:val="Normal"/>
    <w:rsid w:val="009F07EE"/>
    <w:pPr>
      <w:numPr>
        <w:numId w:val="2"/>
      </w:numPr>
      <w:tabs>
        <w:tab w:val="clear" w:pos="360"/>
      </w:tabs>
      <w:spacing w:after="120"/>
      <w:ind w:left="1247"/>
    </w:pPr>
    <w:rPr>
      <w:sz w:val="20"/>
    </w:rPr>
  </w:style>
  <w:style w:type="paragraph" w:customStyle="1" w:styleId="Paralevel2">
    <w:name w:val="Para level2"/>
    <w:basedOn w:val="Paralevel1"/>
    <w:rsid w:val="009F07EE"/>
    <w:pPr>
      <w:numPr>
        <w:numId w:val="3"/>
      </w:numPr>
    </w:pPr>
  </w:style>
  <w:style w:type="paragraph" w:styleId="CommentText">
    <w:name w:val="annotation text"/>
    <w:basedOn w:val="Normal"/>
    <w:link w:val="CommentTextChar"/>
    <w:rsid w:val="009F07EE"/>
    <w:rPr>
      <w:sz w:val="20"/>
    </w:rPr>
  </w:style>
  <w:style w:type="character" w:customStyle="1" w:styleId="CommentTextChar">
    <w:name w:val="Comment Text Char"/>
    <w:link w:val="CommentText"/>
    <w:rsid w:val="009F07EE"/>
    <w:rPr>
      <w:lang w:val="en-GB" w:eastAsia="en-US" w:bidi="ar-SA"/>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qFormat/>
    <w:rsid w:val="00A321B2"/>
    <w:rPr>
      <w:rFonts w:ascii="Times New Roman" w:hAnsi="Times New Roman"/>
      <w:color w:val="auto"/>
      <w:sz w:val="20"/>
      <w:szCs w:val="18"/>
      <w:vertAlign w:val="superscript"/>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pool"/>
    <w:link w:val="FootnoteTextChar"/>
    <w:qFormat/>
    <w:rsid w:val="00A321B2"/>
    <w:pPr>
      <w:spacing w:before="20" w:after="40"/>
      <w:ind w:left="1247"/>
    </w:pPr>
    <w:rPr>
      <w:sz w:val="18"/>
    </w:rPr>
  </w:style>
  <w:style w:type="paragraph" w:customStyle="1" w:styleId="Level3">
    <w:name w:val="Level3"/>
    <w:basedOn w:val="Normal"/>
    <w:autoRedefine/>
    <w:rsid w:val="000A3548"/>
    <w:pPr>
      <w:keepNext/>
      <w:keepLines/>
      <w:spacing w:before="60" w:after="60"/>
    </w:pPr>
    <w:rPr>
      <w:i/>
      <w:sz w:val="18"/>
    </w:rPr>
  </w:style>
  <w:style w:type="paragraph" w:styleId="BalloonText">
    <w:name w:val="Balloon Text"/>
    <w:basedOn w:val="Normal"/>
    <w:link w:val="BalloonTextChar"/>
    <w:rsid w:val="00A5623D"/>
    <w:rPr>
      <w:rFonts w:ascii="Tahoma" w:hAnsi="Tahoma" w:cs="Tahoma"/>
      <w:sz w:val="16"/>
      <w:szCs w:val="16"/>
    </w:rPr>
  </w:style>
  <w:style w:type="character" w:customStyle="1" w:styleId="BalloonTextChar">
    <w:name w:val="Balloon Text Char"/>
    <w:link w:val="BalloonText"/>
    <w:rsid w:val="00A5623D"/>
    <w:rPr>
      <w:rFonts w:ascii="Tahoma" w:hAnsi="Tahoma" w:cs="Tahoma"/>
      <w:sz w:val="16"/>
      <w:szCs w:val="16"/>
      <w:lang w:val="en-GB"/>
    </w:rPr>
  </w:style>
  <w:style w:type="character" w:styleId="CommentReference">
    <w:name w:val="annotation reference"/>
    <w:rsid w:val="00480138"/>
    <w:rPr>
      <w:sz w:val="16"/>
      <w:szCs w:val="16"/>
    </w:rPr>
  </w:style>
  <w:style w:type="paragraph" w:styleId="CommentSubject">
    <w:name w:val="annotation subject"/>
    <w:basedOn w:val="CommentText"/>
    <w:next w:val="CommentText"/>
    <w:link w:val="CommentSubjectChar"/>
    <w:rsid w:val="00480138"/>
    <w:rPr>
      <w:b/>
      <w:bCs/>
    </w:rPr>
  </w:style>
  <w:style w:type="character" w:customStyle="1" w:styleId="CommentSubjectChar">
    <w:name w:val="Comment Subject Char"/>
    <w:link w:val="CommentSubject"/>
    <w:rsid w:val="00480138"/>
    <w:rPr>
      <w:b/>
      <w:bCs/>
      <w:lang w:val="en-GB" w:eastAsia="en-US" w:bidi="ar-SA"/>
    </w:rPr>
  </w:style>
  <w:style w:type="paragraph" w:customStyle="1" w:styleId="Anxtitle">
    <w:name w:val="Anx title"/>
    <w:basedOn w:val="Normal"/>
    <w:rsid w:val="00986AB5"/>
    <w:pPr>
      <w:ind w:left="1247"/>
    </w:pPr>
    <w:rPr>
      <w:b/>
      <w:bCs/>
      <w:sz w:val="28"/>
      <w:szCs w:val="26"/>
    </w:rPr>
  </w:style>
  <w:style w:type="table" w:styleId="TableGrid">
    <w:name w:val="Table Grid"/>
    <w:basedOn w:val="TableNormal"/>
    <w:rsid w:val="00E81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ool">
    <w:name w:val="Normal_pool"/>
    <w:link w:val="NormalpoolChar"/>
    <w:rsid w:val="0027019A"/>
    <w:pPr>
      <w:tabs>
        <w:tab w:val="left" w:pos="1253"/>
        <w:tab w:val="left" w:pos="1814"/>
        <w:tab w:val="left" w:pos="2376"/>
        <w:tab w:val="left" w:pos="2952"/>
        <w:tab w:val="left" w:pos="3514"/>
      </w:tabs>
    </w:pPr>
    <w:rPr>
      <w:lang w:val="en-GB"/>
    </w:rPr>
  </w:style>
  <w:style w:type="character" w:customStyle="1" w:styleId="NormalpoolChar">
    <w:name w:val="Normal_pool Char"/>
    <w:link w:val="Normalpool"/>
    <w:locked/>
    <w:rsid w:val="0027019A"/>
    <w:rPr>
      <w:lang w:val="en-GB" w:eastAsia="en-US" w:bidi="ar-SA"/>
    </w:rPr>
  </w:style>
  <w:style w:type="paragraph" w:styleId="NormalIndent">
    <w:name w:val="Normal Indent"/>
    <w:basedOn w:val="Normal"/>
    <w:semiHidden/>
    <w:rsid w:val="00A321B2"/>
    <w:pPr>
      <w:ind w:left="1247"/>
    </w:pPr>
  </w:style>
  <w:style w:type="paragraph" w:customStyle="1" w:styleId="Normal-pool">
    <w:name w:val="Normal-pool"/>
    <w:link w:val="Normal-poolChar"/>
    <w:qFormat/>
    <w:rsid w:val="00A321B2"/>
    <w:pPr>
      <w:tabs>
        <w:tab w:val="left" w:pos="1247"/>
        <w:tab w:val="left" w:pos="1814"/>
        <w:tab w:val="left" w:pos="2381"/>
        <w:tab w:val="left" w:pos="2948"/>
        <w:tab w:val="left" w:pos="3515"/>
      </w:tabs>
    </w:pPr>
    <w:rPr>
      <w:lang w:val="en-GB"/>
    </w:rPr>
  </w:style>
  <w:style w:type="paragraph" w:styleId="Title">
    <w:name w:val="Title"/>
    <w:basedOn w:val="Normal"/>
    <w:autoRedefine/>
    <w:qFormat/>
    <w:rsid w:val="008D7933"/>
    <w:pPr>
      <w:spacing w:before="360" w:after="240"/>
      <w:ind w:left="1247" w:right="567"/>
      <w:outlineLvl w:val="0"/>
    </w:pPr>
    <w:rPr>
      <w:rFonts w:cs="Arial"/>
      <w:b/>
      <w:bCs/>
      <w:color w:val="000000"/>
      <w:kern w:val="28"/>
      <w:sz w:val="28"/>
      <w:szCs w:val="28"/>
    </w:rPr>
  </w:style>
  <w:style w:type="paragraph" w:customStyle="1" w:styleId="Tableheading">
    <w:name w:val="Table heading"/>
    <w:basedOn w:val="Normal"/>
    <w:rsid w:val="008D7933"/>
    <w:pPr>
      <w:keepNext/>
      <w:spacing w:before="120" w:after="240"/>
      <w:ind w:left="1984" w:hanging="907"/>
    </w:pPr>
    <w:rPr>
      <w:i/>
      <w:lang w:eastAsia="zh-CN"/>
    </w:rPr>
  </w:style>
  <w:style w:type="character" w:styleId="Strong">
    <w:name w:val="Strong"/>
    <w:qFormat/>
    <w:rsid w:val="009E2CA1"/>
    <w:rPr>
      <w:b/>
    </w:rPr>
  </w:style>
  <w:style w:type="paragraph" w:customStyle="1" w:styleId="ColorfulShading-Accent11">
    <w:name w:val="Colorful Shading - Accent 11"/>
    <w:hidden/>
    <w:uiPriority w:val="71"/>
    <w:rsid w:val="00A03AC7"/>
    <w:rPr>
      <w:lang w:val="en-GB"/>
    </w:rPr>
  </w:style>
  <w:style w:type="paragraph" w:styleId="EndnoteText">
    <w:name w:val="endnote text"/>
    <w:basedOn w:val="Normal"/>
    <w:link w:val="EndnoteTextChar"/>
    <w:rsid w:val="00C90268"/>
    <w:rPr>
      <w:sz w:val="20"/>
      <w:szCs w:val="20"/>
    </w:rPr>
  </w:style>
  <w:style w:type="character" w:customStyle="1" w:styleId="EndnoteTextChar">
    <w:name w:val="Endnote Text Char"/>
    <w:link w:val="EndnoteText"/>
    <w:rsid w:val="00C90268"/>
    <w:rPr>
      <w:rFonts w:ascii="Calibri" w:eastAsia="Calibri" w:hAnsi="Calibri" w:cs="Times New Roman"/>
    </w:rPr>
  </w:style>
  <w:style w:type="character" w:styleId="EndnoteReference">
    <w:name w:val="endnote reference"/>
    <w:rsid w:val="00C90268"/>
    <w:rPr>
      <w:vertAlign w:val="superscript"/>
    </w:rPr>
  </w:style>
  <w:style w:type="character" w:customStyle="1" w:styleId="Normal-poolChar">
    <w:name w:val="Normal-pool Char"/>
    <w:link w:val="Normal-pool"/>
    <w:rsid w:val="00574242"/>
    <w:rPr>
      <w:lang w:eastAsia="en-US"/>
    </w:rPr>
  </w:style>
  <w:style w:type="character" w:customStyle="1" w:styleId="FooterChar">
    <w:name w:val="Footer Char"/>
    <w:link w:val="Footer"/>
    <w:uiPriority w:val="99"/>
    <w:rsid w:val="00574242"/>
    <w:rPr>
      <w:sz w:val="18"/>
      <w:lang w:eastAsia="en-US"/>
    </w:rPr>
  </w:style>
  <w:style w:type="character" w:customStyle="1" w:styleId="UnresolvedMention1">
    <w:name w:val="Unresolved Mention1"/>
    <w:uiPriority w:val="99"/>
    <w:semiHidden/>
    <w:unhideWhenUsed/>
    <w:rsid w:val="00F867E6"/>
    <w:rPr>
      <w:color w:val="605E5C"/>
      <w:shd w:val="clear" w:color="auto" w:fill="E1DFDD"/>
    </w:rPr>
  </w:style>
  <w:style w:type="table" w:customStyle="1" w:styleId="AATable">
    <w:name w:val="AA_Table"/>
    <w:basedOn w:val="TableNormal"/>
    <w:rsid w:val="00A321B2"/>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beforeLines="0" w:before="120" w:beforeAutospacing="0" w:afterLines="0" w:after="0" w:afterAutospacing="0"/>
        <w:ind w:rightChars="0" w:right="567"/>
        <w:contextualSpacing w:val="0"/>
      </w:pPr>
      <w:rPr>
        <w:rFonts w:ascii="Arial" w:hAnsi="Arial"/>
        <w:b/>
        <w:sz w:val="28"/>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240" w:afterAutospacing="0"/>
        <w:ind w:rightChars="0" w:right="0"/>
      </w:pPr>
      <w:rPr>
        <w:rFonts w:ascii="Times New Roman" w:hAnsi="Times New Roman"/>
      </w:rPr>
    </w:tblStylePr>
  </w:style>
  <w:style w:type="paragraph" w:customStyle="1" w:styleId="AATitle">
    <w:name w:val="AA_Title"/>
    <w:basedOn w:val="Normal-pool"/>
    <w:qFormat/>
    <w:rsid w:val="00A321B2"/>
    <w:pPr>
      <w:keepNext/>
      <w:keepLines/>
      <w:suppressAutoHyphens/>
      <w:ind w:right="3402"/>
    </w:pPr>
    <w:rPr>
      <w:b/>
    </w:rPr>
  </w:style>
  <w:style w:type="paragraph" w:customStyle="1" w:styleId="AATitle2">
    <w:name w:val="AA_Title2"/>
    <w:basedOn w:val="AATitle"/>
    <w:rsid w:val="00A321B2"/>
    <w:pPr>
      <w:spacing w:before="120" w:after="120"/>
      <w:ind w:right="1701"/>
    </w:pPr>
  </w:style>
  <w:style w:type="paragraph" w:customStyle="1" w:styleId="BBTitle">
    <w:name w:val="BB_Title"/>
    <w:basedOn w:val="Normal-pool"/>
    <w:link w:val="BBTitleChar"/>
    <w:qFormat/>
    <w:rsid w:val="00A321B2"/>
    <w:pPr>
      <w:keepNext/>
      <w:keepLines/>
      <w:suppressAutoHyphens/>
      <w:spacing w:before="320" w:after="240"/>
      <w:ind w:left="1247" w:right="567"/>
    </w:pPr>
    <w:rPr>
      <w:b/>
      <w:sz w:val="28"/>
      <w:szCs w:val="28"/>
    </w:rPr>
  </w:style>
  <w:style w:type="paragraph" w:styleId="Footer">
    <w:name w:val="footer"/>
    <w:basedOn w:val="Normal-pool"/>
    <w:link w:val="FooterChar"/>
    <w:uiPriority w:val="99"/>
    <w:rsid w:val="00A321B2"/>
    <w:pPr>
      <w:tabs>
        <w:tab w:val="center" w:pos="4320"/>
        <w:tab w:val="right" w:pos="8640"/>
      </w:tabs>
      <w:spacing w:before="60" w:after="120"/>
    </w:pPr>
    <w:rPr>
      <w:sz w:val="18"/>
    </w:rPr>
  </w:style>
  <w:style w:type="paragraph" w:styleId="Header">
    <w:name w:val="header"/>
    <w:basedOn w:val="Normal-pool"/>
    <w:link w:val="HeaderChar"/>
    <w:rsid w:val="00A321B2"/>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character" w:styleId="Hyperlink">
    <w:name w:val="Hyperlink"/>
    <w:semiHidden/>
    <w:rsid w:val="00A321B2"/>
    <w:rPr>
      <w:rFonts w:ascii="Times New Roman" w:hAnsi="Times New Roman"/>
      <w:color w:val="auto"/>
      <w:sz w:val="20"/>
      <w:szCs w:val="20"/>
      <w:u w:val="none"/>
      <w:lang w:val="fr-FR"/>
    </w:rPr>
  </w:style>
  <w:style w:type="numbering" w:customStyle="1" w:styleId="Normallist">
    <w:name w:val="Normal_list"/>
    <w:basedOn w:val="NoList"/>
    <w:rsid w:val="00A321B2"/>
    <w:pPr>
      <w:numPr>
        <w:numId w:val="6"/>
      </w:numPr>
    </w:pPr>
  </w:style>
  <w:style w:type="paragraph" w:customStyle="1" w:styleId="NormalNonumber">
    <w:name w:val="Normal_No_number"/>
    <w:basedOn w:val="Normal-pool"/>
    <w:rsid w:val="00A321B2"/>
    <w:pPr>
      <w:spacing w:after="120"/>
      <w:ind w:left="1247"/>
    </w:pPr>
  </w:style>
  <w:style w:type="paragraph" w:customStyle="1" w:styleId="Normalnumber">
    <w:name w:val="Normal_number"/>
    <w:basedOn w:val="Normal-pool"/>
    <w:link w:val="NormalnumberChar"/>
    <w:qFormat/>
    <w:rsid w:val="00A321B2"/>
    <w:pPr>
      <w:spacing w:after="120"/>
    </w:pPr>
  </w:style>
  <w:style w:type="paragraph" w:customStyle="1" w:styleId="Titletable">
    <w:name w:val="Title_table"/>
    <w:basedOn w:val="Normal-pool"/>
    <w:next w:val="NormalNonumber"/>
    <w:rsid w:val="00A321B2"/>
    <w:pPr>
      <w:keepNext/>
      <w:keepLines/>
      <w:suppressAutoHyphens/>
      <w:spacing w:after="60"/>
      <w:ind w:left="1247"/>
    </w:pPr>
    <w:rPr>
      <w:b/>
      <w:bCs/>
    </w:rPr>
  </w:style>
  <w:style w:type="paragraph" w:styleId="TOC1">
    <w:name w:val="toc 1"/>
    <w:basedOn w:val="Normal-pool"/>
    <w:next w:val="Normal-pool"/>
    <w:rsid w:val="00A321B2"/>
    <w:pPr>
      <w:tabs>
        <w:tab w:val="clear" w:pos="2381"/>
        <w:tab w:val="clear" w:pos="2948"/>
        <w:tab w:val="clear" w:pos="3515"/>
        <w:tab w:val="right" w:leader="dot" w:pos="9486"/>
      </w:tabs>
      <w:spacing w:before="240"/>
      <w:ind w:left="1814" w:hanging="567"/>
    </w:pPr>
    <w:rPr>
      <w:bCs/>
    </w:rPr>
  </w:style>
  <w:style w:type="paragraph" w:styleId="TOC2">
    <w:name w:val="toc 2"/>
    <w:basedOn w:val="Normal-pool"/>
    <w:next w:val="Normal-pool"/>
    <w:rsid w:val="00A321B2"/>
    <w:pPr>
      <w:tabs>
        <w:tab w:val="clear" w:pos="1814"/>
        <w:tab w:val="clear" w:pos="2948"/>
        <w:tab w:val="clear" w:pos="3515"/>
        <w:tab w:val="right" w:leader="dot" w:pos="9486"/>
      </w:tabs>
      <w:ind w:left="2381" w:hanging="567"/>
    </w:pPr>
  </w:style>
  <w:style w:type="paragraph" w:styleId="TOC3">
    <w:name w:val="toc 3"/>
    <w:basedOn w:val="Normal-pool"/>
    <w:next w:val="Normal-pool"/>
    <w:rsid w:val="00A321B2"/>
    <w:pPr>
      <w:tabs>
        <w:tab w:val="clear" w:pos="1814"/>
        <w:tab w:val="clear" w:pos="2381"/>
        <w:tab w:val="clear" w:pos="2948"/>
        <w:tab w:val="clear" w:pos="3515"/>
        <w:tab w:val="right" w:leader="dot" w:pos="9486"/>
      </w:tabs>
      <w:ind w:left="2948" w:hanging="567"/>
    </w:pPr>
    <w:rPr>
      <w:iCs/>
    </w:rPr>
  </w:style>
  <w:style w:type="paragraph" w:styleId="TOC4">
    <w:name w:val="toc 4"/>
    <w:basedOn w:val="Normal-pool"/>
    <w:next w:val="Normal-pool"/>
    <w:rsid w:val="00A321B2"/>
    <w:pPr>
      <w:tabs>
        <w:tab w:val="clear" w:pos="1814"/>
        <w:tab w:val="clear" w:pos="2381"/>
        <w:tab w:val="clear" w:pos="2948"/>
        <w:tab w:val="clear" w:pos="3515"/>
        <w:tab w:val="left" w:pos="1000"/>
        <w:tab w:val="right" w:leader="dot" w:pos="9486"/>
      </w:tabs>
      <w:ind w:left="3515" w:hanging="567"/>
    </w:pPr>
    <w:rPr>
      <w:szCs w:val="18"/>
    </w:rPr>
  </w:style>
  <w:style w:type="paragraph" w:styleId="TOC5">
    <w:name w:val="toc 5"/>
    <w:basedOn w:val="Normal"/>
    <w:next w:val="Normal"/>
    <w:autoRedefine/>
    <w:semiHidden/>
    <w:rsid w:val="00A321B2"/>
    <w:pPr>
      <w:ind w:left="800"/>
    </w:pPr>
    <w:rPr>
      <w:sz w:val="18"/>
      <w:szCs w:val="18"/>
    </w:rPr>
  </w:style>
  <w:style w:type="paragraph" w:customStyle="1" w:styleId="ZZAnxheader">
    <w:name w:val="ZZ_Anx_header"/>
    <w:basedOn w:val="Normal-pool"/>
    <w:rsid w:val="00A321B2"/>
    <w:rPr>
      <w:b/>
      <w:bCs/>
      <w:sz w:val="28"/>
      <w:szCs w:val="22"/>
    </w:rPr>
  </w:style>
  <w:style w:type="paragraph" w:customStyle="1" w:styleId="ZZAnxtitle">
    <w:name w:val="ZZ_Anx_title"/>
    <w:basedOn w:val="Normal-pool"/>
    <w:rsid w:val="00A321B2"/>
    <w:pPr>
      <w:spacing w:before="360" w:after="120"/>
      <w:ind w:left="1247"/>
    </w:pPr>
    <w:rPr>
      <w:b/>
      <w:bCs/>
      <w:sz w:val="28"/>
      <w:szCs w:val="26"/>
    </w:rPr>
  </w:style>
  <w:style w:type="paragraph" w:customStyle="1" w:styleId="AATitle1">
    <w:name w:val="AA_Title1"/>
    <w:basedOn w:val="AATitle"/>
    <w:qFormat/>
    <w:rsid w:val="00126666"/>
    <w:pPr>
      <w:tabs>
        <w:tab w:val="clear" w:pos="1247"/>
        <w:tab w:val="clear" w:pos="1814"/>
        <w:tab w:val="clear" w:pos="2381"/>
        <w:tab w:val="clear" w:pos="2948"/>
        <w:tab w:val="clear" w:pos="3515"/>
        <w:tab w:val="right" w:pos="2920"/>
      </w:tabs>
      <w:ind w:right="0"/>
    </w:pPr>
    <w:rPr>
      <w:b w:val="0"/>
      <w:lang w:val="en-US"/>
    </w:rPr>
  </w:style>
  <w:style w:type="character" w:styleId="UnresolvedMention">
    <w:name w:val="Unresolved Mention"/>
    <w:basedOn w:val="DefaultParagraphFont"/>
    <w:uiPriority w:val="99"/>
    <w:semiHidden/>
    <w:unhideWhenUsed/>
    <w:rsid w:val="00CD6438"/>
    <w:rPr>
      <w:color w:val="605E5C"/>
      <w:shd w:val="clear" w:color="auto" w:fill="E1DFDD"/>
    </w:rPr>
  </w:style>
  <w:style w:type="paragraph" w:styleId="Revision">
    <w:name w:val="Revision"/>
    <w:hidden/>
    <w:uiPriority w:val="99"/>
    <w:semiHidden/>
    <w:rsid w:val="00B76F36"/>
    <w:rPr>
      <w:rFonts w:asciiTheme="minorHAnsi" w:eastAsiaTheme="minorHAnsi" w:hAnsiTheme="minorHAnsi" w:cstheme="minorBidi"/>
      <w:sz w:val="22"/>
      <w:szCs w:val="22"/>
    </w:rPr>
  </w:style>
  <w:style w:type="paragraph" w:customStyle="1" w:styleId="Footnote-Text">
    <w:name w:val="Footnote-Text"/>
    <w:basedOn w:val="Normal-pool"/>
    <w:rsid w:val="00D01656"/>
    <w:pPr>
      <w:tabs>
        <w:tab w:val="clear" w:pos="1814"/>
        <w:tab w:val="clear" w:pos="2381"/>
        <w:tab w:val="clear" w:pos="2948"/>
        <w:tab w:val="clear" w:pos="3515"/>
        <w:tab w:val="left" w:pos="624"/>
        <w:tab w:val="left" w:pos="1871"/>
        <w:tab w:val="left" w:pos="2495"/>
        <w:tab w:val="left" w:pos="3119"/>
        <w:tab w:val="left" w:pos="3742"/>
        <w:tab w:val="left" w:pos="4366"/>
      </w:tabs>
      <w:spacing w:before="20" w:after="40"/>
      <w:ind w:left="1247"/>
    </w:pPr>
    <w:rPr>
      <w:sz w:val="18"/>
    </w:rPr>
  </w:style>
  <w:style w:type="paragraph" w:styleId="ListBullet">
    <w:name w:val="List Bullet"/>
    <w:basedOn w:val="Normal"/>
    <w:rsid w:val="00D01656"/>
    <w:pPr>
      <w:tabs>
        <w:tab w:val="num" w:pos="360"/>
        <w:tab w:val="left" w:pos="1247"/>
        <w:tab w:val="left" w:pos="1814"/>
        <w:tab w:val="left" w:pos="2381"/>
        <w:tab w:val="left" w:pos="2948"/>
        <w:tab w:val="left" w:pos="3515"/>
      </w:tabs>
      <w:ind w:left="360" w:hanging="360"/>
      <w:contextualSpacing/>
    </w:pPr>
    <w:rPr>
      <w:rFonts w:ascii="Times New Roman" w:eastAsia="Times New Roman" w:hAnsi="Times New Roman" w:cs="Times New Roman"/>
      <w:sz w:val="20"/>
      <w:szCs w:val="20"/>
    </w:rPr>
  </w:style>
  <w:style w:type="character" w:customStyle="1" w:styleId="NormalnumberChar">
    <w:name w:val="Normal_number Char"/>
    <w:link w:val="Normalnumber"/>
    <w:locked/>
    <w:rsid w:val="00680998"/>
    <w:rPr>
      <w:lang w:val="en-GB"/>
    </w:rPr>
  </w:style>
  <w:style w:type="paragraph" w:styleId="ListParagraph">
    <w:name w:val="List Paragraph"/>
    <w:basedOn w:val="Normal"/>
    <w:link w:val="ListParagraphChar"/>
    <w:uiPriority w:val="34"/>
    <w:qFormat/>
    <w:rsid w:val="00F900B5"/>
    <w:pPr>
      <w:ind w:left="720"/>
      <w:contextualSpacing/>
    </w:pPr>
  </w:style>
  <w:style w:type="character" w:customStyle="1" w:styleId="CH2Char">
    <w:name w:val="CH2 Char"/>
    <w:link w:val="CH2"/>
    <w:locked/>
    <w:rsid w:val="00080B42"/>
    <w:rPr>
      <w:b/>
      <w:sz w:val="24"/>
      <w:szCs w:val="24"/>
      <w:lang w:val="en-GB"/>
    </w:rPr>
  </w:style>
  <w:style w:type="character" w:customStyle="1" w:styleId="BBTitleChar">
    <w:name w:val="BB_Title Char"/>
    <w:link w:val="BBTitle"/>
    <w:rsid w:val="00080B42"/>
    <w:rPr>
      <w:b/>
      <w:sz w:val="28"/>
      <w:szCs w:val="28"/>
      <w:lang w:val="en-GB"/>
    </w:rPr>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rsid w:val="00080B42"/>
    <w:rPr>
      <w:sz w:val="18"/>
      <w:lang w:val="en-GB"/>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qFormat/>
    <w:rsid w:val="00080B42"/>
    <w:pPr>
      <w:spacing w:line="240" w:lineRule="exact"/>
      <w:jc w:val="both"/>
    </w:pPr>
    <w:rPr>
      <w:rFonts w:ascii="Times New Roman" w:eastAsia="Times New Roman" w:hAnsi="Times New Roman" w:cs="Times New Roman"/>
      <w:kern w:val="0"/>
      <w:sz w:val="20"/>
      <w:szCs w:val="18"/>
      <w:vertAlign w:val="superscript"/>
      <w:lang w:val="en-US"/>
      <w14:ligatures w14:val="none"/>
    </w:rPr>
  </w:style>
  <w:style w:type="character" w:customStyle="1" w:styleId="HeaderChar">
    <w:name w:val="Header Char"/>
    <w:basedOn w:val="DefaultParagraphFont"/>
    <w:link w:val="Header"/>
    <w:rsid w:val="00704F56"/>
    <w:rPr>
      <w:b/>
      <w:sz w:val="18"/>
      <w:lang w:val="en-GB"/>
    </w:rPr>
  </w:style>
  <w:style w:type="paragraph" w:customStyle="1" w:styleId="ASymbol">
    <w:name w:val="A_Symbol"/>
    <w:basedOn w:val="Normal-pool"/>
    <w:rsid w:val="00704F56"/>
    <w:pPr>
      <w:tabs>
        <w:tab w:val="clear" w:pos="1247"/>
        <w:tab w:val="clear" w:pos="1814"/>
        <w:tab w:val="clear" w:pos="2381"/>
        <w:tab w:val="clear" w:pos="2948"/>
        <w:tab w:val="clear" w:pos="3515"/>
        <w:tab w:val="right" w:pos="2920"/>
      </w:tabs>
    </w:pPr>
    <w:rPr>
      <w:rFonts w:eastAsia="SimSun"/>
    </w:rPr>
  </w:style>
  <w:style w:type="character" w:customStyle="1" w:styleId="ListParagraphChar">
    <w:name w:val="List Paragraph Char"/>
    <w:link w:val="ListParagraph"/>
    <w:uiPriority w:val="34"/>
    <w:locked/>
    <w:rsid w:val="00704F56"/>
    <w:rPr>
      <w:rFonts w:asciiTheme="minorHAnsi" w:eastAsiaTheme="minorHAnsi" w:hAnsiTheme="minorHAnsi" w:cstheme="minorBidi"/>
      <w:kern w:val="2"/>
      <w:sz w:val="24"/>
      <w:szCs w:val="24"/>
      <w:lang w:val="en-KE"/>
      <w14:ligatures w14:val="standardContextual"/>
    </w:rPr>
  </w:style>
  <w:style w:type="table" w:customStyle="1" w:styleId="1">
    <w:name w:val="学术论文的三线表1"/>
    <w:basedOn w:val="TableNormal"/>
    <w:next w:val="TableGrid"/>
    <w:uiPriority w:val="59"/>
    <w:qFormat/>
    <w:rsid w:val="00062D1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5525">
      <w:bodyDiv w:val="1"/>
      <w:marLeft w:val="0"/>
      <w:marRight w:val="0"/>
      <w:marTop w:val="0"/>
      <w:marBottom w:val="0"/>
      <w:divBdr>
        <w:top w:val="none" w:sz="0" w:space="0" w:color="auto"/>
        <w:left w:val="none" w:sz="0" w:space="0" w:color="auto"/>
        <w:bottom w:val="none" w:sz="0" w:space="0" w:color="auto"/>
        <w:right w:val="none" w:sz="0" w:space="0" w:color="auto"/>
      </w:divBdr>
    </w:div>
    <w:div w:id="42366601">
      <w:bodyDiv w:val="1"/>
      <w:marLeft w:val="0"/>
      <w:marRight w:val="0"/>
      <w:marTop w:val="0"/>
      <w:marBottom w:val="0"/>
      <w:divBdr>
        <w:top w:val="none" w:sz="0" w:space="0" w:color="auto"/>
        <w:left w:val="none" w:sz="0" w:space="0" w:color="auto"/>
        <w:bottom w:val="none" w:sz="0" w:space="0" w:color="auto"/>
        <w:right w:val="none" w:sz="0" w:space="0" w:color="auto"/>
      </w:divBdr>
    </w:div>
    <w:div w:id="95641354">
      <w:bodyDiv w:val="1"/>
      <w:marLeft w:val="0"/>
      <w:marRight w:val="0"/>
      <w:marTop w:val="0"/>
      <w:marBottom w:val="0"/>
      <w:divBdr>
        <w:top w:val="none" w:sz="0" w:space="0" w:color="auto"/>
        <w:left w:val="none" w:sz="0" w:space="0" w:color="auto"/>
        <w:bottom w:val="none" w:sz="0" w:space="0" w:color="auto"/>
        <w:right w:val="none" w:sz="0" w:space="0" w:color="auto"/>
      </w:divBdr>
    </w:div>
    <w:div w:id="119812451">
      <w:bodyDiv w:val="1"/>
      <w:marLeft w:val="0"/>
      <w:marRight w:val="0"/>
      <w:marTop w:val="0"/>
      <w:marBottom w:val="0"/>
      <w:divBdr>
        <w:top w:val="none" w:sz="0" w:space="0" w:color="auto"/>
        <w:left w:val="none" w:sz="0" w:space="0" w:color="auto"/>
        <w:bottom w:val="none" w:sz="0" w:space="0" w:color="auto"/>
        <w:right w:val="none" w:sz="0" w:space="0" w:color="auto"/>
      </w:divBdr>
    </w:div>
    <w:div w:id="189497133">
      <w:bodyDiv w:val="1"/>
      <w:marLeft w:val="0"/>
      <w:marRight w:val="0"/>
      <w:marTop w:val="0"/>
      <w:marBottom w:val="0"/>
      <w:divBdr>
        <w:top w:val="none" w:sz="0" w:space="0" w:color="auto"/>
        <w:left w:val="none" w:sz="0" w:space="0" w:color="auto"/>
        <w:bottom w:val="none" w:sz="0" w:space="0" w:color="auto"/>
        <w:right w:val="none" w:sz="0" w:space="0" w:color="auto"/>
      </w:divBdr>
    </w:div>
    <w:div w:id="196234239">
      <w:bodyDiv w:val="1"/>
      <w:marLeft w:val="0"/>
      <w:marRight w:val="0"/>
      <w:marTop w:val="0"/>
      <w:marBottom w:val="0"/>
      <w:divBdr>
        <w:top w:val="none" w:sz="0" w:space="0" w:color="auto"/>
        <w:left w:val="none" w:sz="0" w:space="0" w:color="auto"/>
        <w:bottom w:val="none" w:sz="0" w:space="0" w:color="auto"/>
        <w:right w:val="none" w:sz="0" w:space="0" w:color="auto"/>
      </w:divBdr>
    </w:div>
    <w:div w:id="219362706">
      <w:bodyDiv w:val="1"/>
      <w:marLeft w:val="0"/>
      <w:marRight w:val="0"/>
      <w:marTop w:val="0"/>
      <w:marBottom w:val="0"/>
      <w:divBdr>
        <w:top w:val="none" w:sz="0" w:space="0" w:color="auto"/>
        <w:left w:val="none" w:sz="0" w:space="0" w:color="auto"/>
        <w:bottom w:val="none" w:sz="0" w:space="0" w:color="auto"/>
        <w:right w:val="none" w:sz="0" w:space="0" w:color="auto"/>
      </w:divBdr>
    </w:div>
    <w:div w:id="242880443">
      <w:bodyDiv w:val="1"/>
      <w:marLeft w:val="0"/>
      <w:marRight w:val="0"/>
      <w:marTop w:val="0"/>
      <w:marBottom w:val="0"/>
      <w:divBdr>
        <w:top w:val="none" w:sz="0" w:space="0" w:color="auto"/>
        <w:left w:val="none" w:sz="0" w:space="0" w:color="auto"/>
        <w:bottom w:val="none" w:sz="0" w:space="0" w:color="auto"/>
        <w:right w:val="none" w:sz="0" w:space="0" w:color="auto"/>
      </w:divBdr>
    </w:div>
    <w:div w:id="288243472">
      <w:bodyDiv w:val="1"/>
      <w:marLeft w:val="0"/>
      <w:marRight w:val="0"/>
      <w:marTop w:val="0"/>
      <w:marBottom w:val="0"/>
      <w:divBdr>
        <w:top w:val="none" w:sz="0" w:space="0" w:color="auto"/>
        <w:left w:val="none" w:sz="0" w:space="0" w:color="auto"/>
        <w:bottom w:val="none" w:sz="0" w:space="0" w:color="auto"/>
        <w:right w:val="none" w:sz="0" w:space="0" w:color="auto"/>
      </w:divBdr>
    </w:div>
    <w:div w:id="292636674">
      <w:bodyDiv w:val="1"/>
      <w:marLeft w:val="0"/>
      <w:marRight w:val="0"/>
      <w:marTop w:val="0"/>
      <w:marBottom w:val="0"/>
      <w:divBdr>
        <w:top w:val="none" w:sz="0" w:space="0" w:color="auto"/>
        <w:left w:val="none" w:sz="0" w:space="0" w:color="auto"/>
        <w:bottom w:val="none" w:sz="0" w:space="0" w:color="auto"/>
        <w:right w:val="none" w:sz="0" w:space="0" w:color="auto"/>
      </w:divBdr>
    </w:div>
    <w:div w:id="371275186">
      <w:bodyDiv w:val="1"/>
      <w:marLeft w:val="0"/>
      <w:marRight w:val="0"/>
      <w:marTop w:val="0"/>
      <w:marBottom w:val="0"/>
      <w:divBdr>
        <w:top w:val="none" w:sz="0" w:space="0" w:color="auto"/>
        <w:left w:val="none" w:sz="0" w:space="0" w:color="auto"/>
        <w:bottom w:val="none" w:sz="0" w:space="0" w:color="auto"/>
        <w:right w:val="none" w:sz="0" w:space="0" w:color="auto"/>
      </w:divBdr>
    </w:div>
    <w:div w:id="406615049">
      <w:bodyDiv w:val="1"/>
      <w:marLeft w:val="0"/>
      <w:marRight w:val="0"/>
      <w:marTop w:val="0"/>
      <w:marBottom w:val="0"/>
      <w:divBdr>
        <w:top w:val="none" w:sz="0" w:space="0" w:color="auto"/>
        <w:left w:val="none" w:sz="0" w:space="0" w:color="auto"/>
        <w:bottom w:val="none" w:sz="0" w:space="0" w:color="auto"/>
        <w:right w:val="none" w:sz="0" w:space="0" w:color="auto"/>
      </w:divBdr>
    </w:div>
    <w:div w:id="461970969">
      <w:bodyDiv w:val="1"/>
      <w:marLeft w:val="0"/>
      <w:marRight w:val="0"/>
      <w:marTop w:val="0"/>
      <w:marBottom w:val="0"/>
      <w:divBdr>
        <w:top w:val="none" w:sz="0" w:space="0" w:color="auto"/>
        <w:left w:val="none" w:sz="0" w:space="0" w:color="auto"/>
        <w:bottom w:val="none" w:sz="0" w:space="0" w:color="auto"/>
        <w:right w:val="none" w:sz="0" w:space="0" w:color="auto"/>
      </w:divBdr>
    </w:div>
    <w:div w:id="471287464">
      <w:bodyDiv w:val="1"/>
      <w:marLeft w:val="0"/>
      <w:marRight w:val="0"/>
      <w:marTop w:val="0"/>
      <w:marBottom w:val="0"/>
      <w:divBdr>
        <w:top w:val="none" w:sz="0" w:space="0" w:color="auto"/>
        <w:left w:val="none" w:sz="0" w:space="0" w:color="auto"/>
        <w:bottom w:val="none" w:sz="0" w:space="0" w:color="auto"/>
        <w:right w:val="none" w:sz="0" w:space="0" w:color="auto"/>
      </w:divBdr>
    </w:div>
    <w:div w:id="477301685">
      <w:bodyDiv w:val="1"/>
      <w:marLeft w:val="0"/>
      <w:marRight w:val="0"/>
      <w:marTop w:val="0"/>
      <w:marBottom w:val="0"/>
      <w:divBdr>
        <w:top w:val="none" w:sz="0" w:space="0" w:color="auto"/>
        <w:left w:val="none" w:sz="0" w:space="0" w:color="auto"/>
        <w:bottom w:val="none" w:sz="0" w:space="0" w:color="auto"/>
        <w:right w:val="none" w:sz="0" w:space="0" w:color="auto"/>
      </w:divBdr>
    </w:div>
    <w:div w:id="484316596">
      <w:bodyDiv w:val="1"/>
      <w:marLeft w:val="0"/>
      <w:marRight w:val="0"/>
      <w:marTop w:val="0"/>
      <w:marBottom w:val="0"/>
      <w:divBdr>
        <w:top w:val="none" w:sz="0" w:space="0" w:color="auto"/>
        <w:left w:val="none" w:sz="0" w:space="0" w:color="auto"/>
        <w:bottom w:val="none" w:sz="0" w:space="0" w:color="auto"/>
        <w:right w:val="none" w:sz="0" w:space="0" w:color="auto"/>
      </w:divBdr>
    </w:div>
    <w:div w:id="530461038">
      <w:bodyDiv w:val="1"/>
      <w:marLeft w:val="0"/>
      <w:marRight w:val="0"/>
      <w:marTop w:val="0"/>
      <w:marBottom w:val="0"/>
      <w:divBdr>
        <w:top w:val="none" w:sz="0" w:space="0" w:color="auto"/>
        <w:left w:val="none" w:sz="0" w:space="0" w:color="auto"/>
        <w:bottom w:val="none" w:sz="0" w:space="0" w:color="auto"/>
        <w:right w:val="none" w:sz="0" w:space="0" w:color="auto"/>
      </w:divBdr>
    </w:div>
    <w:div w:id="553545926">
      <w:bodyDiv w:val="1"/>
      <w:marLeft w:val="0"/>
      <w:marRight w:val="0"/>
      <w:marTop w:val="0"/>
      <w:marBottom w:val="0"/>
      <w:divBdr>
        <w:top w:val="none" w:sz="0" w:space="0" w:color="auto"/>
        <w:left w:val="none" w:sz="0" w:space="0" w:color="auto"/>
        <w:bottom w:val="none" w:sz="0" w:space="0" w:color="auto"/>
        <w:right w:val="none" w:sz="0" w:space="0" w:color="auto"/>
      </w:divBdr>
    </w:div>
    <w:div w:id="576130214">
      <w:bodyDiv w:val="1"/>
      <w:marLeft w:val="0"/>
      <w:marRight w:val="0"/>
      <w:marTop w:val="0"/>
      <w:marBottom w:val="0"/>
      <w:divBdr>
        <w:top w:val="none" w:sz="0" w:space="0" w:color="auto"/>
        <w:left w:val="none" w:sz="0" w:space="0" w:color="auto"/>
        <w:bottom w:val="none" w:sz="0" w:space="0" w:color="auto"/>
        <w:right w:val="none" w:sz="0" w:space="0" w:color="auto"/>
      </w:divBdr>
    </w:div>
    <w:div w:id="903678697">
      <w:bodyDiv w:val="1"/>
      <w:marLeft w:val="0"/>
      <w:marRight w:val="0"/>
      <w:marTop w:val="0"/>
      <w:marBottom w:val="0"/>
      <w:divBdr>
        <w:top w:val="none" w:sz="0" w:space="0" w:color="auto"/>
        <w:left w:val="none" w:sz="0" w:space="0" w:color="auto"/>
        <w:bottom w:val="none" w:sz="0" w:space="0" w:color="auto"/>
        <w:right w:val="none" w:sz="0" w:space="0" w:color="auto"/>
      </w:divBdr>
    </w:div>
    <w:div w:id="933972211">
      <w:bodyDiv w:val="1"/>
      <w:marLeft w:val="0"/>
      <w:marRight w:val="0"/>
      <w:marTop w:val="0"/>
      <w:marBottom w:val="0"/>
      <w:divBdr>
        <w:top w:val="none" w:sz="0" w:space="0" w:color="auto"/>
        <w:left w:val="none" w:sz="0" w:space="0" w:color="auto"/>
        <w:bottom w:val="none" w:sz="0" w:space="0" w:color="auto"/>
        <w:right w:val="none" w:sz="0" w:space="0" w:color="auto"/>
      </w:divBdr>
    </w:div>
    <w:div w:id="940337403">
      <w:bodyDiv w:val="1"/>
      <w:marLeft w:val="0"/>
      <w:marRight w:val="0"/>
      <w:marTop w:val="0"/>
      <w:marBottom w:val="0"/>
      <w:divBdr>
        <w:top w:val="none" w:sz="0" w:space="0" w:color="auto"/>
        <w:left w:val="none" w:sz="0" w:space="0" w:color="auto"/>
        <w:bottom w:val="none" w:sz="0" w:space="0" w:color="auto"/>
        <w:right w:val="none" w:sz="0" w:space="0" w:color="auto"/>
      </w:divBdr>
    </w:div>
    <w:div w:id="946885258">
      <w:bodyDiv w:val="1"/>
      <w:marLeft w:val="0"/>
      <w:marRight w:val="0"/>
      <w:marTop w:val="0"/>
      <w:marBottom w:val="0"/>
      <w:divBdr>
        <w:top w:val="none" w:sz="0" w:space="0" w:color="auto"/>
        <w:left w:val="none" w:sz="0" w:space="0" w:color="auto"/>
        <w:bottom w:val="none" w:sz="0" w:space="0" w:color="auto"/>
        <w:right w:val="none" w:sz="0" w:space="0" w:color="auto"/>
      </w:divBdr>
    </w:div>
    <w:div w:id="953290515">
      <w:bodyDiv w:val="1"/>
      <w:marLeft w:val="0"/>
      <w:marRight w:val="0"/>
      <w:marTop w:val="0"/>
      <w:marBottom w:val="0"/>
      <w:divBdr>
        <w:top w:val="none" w:sz="0" w:space="0" w:color="auto"/>
        <w:left w:val="none" w:sz="0" w:space="0" w:color="auto"/>
        <w:bottom w:val="none" w:sz="0" w:space="0" w:color="auto"/>
        <w:right w:val="none" w:sz="0" w:space="0" w:color="auto"/>
      </w:divBdr>
    </w:div>
    <w:div w:id="971254146">
      <w:bodyDiv w:val="1"/>
      <w:marLeft w:val="0"/>
      <w:marRight w:val="0"/>
      <w:marTop w:val="0"/>
      <w:marBottom w:val="0"/>
      <w:divBdr>
        <w:top w:val="none" w:sz="0" w:space="0" w:color="auto"/>
        <w:left w:val="none" w:sz="0" w:space="0" w:color="auto"/>
        <w:bottom w:val="none" w:sz="0" w:space="0" w:color="auto"/>
        <w:right w:val="none" w:sz="0" w:space="0" w:color="auto"/>
      </w:divBdr>
    </w:div>
    <w:div w:id="985627905">
      <w:bodyDiv w:val="1"/>
      <w:marLeft w:val="0"/>
      <w:marRight w:val="0"/>
      <w:marTop w:val="0"/>
      <w:marBottom w:val="0"/>
      <w:divBdr>
        <w:top w:val="none" w:sz="0" w:space="0" w:color="auto"/>
        <w:left w:val="none" w:sz="0" w:space="0" w:color="auto"/>
        <w:bottom w:val="none" w:sz="0" w:space="0" w:color="auto"/>
        <w:right w:val="none" w:sz="0" w:space="0" w:color="auto"/>
      </w:divBdr>
    </w:div>
    <w:div w:id="999118654">
      <w:bodyDiv w:val="1"/>
      <w:marLeft w:val="0"/>
      <w:marRight w:val="0"/>
      <w:marTop w:val="0"/>
      <w:marBottom w:val="0"/>
      <w:divBdr>
        <w:top w:val="none" w:sz="0" w:space="0" w:color="auto"/>
        <w:left w:val="none" w:sz="0" w:space="0" w:color="auto"/>
        <w:bottom w:val="none" w:sz="0" w:space="0" w:color="auto"/>
        <w:right w:val="none" w:sz="0" w:space="0" w:color="auto"/>
      </w:divBdr>
    </w:div>
    <w:div w:id="1037392590">
      <w:bodyDiv w:val="1"/>
      <w:marLeft w:val="0"/>
      <w:marRight w:val="0"/>
      <w:marTop w:val="0"/>
      <w:marBottom w:val="0"/>
      <w:divBdr>
        <w:top w:val="none" w:sz="0" w:space="0" w:color="auto"/>
        <w:left w:val="none" w:sz="0" w:space="0" w:color="auto"/>
        <w:bottom w:val="none" w:sz="0" w:space="0" w:color="auto"/>
        <w:right w:val="none" w:sz="0" w:space="0" w:color="auto"/>
      </w:divBdr>
    </w:div>
    <w:div w:id="1282418268">
      <w:bodyDiv w:val="1"/>
      <w:marLeft w:val="0"/>
      <w:marRight w:val="0"/>
      <w:marTop w:val="0"/>
      <w:marBottom w:val="0"/>
      <w:divBdr>
        <w:top w:val="none" w:sz="0" w:space="0" w:color="auto"/>
        <w:left w:val="none" w:sz="0" w:space="0" w:color="auto"/>
        <w:bottom w:val="none" w:sz="0" w:space="0" w:color="auto"/>
        <w:right w:val="none" w:sz="0" w:space="0" w:color="auto"/>
      </w:divBdr>
    </w:div>
    <w:div w:id="1513913011">
      <w:bodyDiv w:val="1"/>
      <w:marLeft w:val="0"/>
      <w:marRight w:val="0"/>
      <w:marTop w:val="0"/>
      <w:marBottom w:val="0"/>
      <w:divBdr>
        <w:top w:val="none" w:sz="0" w:space="0" w:color="auto"/>
        <w:left w:val="none" w:sz="0" w:space="0" w:color="auto"/>
        <w:bottom w:val="none" w:sz="0" w:space="0" w:color="auto"/>
        <w:right w:val="none" w:sz="0" w:space="0" w:color="auto"/>
      </w:divBdr>
    </w:div>
    <w:div w:id="1669552798">
      <w:bodyDiv w:val="1"/>
      <w:marLeft w:val="0"/>
      <w:marRight w:val="0"/>
      <w:marTop w:val="0"/>
      <w:marBottom w:val="0"/>
      <w:divBdr>
        <w:top w:val="none" w:sz="0" w:space="0" w:color="auto"/>
        <w:left w:val="none" w:sz="0" w:space="0" w:color="auto"/>
        <w:bottom w:val="none" w:sz="0" w:space="0" w:color="auto"/>
        <w:right w:val="none" w:sz="0" w:space="0" w:color="auto"/>
      </w:divBdr>
    </w:div>
    <w:div w:id="1677531709">
      <w:bodyDiv w:val="1"/>
      <w:marLeft w:val="0"/>
      <w:marRight w:val="0"/>
      <w:marTop w:val="0"/>
      <w:marBottom w:val="0"/>
      <w:divBdr>
        <w:top w:val="none" w:sz="0" w:space="0" w:color="auto"/>
        <w:left w:val="none" w:sz="0" w:space="0" w:color="auto"/>
        <w:bottom w:val="none" w:sz="0" w:space="0" w:color="auto"/>
        <w:right w:val="none" w:sz="0" w:space="0" w:color="auto"/>
      </w:divBdr>
    </w:div>
    <w:div w:id="1780251369">
      <w:bodyDiv w:val="1"/>
      <w:marLeft w:val="0"/>
      <w:marRight w:val="0"/>
      <w:marTop w:val="0"/>
      <w:marBottom w:val="0"/>
      <w:divBdr>
        <w:top w:val="none" w:sz="0" w:space="0" w:color="auto"/>
        <w:left w:val="none" w:sz="0" w:space="0" w:color="auto"/>
        <w:bottom w:val="none" w:sz="0" w:space="0" w:color="auto"/>
        <w:right w:val="none" w:sz="0" w:space="0" w:color="auto"/>
      </w:divBdr>
    </w:div>
    <w:div w:id="1903371698">
      <w:bodyDiv w:val="1"/>
      <w:marLeft w:val="0"/>
      <w:marRight w:val="0"/>
      <w:marTop w:val="0"/>
      <w:marBottom w:val="0"/>
      <w:divBdr>
        <w:top w:val="none" w:sz="0" w:space="0" w:color="auto"/>
        <w:left w:val="none" w:sz="0" w:space="0" w:color="auto"/>
        <w:bottom w:val="none" w:sz="0" w:space="0" w:color="auto"/>
        <w:right w:val="none" w:sz="0" w:space="0" w:color="auto"/>
      </w:divBdr>
    </w:div>
    <w:div w:id="21436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oi.org/10.1038/sdata.2016.18" TargetMode="External"/><Relationship Id="rId1" Type="http://schemas.openxmlformats.org/officeDocument/2006/relationships/hyperlink" Target="https://www.multilateralfund.org/meetings/98/pre-se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CD42369A76C48A296DFA55225E68D" ma:contentTypeVersion="18" ma:contentTypeDescription="Create a new document." ma:contentTypeScope="" ma:versionID="62138ac6ee3d5448794ee823b019913f">
  <xsd:schema xmlns:xsd="http://www.w3.org/2001/XMLSchema" xmlns:xs="http://www.w3.org/2001/XMLSchema" xmlns:p="http://schemas.microsoft.com/office/2006/metadata/properties" xmlns:ns1="http://schemas.microsoft.com/sharepoint/v3" xmlns:ns2="565c72da-b6ec-4d39-b2ef-52e0aae5bb48" xmlns:ns3="c7a92a29-8555-477a-906e-7a9b49e09029" targetNamespace="http://schemas.microsoft.com/office/2006/metadata/properties" ma:root="true" ma:fieldsID="2e24d639e96765b189d06e66f321c52e" ns1:_="" ns2:_="" ns3:_="">
    <xsd:import namespace="http://schemas.microsoft.com/sharepoint/v3"/>
    <xsd:import namespace="565c72da-b6ec-4d39-b2ef-52e0aae5bb48"/>
    <xsd:import namespace="c7a92a29-8555-477a-906e-7a9b49e090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Girma" minOccurs="0"/>
                <xsd:element ref="ns1:_ip_UnifiedCompliancePolicyProperties" minOccurs="0"/>
                <xsd:element ref="ns1:_ip_UnifiedCompliancePolicyUIAction" minOccurs="0"/>
                <xsd:element ref="ns2:Documen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5c72da-b6ec-4d39-b2ef-52e0aae5b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Girma" ma:index="22" nillable="true" ma:displayName="Girma" ma:description="Remarks" ma:format="Dropdown" ma:internalName="Girma">
      <xsd:simpleType>
        <xsd:restriction base="dms:Text">
          <xsd:maxLength value="255"/>
        </xsd:restriction>
      </xsd:simpleType>
    </xsd:element>
    <xsd:element name="DocumentDescription" ma:index="25" nillable="true" ma:displayName="Document Description " ma:format="Dropdown" ma:internalName="Document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a92a29-8555-477a-906e-7a9b49e090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ab668b-32b5-464f-a556-5c8e4d63eba4}" ma:internalName="TaxCatchAll" ma:showField="CatchAllData" ma:web="c7a92a29-8555-477a-906e-7a9b49e090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Girma xmlns="565c72da-b6ec-4d39-b2ef-52e0aae5bb48" xsi:nil="true"/>
    <TaxCatchAll xmlns="c7a92a29-8555-477a-906e-7a9b49e09029" xsi:nil="true"/>
    <lcf76f155ced4ddcb4097134ff3c332f xmlns="565c72da-b6ec-4d39-b2ef-52e0aae5bb48">
      <Terms xmlns="http://schemas.microsoft.com/office/infopath/2007/PartnerControls"/>
    </lcf76f155ced4ddcb4097134ff3c332f>
    <_ip_UnifiedCompliancePolicyProperties xmlns="http://schemas.microsoft.com/sharepoint/v3" xsi:nil="true"/>
    <DocumentDescription xmlns="565c72da-b6ec-4d39-b2ef-52e0aae5bb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90A74-9A78-4847-A360-EE68479B2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5c72da-b6ec-4d39-b2ef-52e0aae5bb48"/>
    <ds:schemaRef ds:uri="c7a92a29-8555-477a-906e-7a9b49e09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D6DA1-ADA4-4DD7-8952-54D9A7C5A356}">
  <ds:schemaRefs>
    <ds:schemaRef ds:uri="http://schemas.microsoft.com/office/2006/metadata/properties"/>
    <ds:schemaRef ds:uri="http://schemas.microsoft.com/office/infopath/2007/PartnerControls"/>
    <ds:schemaRef ds:uri="http://schemas.microsoft.com/sharepoint/v3"/>
    <ds:schemaRef ds:uri="565c72da-b6ec-4d39-b2ef-52e0aae5bb48"/>
    <ds:schemaRef ds:uri="c7a92a29-8555-477a-906e-7a9b49e09029"/>
  </ds:schemaRefs>
</ds:datastoreItem>
</file>

<file path=customXml/itemProps3.xml><?xml version="1.0" encoding="utf-8"?>
<ds:datastoreItem xmlns:ds="http://schemas.openxmlformats.org/officeDocument/2006/customXml" ds:itemID="{AB04CDA6-D2ED-49AB-93C9-7B0971B5183D}">
  <ds:schemaRefs>
    <ds:schemaRef ds:uri="http://schemas.microsoft.com/sharepoint/v3/contenttype/forms"/>
  </ds:schemaRefs>
</ds:datastoreItem>
</file>

<file path=customXml/itemProps4.xml><?xml version="1.0" encoding="utf-8"?>
<ds:datastoreItem xmlns:ds="http://schemas.openxmlformats.org/officeDocument/2006/customXml" ds:itemID="{A6845299-831A-4AEA-9457-F8ADF4F27BC6}">
  <ds:schemaRefs>
    <ds:schemaRef ds:uri="http://schemas.microsoft.com/office/2006/metadata/longProperties"/>
  </ds:schemaRefs>
</ds:datastoreItem>
</file>

<file path=customXml/itemProps5.xml><?xml version="1.0" encoding="utf-8"?>
<ds:datastoreItem xmlns:ds="http://schemas.openxmlformats.org/officeDocument/2006/customXml" ds:itemID="{F847705A-8981-490B-B285-BA8DF82D00A3}">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Scale of assessments and rates of exchange for contributions by parties to the 2015˗2017 replenishment of the Multilateral Fund for the Implementation of the Montreal Protocol</vt:lpstr>
    </vt:vector>
  </TitlesOfParts>
  <Company>HP</Company>
  <LinksUpToDate>false</LinksUpToDate>
  <CharactersWithSpaces>20385</CharactersWithSpaces>
  <SharedDoc>false</SharedDoc>
  <HLinks>
    <vt:vector size="6" baseType="variant">
      <vt:variant>
        <vt:i4>7602272</vt:i4>
      </vt:variant>
      <vt:variant>
        <vt:i4>6</vt:i4>
      </vt:variant>
      <vt:variant>
        <vt:i4>0</vt:i4>
      </vt:variant>
      <vt:variant>
        <vt:i4>5</vt:i4>
      </vt:variant>
      <vt:variant>
        <vt:lpwstr>https://undocs.org/en/A/RES/73/271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Scale of assessments and rates of exchange for contributions by parties to the 2015˗2017 replenishment of the Multilateral Fund for the Implementation of the Montreal Protocol</dc:title>
  <dc:subject/>
  <dc:creator>Marco Gonzalez</dc:creator>
  <cp:keywords/>
  <cp:lastModifiedBy>Maria Socorro Manguiat</cp:lastModifiedBy>
  <cp:revision>3</cp:revision>
  <cp:lastPrinted>2026-06-19T12:50:00Z</cp:lastPrinted>
  <dcterms:created xsi:type="dcterms:W3CDTF">2026-07-12T05:58:00Z</dcterms:created>
  <dcterms:modified xsi:type="dcterms:W3CDTF">2026-07-12T06:00:00Z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ilte">
    <vt:lpwstr/>
  </property>
  <property fmtid="{D5CDD505-2E9C-101B-9397-08002B2CF9AE}" pid="3" name="ContentType">
    <vt:lpwstr>Document</vt:lpwstr>
  </property>
  <property fmtid="{D5CDD505-2E9C-101B-9397-08002B2CF9AE}" pid="4" name="Document Symbol">
    <vt:lpwstr>UNEP/OzL.Pro.WG.1/34/INF/1/Rev.1</vt:lpwstr>
  </property>
  <property fmtid="{D5CDD505-2E9C-101B-9397-08002B2CF9AE}" pid="5" name="Order Number">
    <vt:lpwstr>11.0000000000000</vt:lpwstr>
  </property>
  <property fmtid="{D5CDD505-2E9C-101B-9397-08002B2CF9AE}" pid="6" name="Order0">
    <vt:lpwstr>41</vt:lpwstr>
  </property>
  <property fmtid="{D5CDD505-2E9C-101B-9397-08002B2CF9AE}" pid="7" name="Document Title">
    <vt:lpwstr>Scale of assessments and rates of exchange for contributions by parties to the 2015˗2017 replenishment of the Multilateral Fund for the Implementation of the Montreal Protocol</vt:lpwstr>
  </property>
  <property fmtid="{D5CDD505-2E9C-101B-9397-08002B2CF9AE}" pid="8" name="Document Number">
    <vt:lpwstr>UNEP/OzL.Pro.WG.1/34/INF/1/Rev.1</vt:lpwstr>
  </property>
  <property fmtid="{D5CDD505-2E9C-101B-9397-08002B2CF9AE}" pid="9" name="display_urn:schemas-microsoft-com:office:office#Editor">
    <vt:lpwstr>System Account</vt:lpwstr>
  </property>
  <property fmtid="{D5CDD505-2E9C-101B-9397-08002B2CF9AE}" pid="10" name="display_urn:schemas-microsoft-com:office:office#Author">
    <vt:lpwstr>System Account</vt:lpwstr>
  </property>
  <property fmtid="{D5CDD505-2E9C-101B-9397-08002B2CF9AE}" pid="11" name="ContentTypeId">
    <vt:lpwstr>0x010100155CD42369A76C48A296DFA55225E68D</vt:lpwstr>
  </property>
</Properties>
</file>