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DD0E43" w:rsidRPr="00F466F2" w14:paraId="64D4372E" w14:textId="77777777" w:rsidTr="00DD0E43">
        <w:trPr>
          <w:trHeight w:val="850"/>
        </w:trPr>
        <w:tc>
          <w:tcPr>
            <w:tcW w:w="1559" w:type="dxa"/>
          </w:tcPr>
          <w:p w14:paraId="1B512461" w14:textId="7D17937A" w:rsidR="00DD0E43" w:rsidRPr="00F466F2" w:rsidRDefault="00DD0E43" w:rsidP="00DD0E43">
            <w:pPr>
              <w:pStyle w:val="AUnitedNations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 xml:space="preserve">United </w:t>
            </w:r>
            <w:r w:rsidRPr="00F466F2">
              <w:rPr>
                <w:rFonts w:eastAsiaTheme="minorEastAsia"/>
              </w:rPr>
              <w:br/>
              <w:t>Nations</w:t>
            </w:r>
          </w:p>
        </w:tc>
        <w:tc>
          <w:tcPr>
            <w:tcW w:w="6520" w:type="dxa"/>
          </w:tcPr>
          <w:p w14:paraId="12ED6B04" w14:textId="424271DC" w:rsidR="00DD0E43" w:rsidRPr="00F466F2" w:rsidRDefault="00DD0E43" w:rsidP="00DD0E43">
            <w:pPr>
              <w:pStyle w:val="Normal-pool"/>
              <w:rPr>
                <w:rFonts w:eastAsiaTheme="minorEastAsia"/>
              </w:rPr>
            </w:pPr>
            <w:r w:rsidRPr="00F466F2">
              <w:rPr>
                <w:rFonts w:eastAsiaTheme="minor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0A16D76C" wp14:editId="15D6211E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1905</wp:posOffset>
                  </wp:positionV>
                  <wp:extent cx="1269153" cy="573559"/>
                  <wp:effectExtent l="0" t="0" r="7620" b="0"/>
                  <wp:wrapNone/>
                  <wp:docPr id="15952472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247296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392F40C2" w14:textId="77777777" w:rsidR="00DD0E43" w:rsidRPr="00F466F2" w:rsidRDefault="00DD0E43" w:rsidP="00DD0E43">
            <w:pPr>
              <w:pStyle w:val="Normal-pool"/>
              <w:rPr>
                <w:rFonts w:eastAsiaTheme="minorEastAsia"/>
              </w:rPr>
            </w:pPr>
          </w:p>
        </w:tc>
      </w:tr>
    </w:tbl>
    <w:p w14:paraId="75C0B986" w14:textId="77777777" w:rsidR="006533B3" w:rsidRPr="00F466F2" w:rsidRDefault="006533B3" w:rsidP="00DD0E43">
      <w:pPr>
        <w:pStyle w:val="ASpacer"/>
        <w:rPr>
          <w:rFonts w:eastAsiaTheme="minorEastAsia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284"/>
        <w:gridCol w:w="3212"/>
      </w:tblGrid>
      <w:tr w:rsidR="00DD0E43" w:rsidRPr="00F466F2" w14:paraId="3E65C0E7" w14:textId="77777777" w:rsidTr="00DD0E43">
        <w:trPr>
          <w:trHeight w:val="340"/>
        </w:trPr>
        <w:tc>
          <w:tcPr>
            <w:tcW w:w="3358" w:type="pct"/>
            <w:vAlign w:val="bottom"/>
          </w:tcPr>
          <w:p w14:paraId="384E5D6D" w14:textId="77777777" w:rsidR="00DD0E43" w:rsidRPr="00F466F2" w:rsidRDefault="00DD0E43" w:rsidP="00DD0E43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642" w:type="pct"/>
            <w:noWrap/>
            <w:vAlign w:val="bottom"/>
          </w:tcPr>
          <w:p w14:paraId="3163028E" w14:textId="04B5CB9F" w:rsidR="00DD0E43" w:rsidRPr="00F466F2" w:rsidRDefault="00DD0E43" w:rsidP="00DD0E43">
            <w:pPr>
              <w:pStyle w:val="ASymbol"/>
            </w:pPr>
            <w:r w:rsidRPr="00F466F2">
              <w:rPr>
                <w:b/>
                <w:sz w:val="28"/>
              </w:rPr>
              <w:t>UNEP</w:t>
            </w:r>
            <w:r w:rsidRPr="00F466F2">
              <w:t>/OzL.Pro.WG.</w:t>
            </w:r>
            <w:bookmarkStart w:id="0" w:name="Symbol1A"/>
            <w:r w:rsidRPr="00F466F2">
              <w:t>1</w:t>
            </w:r>
            <w:bookmarkStart w:id="1" w:name="Symbol1B"/>
            <w:bookmarkEnd w:id="0"/>
            <w:r w:rsidRPr="00F466F2">
              <w:t>/48</w:t>
            </w:r>
            <w:bookmarkStart w:id="2" w:name="Symbol1C"/>
            <w:bookmarkEnd w:id="1"/>
            <w:r w:rsidR="00B42777" w:rsidRPr="00F466F2">
              <w:t>/4</w:t>
            </w:r>
            <w:bookmarkEnd w:id="2"/>
            <w:r w:rsidR="00C37B18" w:rsidRPr="00F466F2">
              <w:t>/Add.1</w:t>
            </w:r>
          </w:p>
        </w:tc>
      </w:tr>
    </w:tbl>
    <w:p w14:paraId="65171C1C" w14:textId="77777777" w:rsidR="00DD0E43" w:rsidRPr="00F466F2" w:rsidRDefault="00DD0E43" w:rsidP="00DD0E43">
      <w:pPr>
        <w:pStyle w:val="ASpacer"/>
        <w:rPr>
          <w:rFonts w:eastAsiaTheme="minorEastAsia"/>
        </w:rPr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992"/>
        <w:gridCol w:w="3118"/>
      </w:tblGrid>
      <w:tr w:rsidR="00DD0E43" w:rsidRPr="00F466F2" w14:paraId="4EA1709A" w14:textId="77777777" w:rsidTr="00DD0E43">
        <w:trPr>
          <w:trHeight w:val="2098"/>
        </w:trPr>
        <w:tc>
          <w:tcPr>
            <w:tcW w:w="5386" w:type="dxa"/>
          </w:tcPr>
          <w:p w14:paraId="2EFD4F37" w14:textId="1C8EC6DD" w:rsidR="00DD0E43" w:rsidRPr="00F466F2" w:rsidRDefault="00DD0E43" w:rsidP="00DD0E43">
            <w:pPr>
              <w:pStyle w:val="AConvName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 xml:space="preserve">Montreal Protocol </w:t>
            </w:r>
            <w:r w:rsidRPr="00F466F2">
              <w:rPr>
                <w:rFonts w:eastAsiaTheme="minorEastAsia"/>
              </w:rPr>
              <w:br/>
              <w:t xml:space="preserve">on Substances that </w:t>
            </w:r>
            <w:r w:rsidRPr="00F466F2">
              <w:rPr>
                <w:rFonts w:eastAsiaTheme="minorEastAsia"/>
              </w:rPr>
              <w:br/>
              <w:t>Deplete the Ozone Layer</w:t>
            </w:r>
          </w:p>
        </w:tc>
        <w:tc>
          <w:tcPr>
            <w:tcW w:w="992" w:type="dxa"/>
          </w:tcPr>
          <w:p w14:paraId="46D4B192" w14:textId="77777777" w:rsidR="00DD0E43" w:rsidRPr="00F466F2" w:rsidRDefault="00DD0E43" w:rsidP="00DD0E43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50150E56" w14:textId="5DFE704D" w:rsidR="00DD0E43" w:rsidRPr="00F466F2" w:rsidRDefault="00DD0E43" w:rsidP="00DD0E43">
            <w:pPr>
              <w:pStyle w:val="AText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 xml:space="preserve">Distr.: </w:t>
            </w:r>
            <w:bookmarkStart w:id="3" w:name="Distribution"/>
            <w:r w:rsidR="00B42777" w:rsidRPr="00F466F2">
              <w:rPr>
                <w:rFonts w:eastAsiaTheme="minorEastAsia"/>
              </w:rPr>
              <w:t>General</w:t>
            </w:r>
            <w:bookmarkEnd w:id="3"/>
            <w:r w:rsidRPr="00F466F2">
              <w:rPr>
                <w:rFonts w:eastAsiaTheme="minorEastAsia"/>
              </w:rPr>
              <w:t xml:space="preserve"> </w:t>
            </w:r>
          </w:p>
          <w:p w14:paraId="22C802BF" w14:textId="79FAE03B" w:rsidR="00DD0E43" w:rsidRPr="00F466F2" w:rsidRDefault="009D7683" w:rsidP="00DD0E43">
            <w:pPr>
              <w:pStyle w:val="AText0"/>
              <w:rPr>
                <w:rFonts w:eastAsiaTheme="minorEastAsia"/>
              </w:rPr>
            </w:pPr>
            <w:bookmarkStart w:id="4" w:name="DistributionDate"/>
            <w:r w:rsidRPr="00F466F2">
              <w:rPr>
                <w:rFonts w:eastAsiaTheme="minorEastAsia"/>
              </w:rPr>
              <w:t>9</w:t>
            </w:r>
            <w:r w:rsidR="00C37B18" w:rsidRPr="00F466F2">
              <w:rPr>
                <w:rFonts w:eastAsiaTheme="minorEastAsia"/>
              </w:rPr>
              <w:t xml:space="preserve"> Ju</w:t>
            </w:r>
            <w:r w:rsidR="00F1329D" w:rsidRPr="00F466F2">
              <w:rPr>
                <w:rFonts w:eastAsiaTheme="minorEastAsia"/>
              </w:rPr>
              <w:t>ly</w:t>
            </w:r>
            <w:r w:rsidR="00B42777" w:rsidRPr="00F466F2">
              <w:rPr>
                <w:rFonts w:eastAsiaTheme="minorEastAsia"/>
              </w:rPr>
              <w:t xml:space="preserve"> 2026</w:t>
            </w:r>
            <w:bookmarkEnd w:id="4"/>
            <w:r w:rsidR="00DD0E43" w:rsidRPr="00F466F2">
              <w:rPr>
                <w:rFonts w:eastAsiaTheme="minorEastAsia"/>
              </w:rPr>
              <w:t xml:space="preserve"> </w:t>
            </w:r>
          </w:p>
          <w:p w14:paraId="68ACF78B" w14:textId="0380708D" w:rsidR="00DD0E43" w:rsidRPr="00F466F2" w:rsidRDefault="007A4105" w:rsidP="00DD0E43">
            <w:pPr>
              <w:pStyle w:val="AText"/>
              <w:rPr>
                <w:rFonts w:eastAsiaTheme="minorEastAsia"/>
              </w:rPr>
            </w:pPr>
            <w:bookmarkStart w:id="5" w:name="DistributionLang"/>
            <w:r w:rsidRPr="00F466F2">
              <w:rPr>
                <w:rFonts w:eastAsiaTheme="minorEastAsia"/>
              </w:rPr>
              <w:t>English only</w:t>
            </w:r>
            <w:bookmarkEnd w:id="5"/>
            <w:r w:rsidR="003C30B5" w:rsidRPr="00F466F2">
              <w:rPr>
                <w:rFonts w:eastAsiaTheme="minorEastAsia"/>
              </w:rPr>
              <w:t xml:space="preserve"> </w:t>
            </w:r>
          </w:p>
        </w:tc>
      </w:tr>
    </w:tbl>
    <w:p w14:paraId="7C6E7BDF" w14:textId="77777777" w:rsidR="00DD0E43" w:rsidRPr="00F466F2" w:rsidRDefault="00DD0E43" w:rsidP="00DD0E43">
      <w:pPr>
        <w:pStyle w:val="ASpacer"/>
        <w:rPr>
          <w:rFonts w:eastAsiaTheme="minorEastAsia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DD0E43" w:rsidRPr="00F466F2" w14:paraId="7E9FE100" w14:textId="77777777" w:rsidTr="00DD0E43">
        <w:trPr>
          <w:trHeight w:val="57"/>
        </w:trPr>
        <w:tc>
          <w:tcPr>
            <w:tcW w:w="5301" w:type="dxa"/>
          </w:tcPr>
          <w:p w14:paraId="4A75C685" w14:textId="5851F4DB" w:rsidR="00DD0E43" w:rsidRPr="00660BB7" w:rsidRDefault="00DD0E43" w:rsidP="00DD0E43">
            <w:pPr>
              <w:pStyle w:val="AATitle"/>
              <w:rPr>
                <w:rFonts w:eastAsiaTheme="minorEastAsia"/>
              </w:rPr>
            </w:pPr>
            <w:bookmarkStart w:id="6" w:name="CorNot1Text"/>
            <w:r w:rsidRPr="00F466F2">
              <w:rPr>
                <w:rFonts w:eastAsiaTheme="minorEastAsia"/>
              </w:rPr>
              <w:t xml:space="preserve">Open-ended Working Group of the Parties </w:t>
            </w:r>
            <w:r w:rsidRPr="00F466F2">
              <w:rPr>
                <w:rFonts w:eastAsiaTheme="minorEastAsia"/>
              </w:rPr>
              <w:br/>
              <w:t xml:space="preserve">to the Montreal Protocol on Substances </w:t>
            </w:r>
            <w:r w:rsidRPr="00F466F2">
              <w:rPr>
                <w:rFonts w:eastAsiaTheme="minorEastAsia"/>
              </w:rPr>
              <w:br/>
              <w:t xml:space="preserve">that Deplete the Ozone </w:t>
            </w:r>
            <w:r w:rsidRPr="00660BB7">
              <w:rPr>
                <w:rFonts w:eastAsiaTheme="minorEastAsia"/>
              </w:rPr>
              <w:t xml:space="preserve">Layer </w:t>
            </w:r>
          </w:p>
          <w:p w14:paraId="6303B607" w14:textId="006200F0" w:rsidR="00DD0E43" w:rsidRPr="00660BB7" w:rsidRDefault="00DD0E43" w:rsidP="00DD0E43">
            <w:pPr>
              <w:pStyle w:val="AATitle"/>
              <w:rPr>
                <w:rFonts w:eastAsiaTheme="minorEastAsia"/>
              </w:rPr>
            </w:pPr>
            <w:r w:rsidRPr="00660BB7">
              <w:rPr>
                <w:rFonts w:eastAsiaTheme="minorEastAsia"/>
              </w:rPr>
              <w:t>Forty-eighth meeting</w:t>
            </w:r>
            <w:bookmarkEnd w:id="6"/>
            <w:r w:rsidRPr="00660BB7">
              <w:rPr>
                <w:rFonts w:eastAsiaTheme="minorEastAsia"/>
              </w:rPr>
              <w:t xml:space="preserve"> </w:t>
            </w:r>
          </w:p>
          <w:p w14:paraId="5BE1EFFB" w14:textId="4ACAB228" w:rsidR="00DD0E43" w:rsidRPr="00660BB7" w:rsidRDefault="00DD0E43" w:rsidP="00DD0E43">
            <w:pPr>
              <w:pStyle w:val="AATitle1"/>
              <w:rPr>
                <w:rFonts w:eastAsiaTheme="minorEastAsia"/>
              </w:rPr>
            </w:pPr>
            <w:bookmarkStart w:id="7" w:name="CorNot1VenueDate"/>
            <w:r w:rsidRPr="00660BB7">
              <w:rPr>
                <w:rFonts w:eastAsiaTheme="minorEastAsia"/>
              </w:rPr>
              <w:t>Bangkok, 13–17 July 2026</w:t>
            </w:r>
            <w:bookmarkEnd w:id="7"/>
            <w:r w:rsidRPr="00660BB7">
              <w:rPr>
                <w:rFonts w:eastAsiaTheme="minorEastAsia"/>
              </w:rPr>
              <w:t xml:space="preserve"> </w:t>
            </w:r>
          </w:p>
          <w:p w14:paraId="3C8F93C2" w14:textId="07EDF398" w:rsidR="00DD0E43" w:rsidRPr="00F466F2" w:rsidRDefault="00B42777" w:rsidP="00DD0E43">
            <w:pPr>
              <w:pStyle w:val="AATitle1"/>
              <w:rPr>
                <w:rFonts w:eastAsiaTheme="minorEastAsia"/>
              </w:rPr>
            </w:pPr>
            <w:bookmarkStart w:id="8" w:name="CorNot1AgItem"/>
            <w:r w:rsidRPr="00660BB7">
              <w:rPr>
                <w:rFonts w:eastAsiaTheme="minorEastAsia"/>
              </w:rPr>
              <w:t>Item 6 of the p</w:t>
            </w:r>
            <w:r w:rsidRPr="0076582E">
              <w:rPr>
                <w:rFonts w:eastAsiaTheme="minorEastAsia"/>
              </w:rPr>
              <w:t>rovisional agenda</w:t>
            </w:r>
            <w:bookmarkEnd w:id="8"/>
            <w:r w:rsidR="00892FEA" w:rsidRPr="0076582E">
              <w:rPr>
                <w:rStyle w:val="FootnoteReference"/>
                <w:vertAlign w:val="baseline"/>
              </w:rPr>
              <w:footnoteReference w:customMarkFollows="1" w:id="2"/>
              <w:t>*</w:t>
            </w:r>
            <w:r w:rsidR="00DD0E43" w:rsidRPr="00F466F2">
              <w:rPr>
                <w:rFonts w:eastAsiaTheme="minorEastAsia"/>
              </w:rPr>
              <w:t xml:space="preserve"> </w:t>
            </w:r>
          </w:p>
          <w:p w14:paraId="0F58FB8D" w14:textId="27070B05" w:rsidR="00DD0E43" w:rsidRPr="00F466F2" w:rsidRDefault="00F21CDB" w:rsidP="00DD0E43">
            <w:pPr>
              <w:pStyle w:val="AATitle2"/>
              <w:rPr>
                <w:rFonts w:eastAsiaTheme="minorEastAsia"/>
              </w:rPr>
            </w:pPr>
            <w:bookmarkStart w:id="9" w:name="CorNot1AgTitle"/>
            <w:r w:rsidRPr="00F466F2">
              <w:rPr>
                <w:rFonts w:eastAsiaTheme="minorEastAsia"/>
              </w:rPr>
              <w:t>Ensuring the viability of Montreal Protocol operations</w:t>
            </w:r>
            <w:bookmarkEnd w:id="9"/>
          </w:p>
        </w:tc>
        <w:tc>
          <w:tcPr>
            <w:tcW w:w="4195" w:type="dxa"/>
          </w:tcPr>
          <w:p w14:paraId="63B700A0" w14:textId="77777777" w:rsidR="00DD0E43" w:rsidRPr="00F466F2" w:rsidRDefault="00DD0E43" w:rsidP="00DD0E43">
            <w:pPr>
              <w:pStyle w:val="Normal-pool"/>
              <w:rPr>
                <w:rFonts w:eastAsiaTheme="minorEastAsia"/>
              </w:rPr>
            </w:pPr>
          </w:p>
        </w:tc>
      </w:tr>
    </w:tbl>
    <w:p w14:paraId="17894D83" w14:textId="15070930" w:rsidR="006A5453" w:rsidRPr="00F41A17" w:rsidRDefault="006A5453" w:rsidP="00F41A17">
      <w:pPr>
        <w:pStyle w:val="BBTitle"/>
      </w:pPr>
      <w:r w:rsidRPr="00F41A17">
        <w:t>Ensuring the viability of Montreal Protocol</w:t>
      </w:r>
      <w:r w:rsidR="005D20A3" w:rsidRPr="00F41A17">
        <w:t xml:space="preserve"> operations</w:t>
      </w:r>
      <w:r w:rsidRPr="00F41A17">
        <w:t xml:space="preserve">: </w:t>
      </w:r>
      <w:r w:rsidR="00E30CE3" w:rsidRPr="00F41A17">
        <w:t>s</w:t>
      </w:r>
      <w:r w:rsidRPr="00F41A17">
        <w:t xml:space="preserve">cenarios, </w:t>
      </w:r>
      <w:r w:rsidR="00E30CE3" w:rsidRPr="00F41A17">
        <w:t>o</w:t>
      </w:r>
      <w:r w:rsidRPr="00F41A17">
        <w:t xml:space="preserve">ptions and </w:t>
      </w:r>
      <w:r w:rsidR="00E30CE3" w:rsidRPr="00F41A17">
        <w:t>c</w:t>
      </w:r>
      <w:r w:rsidRPr="00F41A17">
        <w:t xml:space="preserve">ost </w:t>
      </w:r>
      <w:r w:rsidR="00E30CE3" w:rsidRPr="00F41A17">
        <w:t>e</w:t>
      </w:r>
      <w:r w:rsidRPr="00F41A17">
        <w:t>stimates</w:t>
      </w:r>
    </w:p>
    <w:p w14:paraId="096F5C4E" w14:textId="77777777" w:rsidR="006A5453" w:rsidRPr="00F41A17" w:rsidRDefault="006A5453" w:rsidP="00F41A17">
      <w:pPr>
        <w:pStyle w:val="CH2"/>
      </w:pPr>
      <w:r w:rsidRPr="00F41A17">
        <w:tab/>
      </w:r>
      <w:r w:rsidRPr="00F41A17">
        <w:tab/>
        <w:t>Note by the Secretariat</w:t>
      </w:r>
    </w:p>
    <w:p w14:paraId="783242B2" w14:textId="79D2C80F" w:rsidR="005E41EC" w:rsidRPr="00F466F2" w:rsidRDefault="007A4105" w:rsidP="0002428C">
      <w:pPr>
        <w:pStyle w:val="CH3"/>
        <w:spacing w:before="180"/>
      </w:pPr>
      <w:r w:rsidRPr="0076582E">
        <w:tab/>
      </w:r>
      <w:r w:rsidRPr="0076582E">
        <w:tab/>
      </w:r>
      <w:r w:rsidR="005F5E42" w:rsidRPr="0076582E">
        <w:t>Addendum</w:t>
      </w:r>
    </w:p>
    <w:p w14:paraId="1034DB47" w14:textId="77777777" w:rsidR="006A5453" w:rsidRPr="00F466F2" w:rsidRDefault="006A5453" w:rsidP="00C86E2E">
      <w:pPr>
        <w:pStyle w:val="CH1"/>
        <w:spacing w:before="200"/>
      </w:pPr>
      <w:r w:rsidRPr="00F466F2">
        <w:tab/>
        <w:t>I.</w:t>
      </w:r>
      <w:r w:rsidRPr="00F466F2">
        <w:tab/>
        <w:t>Introduction</w:t>
      </w:r>
    </w:p>
    <w:p w14:paraId="2412750C" w14:textId="5495C193" w:rsidR="00EB4A26" w:rsidRPr="00F466F2" w:rsidRDefault="006A5453" w:rsidP="007A410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</w:pPr>
      <w:r w:rsidRPr="00F466F2">
        <w:t xml:space="preserve">The present </w:t>
      </w:r>
      <w:r w:rsidR="005F5E42" w:rsidRPr="00F466F2">
        <w:t xml:space="preserve">addendum </w:t>
      </w:r>
      <w:r w:rsidR="00C84BA5" w:rsidRPr="00F466F2">
        <w:t xml:space="preserve">to the note by the </w:t>
      </w:r>
      <w:r w:rsidR="00C327E3">
        <w:t xml:space="preserve">Ozone </w:t>
      </w:r>
      <w:r w:rsidR="00C84BA5" w:rsidRPr="00F466F2">
        <w:t xml:space="preserve">Secretariat on ensuring the viability of the </w:t>
      </w:r>
      <w:r w:rsidR="001356DE">
        <w:t xml:space="preserve">operations of the </w:t>
      </w:r>
      <w:r w:rsidR="00C84BA5" w:rsidRPr="00F466F2">
        <w:t xml:space="preserve">Montreal Protocol </w:t>
      </w:r>
      <w:r w:rsidR="001356DE" w:rsidRPr="00F466F2">
        <w:t>on Substances that Deplete the Ozone Layer</w:t>
      </w:r>
      <w:r w:rsidR="00B954E6" w:rsidRPr="00F466F2">
        <w:t xml:space="preserve"> (</w:t>
      </w:r>
      <w:r w:rsidR="008A19E0" w:rsidRPr="00F466F2">
        <w:t>UNEP/OzL.Pro.WG.1/</w:t>
      </w:r>
      <w:r w:rsidR="008A19E0" w:rsidRPr="00660BB7">
        <w:t>48/4</w:t>
      </w:r>
      <w:r w:rsidR="00B954E6" w:rsidRPr="00660BB7">
        <w:t>)</w:t>
      </w:r>
      <w:r w:rsidR="008A19E0" w:rsidRPr="00660BB7">
        <w:t xml:space="preserve"> </w:t>
      </w:r>
      <w:r w:rsidRPr="00660BB7">
        <w:t xml:space="preserve">has been prepared </w:t>
      </w:r>
      <w:r w:rsidR="00B84577" w:rsidRPr="00660BB7">
        <w:t>pursuant to decision XXXVII/7 of the Thirty</w:t>
      </w:r>
      <w:r w:rsidR="00B84577" w:rsidRPr="00660BB7">
        <w:noBreakHyphen/>
        <w:t xml:space="preserve">Seventh Meeting of the Parties to the </w:t>
      </w:r>
      <w:r w:rsidR="008F2F0F" w:rsidRPr="00660BB7">
        <w:t>Montreal Protocol</w:t>
      </w:r>
      <w:r w:rsidR="004B2F7B" w:rsidRPr="00660BB7">
        <w:t>. The addendum</w:t>
      </w:r>
      <w:r w:rsidR="009A5F0B" w:rsidRPr="00660BB7">
        <w:t xml:space="preserve"> provide</w:t>
      </w:r>
      <w:r w:rsidR="008C005F" w:rsidRPr="00660BB7">
        <w:t>s</w:t>
      </w:r>
      <w:r w:rsidR="009A5F0B" w:rsidRPr="00660BB7">
        <w:t xml:space="preserve"> </w:t>
      </w:r>
      <w:r w:rsidR="008914BC" w:rsidRPr="00660BB7">
        <w:t xml:space="preserve">additional </w:t>
      </w:r>
      <w:r w:rsidR="009A5F0B" w:rsidRPr="00660BB7">
        <w:t xml:space="preserve">information on the </w:t>
      </w:r>
      <w:r w:rsidR="005A50D6" w:rsidRPr="00660BB7">
        <w:t xml:space="preserve">work and </w:t>
      </w:r>
      <w:r w:rsidR="00F25FBD" w:rsidRPr="00660BB7">
        <w:t xml:space="preserve">meetings of the </w:t>
      </w:r>
      <w:r w:rsidR="001356DE" w:rsidRPr="00660BB7">
        <w:t xml:space="preserve">three </w:t>
      </w:r>
      <w:r w:rsidR="000E766F" w:rsidRPr="00660BB7">
        <w:t xml:space="preserve">assessment panels </w:t>
      </w:r>
      <w:r w:rsidR="00F25FBD" w:rsidRPr="00660BB7">
        <w:t>to</w:t>
      </w:r>
      <w:r w:rsidR="00704FE8" w:rsidRPr="00660BB7">
        <w:t xml:space="preserve"> facilitate</w:t>
      </w:r>
      <w:r w:rsidR="007160F9" w:rsidRPr="00660BB7">
        <w:t xml:space="preserve"> the</w:t>
      </w:r>
      <w:r w:rsidRPr="00660BB7">
        <w:t xml:space="preserve"> </w:t>
      </w:r>
      <w:r w:rsidR="00C07B05" w:rsidRPr="00660BB7">
        <w:t xml:space="preserve">parties’ </w:t>
      </w:r>
      <w:r w:rsidR="007160F9" w:rsidRPr="00660BB7">
        <w:t>consider</w:t>
      </w:r>
      <w:r w:rsidR="00C07B05" w:rsidRPr="00660BB7">
        <w:t>ation of</w:t>
      </w:r>
      <w:r w:rsidR="007160F9" w:rsidRPr="00660BB7">
        <w:t xml:space="preserve"> the </w:t>
      </w:r>
      <w:r w:rsidR="007F0E37" w:rsidRPr="00660BB7">
        <w:t xml:space="preserve">possible options for </w:t>
      </w:r>
      <w:proofErr w:type="gramStart"/>
      <w:r w:rsidR="00841280" w:rsidRPr="00660BB7">
        <w:t>making adjustments to</w:t>
      </w:r>
      <w:proofErr w:type="gramEnd"/>
      <w:r w:rsidR="00841280" w:rsidRPr="00660BB7">
        <w:t xml:space="preserve"> </w:t>
      </w:r>
      <w:r w:rsidR="007F0E37" w:rsidRPr="00660BB7">
        <w:t>the</w:t>
      </w:r>
      <w:r w:rsidR="007F0E37" w:rsidRPr="00F466F2">
        <w:t xml:space="preserve"> work cycle</w:t>
      </w:r>
      <w:r w:rsidR="00F931F2" w:rsidRPr="00F466F2">
        <w:t>s</w:t>
      </w:r>
      <w:r w:rsidR="007F0E37" w:rsidRPr="00F466F2">
        <w:t xml:space="preserve"> </w:t>
      </w:r>
      <w:r w:rsidR="001821BC">
        <w:t xml:space="preserve">of the panels </w:t>
      </w:r>
      <w:r w:rsidR="00694C38" w:rsidRPr="00F466F2">
        <w:t>a</w:t>
      </w:r>
      <w:r w:rsidR="00CD5EE2" w:rsidRPr="00F466F2">
        <w:t>nd the modalities of the</w:t>
      </w:r>
      <w:r w:rsidR="001821BC">
        <w:t>ir</w:t>
      </w:r>
      <w:r w:rsidR="00CD5EE2" w:rsidRPr="00F466F2">
        <w:t xml:space="preserve"> </w:t>
      </w:r>
      <w:r w:rsidR="00B134FC" w:rsidRPr="00F466F2">
        <w:t>meetings</w:t>
      </w:r>
      <w:r w:rsidR="007F0E37" w:rsidRPr="00F466F2">
        <w:t xml:space="preserve"> </w:t>
      </w:r>
      <w:r w:rsidR="00CC0CF7" w:rsidRPr="00F466F2">
        <w:t xml:space="preserve">as part of </w:t>
      </w:r>
      <w:r w:rsidR="0078545E">
        <w:t>parties’</w:t>
      </w:r>
      <w:r w:rsidR="00CC0CF7" w:rsidRPr="00F466F2">
        <w:t xml:space="preserve"> effort</w:t>
      </w:r>
      <w:r w:rsidR="00B72D7D" w:rsidRPr="00F466F2">
        <w:t>s</w:t>
      </w:r>
      <w:r w:rsidR="00CC0CF7" w:rsidRPr="00F466F2">
        <w:t xml:space="preserve"> </w:t>
      </w:r>
      <w:r w:rsidR="00F04497" w:rsidRPr="00F466F2">
        <w:t xml:space="preserve">to </w:t>
      </w:r>
      <w:r w:rsidR="009B5502" w:rsidRPr="00F466F2">
        <w:t xml:space="preserve">enhance </w:t>
      </w:r>
      <w:r w:rsidR="009265EA" w:rsidRPr="00F466F2">
        <w:t xml:space="preserve">the efficiency </w:t>
      </w:r>
      <w:r w:rsidR="0092566E" w:rsidRPr="00F466F2">
        <w:t xml:space="preserve">of the operations of </w:t>
      </w:r>
      <w:r w:rsidR="009F48F2" w:rsidRPr="00F466F2">
        <w:t>the Montreal Protocol</w:t>
      </w:r>
      <w:r w:rsidR="001E7EDD" w:rsidRPr="00F466F2">
        <w:rPr>
          <w:rFonts w:eastAsiaTheme="minorEastAsia"/>
          <w:bCs/>
        </w:rPr>
        <w:t xml:space="preserve"> while </w:t>
      </w:r>
      <w:r w:rsidR="00851540" w:rsidRPr="00F466F2">
        <w:rPr>
          <w:rFonts w:eastAsiaTheme="minorEastAsia"/>
          <w:bCs/>
        </w:rPr>
        <w:t>maintain</w:t>
      </w:r>
      <w:r w:rsidR="00DF2AFD" w:rsidRPr="00F466F2">
        <w:rPr>
          <w:rFonts w:eastAsiaTheme="minorEastAsia"/>
          <w:bCs/>
        </w:rPr>
        <w:t>ing</w:t>
      </w:r>
      <w:r w:rsidR="00851540" w:rsidRPr="00F466F2">
        <w:rPr>
          <w:rFonts w:eastAsiaTheme="minorEastAsia"/>
          <w:bCs/>
        </w:rPr>
        <w:t xml:space="preserve"> </w:t>
      </w:r>
      <w:r w:rsidR="001E7EDD" w:rsidRPr="00F466F2">
        <w:rPr>
          <w:rFonts w:eastAsiaTheme="minorEastAsia"/>
          <w:bCs/>
        </w:rPr>
        <w:t xml:space="preserve">the </w:t>
      </w:r>
      <w:r w:rsidR="001356DE">
        <w:rPr>
          <w:rFonts w:eastAsiaTheme="minorEastAsia"/>
          <w:bCs/>
        </w:rPr>
        <w:t xml:space="preserve">Protocol’s </w:t>
      </w:r>
      <w:r w:rsidR="001E7EDD" w:rsidRPr="00F466F2">
        <w:rPr>
          <w:rFonts w:eastAsiaTheme="minorEastAsia"/>
          <w:bCs/>
        </w:rPr>
        <w:t>effectiveness and overall impact</w:t>
      </w:r>
      <w:r w:rsidR="00194D94" w:rsidRPr="00F466F2">
        <w:t>.</w:t>
      </w:r>
      <w:r w:rsidR="00724288" w:rsidRPr="00F466F2">
        <w:rPr>
          <w:rFonts w:eastAsiaTheme="minorEastAsia"/>
          <w:bCs/>
        </w:rPr>
        <w:t xml:space="preserve"> In accordance with decision XXXVII/7, the </w:t>
      </w:r>
      <w:r w:rsidR="001356DE">
        <w:rPr>
          <w:rFonts w:eastAsiaTheme="minorEastAsia"/>
          <w:bCs/>
        </w:rPr>
        <w:t>addendum</w:t>
      </w:r>
      <w:r w:rsidR="00724288" w:rsidRPr="00F466F2">
        <w:rPr>
          <w:rFonts w:eastAsiaTheme="minorEastAsia"/>
          <w:bCs/>
        </w:rPr>
        <w:t xml:space="preserve"> is intended to be non-prejudicial with respect to the parties’ consideration of the options presented.</w:t>
      </w:r>
    </w:p>
    <w:p w14:paraId="509D2237" w14:textId="29DC8DA0" w:rsidR="00C72AD6" w:rsidRPr="00F466F2" w:rsidRDefault="00C60218" w:rsidP="007A4105">
      <w:pPr>
        <w:pStyle w:val="Normalnumber"/>
        <w:tabs>
          <w:tab w:val="left" w:pos="624"/>
        </w:tabs>
        <w:ind w:left="1247"/>
        <w:rPr>
          <w:rFonts w:eastAsiaTheme="minorEastAsia"/>
        </w:rPr>
      </w:pPr>
      <w:r w:rsidRPr="00F466F2">
        <w:t xml:space="preserve">Section II </w:t>
      </w:r>
      <w:r w:rsidR="00963BB7" w:rsidRPr="00F466F2">
        <w:t xml:space="preserve">of the addendum </w:t>
      </w:r>
      <w:r w:rsidR="00276488" w:rsidRPr="00F466F2">
        <w:t>contains i</w:t>
      </w:r>
      <w:r w:rsidR="00CD7199" w:rsidRPr="00F466F2">
        <w:t>nformation on t</w:t>
      </w:r>
      <w:r w:rsidR="009C3008" w:rsidRPr="00F466F2">
        <w:t xml:space="preserve">he </w:t>
      </w:r>
      <w:r w:rsidR="00C346E9" w:rsidRPr="00F466F2">
        <w:t xml:space="preserve">assessment panels </w:t>
      </w:r>
      <w:r w:rsidR="00C346E9" w:rsidRPr="0076582E">
        <w:t xml:space="preserve">and their work; </w:t>
      </w:r>
      <w:r w:rsidR="001356DE" w:rsidRPr="0076582E">
        <w:t xml:space="preserve">on </w:t>
      </w:r>
      <w:r w:rsidR="00B15595" w:rsidRPr="0076582E">
        <w:t xml:space="preserve">the </w:t>
      </w:r>
      <w:r w:rsidR="00874965" w:rsidRPr="0076582E">
        <w:t xml:space="preserve">current </w:t>
      </w:r>
      <w:r w:rsidR="006735D4" w:rsidRPr="0076582E">
        <w:t xml:space="preserve">assessment </w:t>
      </w:r>
      <w:r w:rsidR="00874965" w:rsidRPr="0076582E">
        <w:t>cycle</w:t>
      </w:r>
      <w:r w:rsidR="00C346E9" w:rsidRPr="0076582E">
        <w:t>;</w:t>
      </w:r>
      <w:r w:rsidR="00874965" w:rsidRPr="0076582E">
        <w:t xml:space="preserve"> </w:t>
      </w:r>
      <w:r w:rsidR="00204ED7" w:rsidRPr="0076582E">
        <w:t xml:space="preserve">and </w:t>
      </w:r>
      <w:r w:rsidR="001356DE" w:rsidRPr="0076582E">
        <w:t xml:space="preserve">on the </w:t>
      </w:r>
      <w:r w:rsidR="00874965" w:rsidRPr="0076582E">
        <w:t>modalities</w:t>
      </w:r>
      <w:r w:rsidR="001356DE" w:rsidRPr="0076582E">
        <w:t xml:space="preserve"> (</w:t>
      </w:r>
      <w:r w:rsidR="001356DE" w:rsidRPr="0076582E">
        <w:rPr>
          <w:rFonts w:eastAsiaTheme="minorEastAsia"/>
        </w:rPr>
        <w:t>timing, length, format and frequency)</w:t>
      </w:r>
      <w:r w:rsidR="00874965" w:rsidRPr="0076582E">
        <w:t xml:space="preserve"> </w:t>
      </w:r>
      <w:r w:rsidR="00874965" w:rsidRPr="00360094">
        <w:t>of</w:t>
      </w:r>
      <w:r w:rsidR="00874965" w:rsidRPr="00F466F2">
        <w:t xml:space="preserve"> assessment panel meetings</w:t>
      </w:r>
      <w:r w:rsidR="00204ED7" w:rsidRPr="00F466F2">
        <w:t xml:space="preserve">. Section </w:t>
      </w:r>
      <w:r w:rsidR="00204ED7" w:rsidRPr="00660BB7">
        <w:t xml:space="preserve">III presents the </w:t>
      </w:r>
      <w:r w:rsidR="00697FB0" w:rsidRPr="00660BB7">
        <w:t>costs</w:t>
      </w:r>
      <w:r w:rsidR="00F529BA">
        <w:t>, for the period 2022–2025,</w:t>
      </w:r>
      <w:r w:rsidR="00697FB0" w:rsidRPr="00660BB7">
        <w:t xml:space="preserve"> </w:t>
      </w:r>
      <w:r w:rsidR="00660BB7" w:rsidRPr="0076582E">
        <w:t>of</w:t>
      </w:r>
      <w:r w:rsidR="00204ED7" w:rsidRPr="00660BB7">
        <w:t xml:space="preserve"> </w:t>
      </w:r>
      <w:r w:rsidR="00660BB7" w:rsidRPr="0076582E">
        <w:t xml:space="preserve">holding </w:t>
      </w:r>
      <w:r w:rsidR="00F529BA">
        <w:t>panel</w:t>
      </w:r>
      <w:r w:rsidR="00204ED7" w:rsidRPr="00660BB7">
        <w:t xml:space="preserve"> meetings and </w:t>
      </w:r>
      <w:r w:rsidR="001356DE" w:rsidRPr="00660BB7">
        <w:t xml:space="preserve">of the </w:t>
      </w:r>
      <w:r w:rsidR="00204ED7" w:rsidRPr="00660BB7">
        <w:t xml:space="preserve">participation of </w:t>
      </w:r>
      <w:r w:rsidR="00426F70" w:rsidRPr="00660BB7">
        <w:t xml:space="preserve">experts from parties </w:t>
      </w:r>
      <w:r w:rsidR="00D93502" w:rsidRPr="00660BB7">
        <w:t>operating under paragraph 1 of Article 5 of the Montreal Protocol</w:t>
      </w:r>
      <w:r w:rsidR="00D93502" w:rsidRPr="00F466F2">
        <w:t xml:space="preserve"> </w:t>
      </w:r>
      <w:r w:rsidR="009C781F" w:rsidRPr="00F466F2">
        <w:t>(Article 5 parties)</w:t>
      </w:r>
      <w:r w:rsidR="001356DE">
        <w:t xml:space="preserve">; the latter </w:t>
      </w:r>
      <w:r w:rsidR="00660BB7">
        <w:t>costs are</w:t>
      </w:r>
      <w:r w:rsidR="009C781F" w:rsidRPr="00F466F2">
        <w:t xml:space="preserve"> </w:t>
      </w:r>
      <w:r w:rsidR="00495364" w:rsidRPr="00F466F2">
        <w:t xml:space="preserve">covered by the Montreal Protocol Trust Fund and </w:t>
      </w:r>
      <w:r w:rsidR="005864C0" w:rsidRPr="00F466F2">
        <w:t xml:space="preserve">supplemented </w:t>
      </w:r>
      <w:r w:rsidR="00495364" w:rsidRPr="00F466F2">
        <w:t>from other sources</w:t>
      </w:r>
      <w:r w:rsidR="005864C0" w:rsidRPr="00F466F2">
        <w:t xml:space="preserve"> of contributions</w:t>
      </w:r>
      <w:r w:rsidR="00697FB0" w:rsidRPr="00F466F2">
        <w:t>.</w:t>
      </w:r>
      <w:r w:rsidR="00CD7199" w:rsidRPr="00F466F2">
        <w:t xml:space="preserve"> </w:t>
      </w:r>
      <w:r w:rsidR="00170F1F" w:rsidRPr="00F466F2">
        <w:t xml:space="preserve">Section IV </w:t>
      </w:r>
      <w:r w:rsidR="00F87C9D" w:rsidRPr="00F466F2">
        <w:t>presents possible adjustments to the assessment panels’ work cycle and meetings.</w:t>
      </w:r>
    </w:p>
    <w:p w14:paraId="704B2B43" w14:textId="0D31F032" w:rsidR="006A5453" w:rsidRPr="00F466F2" w:rsidRDefault="006A5453" w:rsidP="006A5453">
      <w:pPr>
        <w:pStyle w:val="CH1"/>
        <w:rPr>
          <w:rFonts w:eastAsiaTheme="minorEastAsia"/>
          <w:bCs/>
        </w:rPr>
      </w:pPr>
      <w:r w:rsidRPr="00F466F2">
        <w:tab/>
        <w:t>II.</w:t>
      </w:r>
      <w:r w:rsidRPr="00F466F2">
        <w:tab/>
      </w:r>
      <w:r w:rsidR="001356DE">
        <w:t>The a</w:t>
      </w:r>
      <w:r w:rsidR="00F0799E" w:rsidRPr="00F466F2">
        <w:t xml:space="preserve">ssessment </w:t>
      </w:r>
      <w:r w:rsidR="00E42B9B" w:rsidRPr="00F466F2">
        <w:t>p</w:t>
      </w:r>
      <w:r w:rsidR="00F0799E" w:rsidRPr="00F466F2">
        <w:t>anels</w:t>
      </w:r>
      <w:r w:rsidR="00B46905" w:rsidRPr="00F466F2">
        <w:t xml:space="preserve">, </w:t>
      </w:r>
      <w:r w:rsidR="00CC7149" w:rsidRPr="00F466F2">
        <w:t>t</w:t>
      </w:r>
      <w:r w:rsidR="00F0799E" w:rsidRPr="00F466F2">
        <w:t xml:space="preserve">heir </w:t>
      </w:r>
      <w:r w:rsidR="00E42B9B" w:rsidRPr="00F466F2">
        <w:t>w</w:t>
      </w:r>
      <w:r w:rsidR="00B46905" w:rsidRPr="00F466F2">
        <w:t xml:space="preserve">ork </w:t>
      </w:r>
      <w:r w:rsidR="00E42B9B" w:rsidRPr="00F466F2">
        <w:t>c</w:t>
      </w:r>
      <w:r w:rsidR="00B46905" w:rsidRPr="00F466F2">
        <w:t xml:space="preserve">ycles and </w:t>
      </w:r>
      <w:r w:rsidR="001356DE">
        <w:t xml:space="preserve">their </w:t>
      </w:r>
      <w:r w:rsidR="00E42B9B" w:rsidRPr="00F466F2">
        <w:t>m</w:t>
      </w:r>
      <w:r w:rsidRPr="00F466F2">
        <w:t>eetings</w:t>
      </w:r>
    </w:p>
    <w:p w14:paraId="3648338B" w14:textId="43B4FD99" w:rsidR="008A7351" w:rsidRPr="00F466F2" w:rsidRDefault="008A7351" w:rsidP="007A410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</w:rPr>
      </w:pPr>
      <w:r w:rsidRPr="00F466F2">
        <w:rPr>
          <w:rFonts w:eastAsiaTheme="minorEastAsia"/>
        </w:rPr>
        <w:t>The assessment panels of the Montreal Protocol were formally established in 1989 under Article 6 of the Protocol</w:t>
      </w:r>
      <w:r w:rsidR="001356DE">
        <w:rPr>
          <w:rFonts w:eastAsiaTheme="minorEastAsia"/>
        </w:rPr>
        <w:t>,</w:t>
      </w:r>
      <w:r w:rsidRPr="00F466F2">
        <w:rPr>
          <w:rFonts w:eastAsiaTheme="minorEastAsia"/>
        </w:rPr>
        <w:t xml:space="preserve"> which provides for a comprehensive assessment of scientific, environmental, technical and economic information relevant to the Protocol, at least every four years, as a basis for the parties to assess the control measures provided for in the Protocol. The Scientific</w:t>
      </w:r>
      <w:r w:rsidR="00216A6D" w:rsidRPr="00F466F2">
        <w:rPr>
          <w:rFonts w:eastAsiaTheme="minorEastAsia"/>
        </w:rPr>
        <w:t xml:space="preserve"> Assessment Panel (SAP)</w:t>
      </w:r>
      <w:r w:rsidRPr="00F466F2">
        <w:rPr>
          <w:rFonts w:eastAsiaTheme="minorEastAsia"/>
        </w:rPr>
        <w:t xml:space="preserve">, </w:t>
      </w:r>
      <w:r w:rsidR="001356DE">
        <w:rPr>
          <w:rFonts w:eastAsiaTheme="minorEastAsia"/>
        </w:rPr>
        <w:t xml:space="preserve">the </w:t>
      </w:r>
      <w:r w:rsidRPr="00F466F2">
        <w:rPr>
          <w:rFonts w:eastAsiaTheme="minorEastAsia"/>
        </w:rPr>
        <w:t xml:space="preserve">Environmental Effects </w:t>
      </w:r>
      <w:r w:rsidR="00216A6D" w:rsidRPr="00F466F2">
        <w:rPr>
          <w:rFonts w:eastAsiaTheme="minorEastAsia"/>
        </w:rPr>
        <w:t xml:space="preserve">Assessment Panel (EEAP) </w:t>
      </w:r>
      <w:r w:rsidRPr="00F466F2">
        <w:rPr>
          <w:rFonts w:eastAsiaTheme="minorEastAsia"/>
        </w:rPr>
        <w:t xml:space="preserve">and </w:t>
      </w:r>
      <w:r w:rsidR="001356DE">
        <w:rPr>
          <w:rFonts w:eastAsiaTheme="minorEastAsia"/>
        </w:rPr>
        <w:t xml:space="preserve">the </w:t>
      </w:r>
      <w:r w:rsidRPr="00F466F2">
        <w:rPr>
          <w:rFonts w:eastAsiaTheme="minorEastAsia"/>
        </w:rPr>
        <w:t>Technology and Economic Assessment Panel</w:t>
      </w:r>
      <w:r w:rsidR="00216A6D" w:rsidRPr="00F466F2">
        <w:rPr>
          <w:rFonts w:eastAsiaTheme="minorEastAsia"/>
        </w:rPr>
        <w:t xml:space="preserve"> (TEAP)</w:t>
      </w:r>
      <w:r w:rsidRPr="00F466F2">
        <w:rPr>
          <w:rFonts w:eastAsiaTheme="minorEastAsia"/>
        </w:rPr>
        <w:t xml:space="preserve"> have carried out nine comprehensive quadrennial assessments from 1991 </w:t>
      </w:r>
      <w:r w:rsidR="00446D63" w:rsidRPr="00F466F2">
        <w:rPr>
          <w:rFonts w:eastAsiaTheme="minorEastAsia"/>
        </w:rPr>
        <w:t xml:space="preserve">to </w:t>
      </w:r>
      <w:r w:rsidR="00446D63" w:rsidRPr="00F466F2">
        <w:rPr>
          <w:rFonts w:eastAsiaTheme="minorEastAsia"/>
        </w:rPr>
        <w:lastRenderedPageBreak/>
        <w:t xml:space="preserve">date, </w:t>
      </w:r>
      <w:r w:rsidRPr="00F466F2">
        <w:rPr>
          <w:rFonts w:eastAsiaTheme="minorEastAsia"/>
        </w:rPr>
        <w:t>and the tenth assessment will be finalized at the end of 2026 for review by the parties in 202</w:t>
      </w:r>
      <w:r w:rsidR="00232F53" w:rsidRPr="00F466F2">
        <w:rPr>
          <w:rFonts w:eastAsiaTheme="minorEastAsia"/>
        </w:rPr>
        <w:t>7</w:t>
      </w:r>
      <w:r w:rsidRPr="00F466F2">
        <w:rPr>
          <w:rFonts w:eastAsiaTheme="minorEastAsia"/>
        </w:rPr>
        <w:t>.</w:t>
      </w:r>
      <w:r w:rsidR="00B724A6" w:rsidRPr="00F466F2">
        <w:rPr>
          <w:rFonts w:eastAsiaTheme="minorEastAsia"/>
        </w:rPr>
        <w:t xml:space="preserve"> In the year following the completion of </w:t>
      </w:r>
      <w:r w:rsidR="00274ECB">
        <w:rPr>
          <w:rFonts w:eastAsiaTheme="minorEastAsia"/>
        </w:rPr>
        <w:t>an</w:t>
      </w:r>
      <w:r w:rsidR="00B724A6" w:rsidRPr="00F466F2">
        <w:rPr>
          <w:rFonts w:eastAsiaTheme="minorEastAsia"/>
        </w:rPr>
        <w:t xml:space="preserve"> assessment, the </w:t>
      </w:r>
      <w:r w:rsidR="002B61FD" w:rsidRPr="00F466F2">
        <w:rPr>
          <w:rFonts w:eastAsiaTheme="minorEastAsia"/>
        </w:rPr>
        <w:t>p</w:t>
      </w:r>
      <w:r w:rsidR="00B724A6" w:rsidRPr="00F466F2">
        <w:rPr>
          <w:rFonts w:eastAsiaTheme="minorEastAsia"/>
        </w:rPr>
        <w:t xml:space="preserve">anels’ </w:t>
      </w:r>
      <w:r w:rsidR="00B40A9B" w:rsidRPr="00F466F2">
        <w:rPr>
          <w:rFonts w:eastAsiaTheme="minorEastAsia"/>
        </w:rPr>
        <w:t>c</w:t>
      </w:r>
      <w:r w:rsidR="00B724A6" w:rsidRPr="00F466F2">
        <w:rPr>
          <w:rFonts w:eastAsiaTheme="minorEastAsia"/>
        </w:rPr>
        <w:t>o-</w:t>
      </w:r>
      <w:r w:rsidR="00B40A9B" w:rsidRPr="00F466F2">
        <w:rPr>
          <w:rFonts w:eastAsiaTheme="minorEastAsia"/>
        </w:rPr>
        <w:t>c</w:t>
      </w:r>
      <w:r w:rsidR="00B724A6" w:rsidRPr="00F466F2">
        <w:rPr>
          <w:rFonts w:eastAsiaTheme="minorEastAsia"/>
        </w:rPr>
        <w:t>hairs meet to produce a synthesis report that analy</w:t>
      </w:r>
      <w:r w:rsidR="00274ECB">
        <w:rPr>
          <w:rFonts w:eastAsiaTheme="minorEastAsia"/>
        </w:rPr>
        <w:t>s</w:t>
      </w:r>
      <w:r w:rsidR="00B724A6" w:rsidRPr="00F466F2">
        <w:rPr>
          <w:rFonts w:eastAsiaTheme="minorEastAsia"/>
        </w:rPr>
        <w:t xml:space="preserve">es the assessment findings of the three </w:t>
      </w:r>
      <w:r w:rsidR="00145F46" w:rsidRPr="00F466F2">
        <w:rPr>
          <w:rFonts w:eastAsiaTheme="minorEastAsia"/>
        </w:rPr>
        <w:t>p</w:t>
      </w:r>
      <w:r w:rsidR="00B724A6" w:rsidRPr="00F466F2">
        <w:rPr>
          <w:rFonts w:eastAsiaTheme="minorEastAsia"/>
        </w:rPr>
        <w:t xml:space="preserve">anels and presents coherent, integrated </w:t>
      </w:r>
      <w:r w:rsidR="00962DD5" w:rsidRPr="00F466F2">
        <w:rPr>
          <w:rFonts w:eastAsiaTheme="minorEastAsia"/>
        </w:rPr>
        <w:t xml:space="preserve">information and </w:t>
      </w:r>
      <w:r w:rsidR="00B724A6" w:rsidRPr="00F466F2">
        <w:rPr>
          <w:rFonts w:eastAsiaTheme="minorEastAsia"/>
        </w:rPr>
        <w:t>messages.</w:t>
      </w:r>
    </w:p>
    <w:p w14:paraId="3071E0B7" w14:textId="1171C10F" w:rsidR="00813443" w:rsidRPr="00F466F2" w:rsidRDefault="00341D18" w:rsidP="007A410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</w:rPr>
      </w:pPr>
      <w:r>
        <w:rPr>
          <w:rFonts w:eastAsiaTheme="minorEastAsia"/>
        </w:rPr>
        <w:t>After</w:t>
      </w:r>
      <w:r w:rsidR="00BB59BE" w:rsidRPr="00F466F2">
        <w:rPr>
          <w:rFonts w:eastAsiaTheme="minorEastAsia"/>
        </w:rPr>
        <w:t xml:space="preserve"> the completion of a quadrennial assessment</w:t>
      </w:r>
      <w:r w:rsidR="006122BE" w:rsidRPr="00F466F2">
        <w:rPr>
          <w:rFonts w:eastAsiaTheme="minorEastAsia"/>
        </w:rPr>
        <w:t xml:space="preserve"> and the synthesis report</w:t>
      </w:r>
      <w:r w:rsidR="00BB59BE" w:rsidRPr="00F466F2">
        <w:rPr>
          <w:rFonts w:eastAsiaTheme="minorEastAsia"/>
        </w:rPr>
        <w:t xml:space="preserve">, </w:t>
      </w:r>
      <w:r w:rsidR="00AC17CB" w:rsidRPr="00F466F2">
        <w:rPr>
          <w:rFonts w:eastAsiaTheme="minorEastAsia"/>
        </w:rPr>
        <w:t xml:space="preserve">the </w:t>
      </w:r>
      <w:r w:rsidR="00BB59BE" w:rsidRPr="00F466F2">
        <w:rPr>
          <w:rFonts w:eastAsiaTheme="minorEastAsia"/>
        </w:rPr>
        <w:t>p</w:t>
      </w:r>
      <w:r w:rsidR="00CC7B6A" w:rsidRPr="00F466F2">
        <w:rPr>
          <w:rFonts w:eastAsiaTheme="minorEastAsia"/>
        </w:rPr>
        <w:t xml:space="preserve">arties take a decision on </w:t>
      </w:r>
      <w:r w:rsidR="00F313C4" w:rsidRPr="00F466F2">
        <w:rPr>
          <w:rFonts w:eastAsiaTheme="minorEastAsia"/>
        </w:rPr>
        <w:t xml:space="preserve">the </w:t>
      </w:r>
      <w:r w:rsidR="00494AFA" w:rsidRPr="00F466F2">
        <w:rPr>
          <w:rFonts w:eastAsiaTheme="minorEastAsia"/>
        </w:rPr>
        <w:t>t</w:t>
      </w:r>
      <w:r w:rsidR="00F313C4" w:rsidRPr="00F466F2">
        <w:rPr>
          <w:rFonts w:eastAsiaTheme="minorEastAsia"/>
        </w:rPr>
        <w:t xml:space="preserve">erms of </w:t>
      </w:r>
      <w:r w:rsidR="00494AFA" w:rsidRPr="00F466F2">
        <w:rPr>
          <w:rFonts w:eastAsiaTheme="minorEastAsia"/>
        </w:rPr>
        <w:t>r</w:t>
      </w:r>
      <w:r w:rsidR="00F313C4" w:rsidRPr="00F466F2">
        <w:rPr>
          <w:rFonts w:eastAsiaTheme="minorEastAsia"/>
        </w:rPr>
        <w:t xml:space="preserve">eference for </w:t>
      </w:r>
      <w:r w:rsidR="00806CB0" w:rsidRPr="00F466F2">
        <w:rPr>
          <w:rFonts w:eastAsiaTheme="minorEastAsia"/>
        </w:rPr>
        <w:t xml:space="preserve">the </w:t>
      </w:r>
      <w:r w:rsidR="00BB59BE" w:rsidRPr="00F466F2">
        <w:rPr>
          <w:rFonts w:eastAsiaTheme="minorEastAsia"/>
        </w:rPr>
        <w:t xml:space="preserve">next </w:t>
      </w:r>
      <w:r w:rsidR="00620683" w:rsidRPr="00F466F2">
        <w:rPr>
          <w:rFonts w:eastAsiaTheme="minorEastAsia"/>
        </w:rPr>
        <w:t>quadrennial assessment</w:t>
      </w:r>
      <w:r w:rsidR="00BB59BE" w:rsidRPr="00F466F2">
        <w:rPr>
          <w:rFonts w:eastAsiaTheme="minorEastAsia"/>
        </w:rPr>
        <w:t xml:space="preserve">, </w:t>
      </w:r>
      <w:r w:rsidR="00813443" w:rsidRPr="00F466F2">
        <w:rPr>
          <w:rFonts w:eastAsiaTheme="minorEastAsia"/>
        </w:rPr>
        <w:t>defin</w:t>
      </w:r>
      <w:r w:rsidR="00DC29CB" w:rsidRPr="00F466F2">
        <w:rPr>
          <w:rFonts w:eastAsiaTheme="minorEastAsia"/>
        </w:rPr>
        <w:t xml:space="preserve">ing </w:t>
      </w:r>
      <w:r w:rsidR="00AE558C" w:rsidRPr="00F466F2">
        <w:rPr>
          <w:rFonts w:eastAsiaTheme="minorEastAsia"/>
        </w:rPr>
        <w:t xml:space="preserve">the </w:t>
      </w:r>
      <w:r w:rsidR="00813443" w:rsidRPr="00F466F2">
        <w:rPr>
          <w:rFonts w:eastAsiaTheme="minorEastAsia"/>
        </w:rPr>
        <w:t>substantive issues to be addressed</w:t>
      </w:r>
      <w:r w:rsidR="00AE558C" w:rsidRPr="00F466F2">
        <w:rPr>
          <w:rFonts w:eastAsiaTheme="minorEastAsia"/>
        </w:rPr>
        <w:t xml:space="preserve"> by each </w:t>
      </w:r>
      <w:r w:rsidR="00145F46" w:rsidRPr="00F466F2">
        <w:rPr>
          <w:rFonts w:eastAsiaTheme="minorEastAsia"/>
        </w:rPr>
        <w:t>p</w:t>
      </w:r>
      <w:r w:rsidR="00AE558C" w:rsidRPr="00F466F2">
        <w:rPr>
          <w:rFonts w:eastAsiaTheme="minorEastAsia"/>
        </w:rPr>
        <w:t xml:space="preserve">anel and </w:t>
      </w:r>
      <w:r w:rsidR="007B5211" w:rsidRPr="00F466F2">
        <w:rPr>
          <w:rFonts w:eastAsiaTheme="minorEastAsia"/>
        </w:rPr>
        <w:t>specifying the time</w:t>
      </w:r>
      <w:r w:rsidR="00274ECB">
        <w:rPr>
          <w:rFonts w:eastAsiaTheme="minorEastAsia"/>
        </w:rPr>
        <w:t xml:space="preserve"> frame</w:t>
      </w:r>
      <w:r w:rsidR="007B5211" w:rsidRPr="00F466F2">
        <w:rPr>
          <w:rFonts w:eastAsiaTheme="minorEastAsia"/>
        </w:rPr>
        <w:t xml:space="preserve"> for completing the assessment</w:t>
      </w:r>
      <w:r w:rsidR="0056281F" w:rsidRPr="00F466F2">
        <w:rPr>
          <w:rFonts w:eastAsiaTheme="minorEastAsia"/>
        </w:rPr>
        <w:t>.</w:t>
      </w:r>
      <w:r w:rsidR="00CA3967" w:rsidRPr="00F466F2">
        <w:rPr>
          <w:rFonts w:eastAsiaTheme="minorEastAsia"/>
        </w:rPr>
        <w:t xml:space="preserve"> </w:t>
      </w:r>
    </w:p>
    <w:p w14:paraId="0AEE387C" w14:textId="3DA0EB07" w:rsidR="008A7351" w:rsidRPr="00F466F2" w:rsidRDefault="008A7351" w:rsidP="007A410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</w:rPr>
      </w:pPr>
      <w:r w:rsidRPr="00F466F2">
        <w:rPr>
          <w:rFonts w:eastAsiaTheme="minorEastAsia"/>
        </w:rPr>
        <w:t xml:space="preserve">In addition to the quadrennial </w:t>
      </w:r>
      <w:r w:rsidRPr="0076582E">
        <w:rPr>
          <w:rFonts w:eastAsiaTheme="minorEastAsia"/>
        </w:rPr>
        <w:t xml:space="preserve">assessments, the </w:t>
      </w:r>
      <w:r w:rsidR="006B4378" w:rsidRPr="0076582E">
        <w:rPr>
          <w:rFonts w:eastAsiaTheme="minorEastAsia"/>
        </w:rPr>
        <w:t>p</w:t>
      </w:r>
      <w:r w:rsidRPr="0076582E">
        <w:rPr>
          <w:rFonts w:eastAsiaTheme="minorEastAsia"/>
        </w:rPr>
        <w:t>anels inform the parties o</w:t>
      </w:r>
      <w:r w:rsidR="00274ECB" w:rsidRPr="0076582E">
        <w:rPr>
          <w:rFonts w:eastAsiaTheme="minorEastAsia"/>
        </w:rPr>
        <w:t>f</w:t>
      </w:r>
      <w:r w:rsidRPr="0076582E">
        <w:rPr>
          <w:rFonts w:eastAsiaTheme="minorEastAsia"/>
        </w:rPr>
        <w:t xml:space="preserve"> </w:t>
      </w:r>
      <w:r w:rsidR="00BD6AB8" w:rsidRPr="0076582E">
        <w:rPr>
          <w:rFonts w:eastAsiaTheme="minorEastAsia"/>
        </w:rPr>
        <w:t>new</w:t>
      </w:r>
      <w:r w:rsidRPr="0076582E">
        <w:rPr>
          <w:rFonts w:eastAsiaTheme="minorEastAsia"/>
        </w:rPr>
        <w:t xml:space="preserve"> developments and emerging issues in their annual progress reports. Moreover, TEAP</w:t>
      </w:r>
      <w:r w:rsidR="00274ECB" w:rsidRPr="0076582E">
        <w:rPr>
          <w:rFonts w:eastAsiaTheme="minorEastAsia"/>
        </w:rPr>
        <w:t>,</w:t>
      </w:r>
      <w:r w:rsidRPr="0076582E">
        <w:rPr>
          <w:rFonts w:eastAsiaTheme="minorEastAsia"/>
        </w:rPr>
        <w:t xml:space="preserve"> its </w:t>
      </w:r>
      <w:r w:rsidR="00226DDD" w:rsidRPr="0076582E">
        <w:rPr>
          <w:rFonts w:eastAsiaTheme="minorEastAsia"/>
        </w:rPr>
        <w:t>t</w:t>
      </w:r>
      <w:r w:rsidRPr="0076582E">
        <w:rPr>
          <w:rFonts w:eastAsiaTheme="minorEastAsia"/>
        </w:rPr>
        <w:t xml:space="preserve">echnical </w:t>
      </w:r>
      <w:r w:rsidR="00226DDD" w:rsidRPr="0076582E">
        <w:rPr>
          <w:rFonts w:eastAsiaTheme="minorEastAsia"/>
        </w:rPr>
        <w:t>o</w:t>
      </w:r>
      <w:r w:rsidRPr="0076582E">
        <w:rPr>
          <w:rFonts w:eastAsiaTheme="minorEastAsia"/>
        </w:rPr>
        <w:t xml:space="preserve">ptions </w:t>
      </w:r>
      <w:r w:rsidR="00226DDD" w:rsidRPr="0076582E">
        <w:rPr>
          <w:rFonts w:eastAsiaTheme="minorEastAsia"/>
        </w:rPr>
        <w:t>c</w:t>
      </w:r>
      <w:r w:rsidRPr="0076582E">
        <w:rPr>
          <w:rFonts w:eastAsiaTheme="minorEastAsia"/>
        </w:rPr>
        <w:t>ommittees</w:t>
      </w:r>
      <w:r w:rsidR="00226DDD" w:rsidRPr="0076582E">
        <w:rPr>
          <w:rFonts w:eastAsiaTheme="minorEastAsia"/>
        </w:rPr>
        <w:t xml:space="preserve"> </w:t>
      </w:r>
      <w:r w:rsidRPr="0076582E">
        <w:rPr>
          <w:rFonts w:eastAsiaTheme="minorEastAsia"/>
        </w:rPr>
        <w:t xml:space="preserve">and </w:t>
      </w:r>
      <w:r w:rsidR="00274ECB" w:rsidRPr="0076582E">
        <w:rPr>
          <w:rFonts w:eastAsiaTheme="minorEastAsia"/>
        </w:rPr>
        <w:t xml:space="preserve">its </w:t>
      </w:r>
      <w:r w:rsidR="00226DDD" w:rsidRPr="0076582E">
        <w:rPr>
          <w:rFonts w:eastAsiaTheme="minorEastAsia"/>
        </w:rPr>
        <w:t xml:space="preserve">temporary </w:t>
      </w:r>
      <w:r w:rsidRPr="0076582E">
        <w:rPr>
          <w:rFonts w:eastAsiaTheme="minorEastAsia"/>
        </w:rPr>
        <w:t xml:space="preserve">subsidiary bodies have carried out </w:t>
      </w:r>
      <w:r w:rsidR="00B75A8A" w:rsidRPr="0076582E">
        <w:rPr>
          <w:rFonts w:eastAsiaTheme="minorEastAsia"/>
        </w:rPr>
        <w:t xml:space="preserve">additional </w:t>
      </w:r>
      <w:r w:rsidR="006869C4" w:rsidRPr="0076582E">
        <w:rPr>
          <w:rFonts w:eastAsiaTheme="minorEastAsia"/>
        </w:rPr>
        <w:t xml:space="preserve">specific </w:t>
      </w:r>
      <w:r w:rsidRPr="0076582E">
        <w:rPr>
          <w:rFonts w:eastAsiaTheme="minorEastAsia"/>
        </w:rPr>
        <w:t xml:space="preserve">tasks requested by the parties </w:t>
      </w:r>
      <w:r w:rsidR="00274ECB" w:rsidRPr="0076582E">
        <w:rPr>
          <w:rFonts w:eastAsiaTheme="minorEastAsia"/>
        </w:rPr>
        <w:t>concerning</w:t>
      </w:r>
      <w:r w:rsidRPr="0076582E">
        <w:rPr>
          <w:rFonts w:eastAsiaTheme="minorEastAsia"/>
        </w:rPr>
        <w:t xml:space="preserve"> a wide range of technical issues, </w:t>
      </w:r>
      <w:r w:rsidR="00274ECB" w:rsidRPr="0076582E">
        <w:rPr>
          <w:rFonts w:eastAsiaTheme="minorEastAsia"/>
        </w:rPr>
        <w:t>including but not limited to</w:t>
      </w:r>
      <w:r w:rsidRPr="0076582E">
        <w:rPr>
          <w:rFonts w:eastAsiaTheme="minorEastAsia"/>
        </w:rPr>
        <w:t xml:space="preserve"> replenishment studies, energy efficiency</w:t>
      </w:r>
      <w:r w:rsidRPr="00F466F2">
        <w:rPr>
          <w:rFonts w:eastAsiaTheme="minorEastAsia"/>
        </w:rPr>
        <w:t xml:space="preserve">, life-cycle refrigerant management, destruction technologies, essential and critical use nominations for exemptions, </w:t>
      </w:r>
      <w:r w:rsidR="00274ECB">
        <w:rPr>
          <w:rFonts w:eastAsiaTheme="minorEastAsia"/>
        </w:rPr>
        <w:t xml:space="preserve">and </w:t>
      </w:r>
      <w:r w:rsidRPr="00F466F2">
        <w:rPr>
          <w:rFonts w:eastAsiaTheme="minorEastAsia"/>
        </w:rPr>
        <w:t>process agent applications</w:t>
      </w:r>
      <w:r w:rsidR="00031F99" w:rsidRPr="00F466F2">
        <w:rPr>
          <w:rFonts w:eastAsiaTheme="minorEastAsia"/>
        </w:rPr>
        <w:t>,</w:t>
      </w:r>
      <w:r w:rsidRPr="00F466F2">
        <w:rPr>
          <w:rFonts w:eastAsiaTheme="minorEastAsia"/>
        </w:rPr>
        <w:t xml:space="preserve"> present</w:t>
      </w:r>
      <w:r w:rsidR="00274ECB">
        <w:rPr>
          <w:rFonts w:eastAsiaTheme="minorEastAsia"/>
        </w:rPr>
        <w:t>ing</w:t>
      </w:r>
      <w:r w:rsidRPr="00F466F2">
        <w:rPr>
          <w:rFonts w:eastAsiaTheme="minorEastAsia"/>
        </w:rPr>
        <w:t xml:space="preserve"> reports on their analysis and evaluation to assist the parties in taking informed decisions.</w:t>
      </w:r>
    </w:p>
    <w:p w14:paraId="6798EC23" w14:textId="43430847" w:rsidR="00B903DB" w:rsidRPr="00F466F2" w:rsidRDefault="008A7351" w:rsidP="007A410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</w:rPr>
      </w:pPr>
      <w:r w:rsidRPr="00F466F2">
        <w:rPr>
          <w:rFonts w:eastAsiaTheme="minorEastAsia"/>
        </w:rPr>
        <w:t>T</w:t>
      </w:r>
      <w:r w:rsidR="009D468C">
        <w:rPr>
          <w:rFonts w:eastAsiaTheme="minorEastAsia"/>
        </w:rPr>
        <w:t>he</w:t>
      </w:r>
      <w:r w:rsidR="009D468C" w:rsidRPr="009D468C">
        <w:rPr>
          <w:rFonts w:eastAsiaTheme="minorEastAsia"/>
        </w:rPr>
        <w:t xml:space="preserve"> </w:t>
      </w:r>
      <w:r w:rsidR="009D468C">
        <w:rPr>
          <w:rFonts w:eastAsiaTheme="minorEastAsia"/>
        </w:rPr>
        <w:t>technical options committee</w:t>
      </w:r>
      <w:r w:rsidR="009D468C" w:rsidRPr="00F466F2">
        <w:rPr>
          <w:rFonts w:eastAsiaTheme="minorEastAsia"/>
        </w:rPr>
        <w:t xml:space="preserve">s </w:t>
      </w:r>
      <w:r w:rsidRPr="00F466F2">
        <w:rPr>
          <w:rFonts w:eastAsiaTheme="minorEastAsia"/>
        </w:rPr>
        <w:t xml:space="preserve">have evolved over time to address issues </w:t>
      </w:r>
      <w:r w:rsidR="00341D18">
        <w:rPr>
          <w:rFonts w:eastAsiaTheme="minorEastAsia"/>
        </w:rPr>
        <w:t>arising from</w:t>
      </w:r>
      <w:r w:rsidRPr="00F466F2">
        <w:rPr>
          <w:rFonts w:eastAsiaTheme="minorEastAsia"/>
        </w:rPr>
        <w:t xml:space="preserve"> the key industry sectors that use </w:t>
      </w:r>
      <w:r w:rsidR="00D54DB3" w:rsidRPr="00F466F2">
        <w:rPr>
          <w:rFonts w:eastAsiaTheme="minorEastAsia"/>
        </w:rPr>
        <w:t>con</w:t>
      </w:r>
      <w:r w:rsidR="0024532A" w:rsidRPr="00F466F2">
        <w:rPr>
          <w:rFonts w:eastAsiaTheme="minorEastAsia"/>
        </w:rPr>
        <w:t xml:space="preserve">trolled </w:t>
      </w:r>
      <w:r w:rsidRPr="00F466F2">
        <w:rPr>
          <w:rFonts w:eastAsiaTheme="minorEastAsia"/>
        </w:rPr>
        <w:t>substances. T</w:t>
      </w:r>
      <w:r w:rsidR="00341D18">
        <w:rPr>
          <w:rFonts w:eastAsiaTheme="minorEastAsia"/>
        </w:rPr>
        <w:t>he parties have periodically established t</w:t>
      </w:r>
      <w:r w:rsidRPr="00F466F2">
        <w:rPr>
          <w:rFonts w:eastAsiaTheme="minorEastAsia"/>
        </w:rPr>
        <w:t xml:space="preserve">emporary subsidiary bodies </w:t>
      </w:r>
      <w:r w:rsidR="00771517" w:rsidRPr="00F466F2">
        <w:rPr>
          <w:rFonts w:eastAsiaTheme="minorEastAsia"/>
        </w:rPr>
        <w:t xml:space="preserve">such as </w:t>
      </w:r>
      <w:r w:rsidRPr="00F466F2">
        <w:rPr>
          <w:rFonts w:eastAsiaTheme="minorEastAsia"/>
        </w:rPr>
        <w:t xml:space="preserve">task forces and working groups </w:t>
      </w:r>
      <w:r w:rsidR="00F929FB" w:rsidRPr="00F466F2">
        <w:rPr>
          <w:rFonts w:eastAsiaTheme="minorEastAsia"/>
        </w:rPr>
        <w:t xml:space="preserve">for short </w:t>
      </w:r>
      <w:r w:rsidR="00341D18">
        <w:rPr>
          <w:rFonts w:eastAsiaTheme="minorEastAsia"/>
        </w:rPr>
        <w:t>periods</w:t>
      </w:r>
      <w:r w:rsidR="00F929FB" w:rsidRPr="00F466F2">
        <w:rPr>
          <w:rFonts w:eastAsiaTheme="minorEastAsia"/>
        </w:rPr>
        <w:t xml:space="preserve"> </w:t>
      </w:r>
      <w:r w:rsidRPr="00F466F2">
        <w:rPr>
          <w:rFonts w:eastAsiaTheme="minorEastAsia"/>
        </w:rPr>
        <w:t xml:space="preserve">to respond to specific requests </w:t>
      </w:r>
      <w:r w:rsidR="00A821F9">
        <w:rPr>
          <w:rFonts w:eastAsiaTheme="minorEastAsia"/>
        </w:rPr>
        <w:t>by</w:t>
      </w:r>
      <w:r w:rsidRPr="00F466F2">
        <w:rPr>
          <w:rFonts w:eastAsiaTheme="minorEastAsia"/>
        </w:rPr>
        <w:t xml:space="preserve"> the parties. Currently, </w:t>
      </w:r>
      <w:r w:rsidR="0074538A">
        <w:rPr>
          <w:rFonts w:eastAsiaTheme="minorEastAsia"/>
        </w:rPr>
        <w:t xml:space="preserve">the following </w:t>
      </w:r>
      <w:r w:rsidRPr="00F466F2">
        <w:rPr>
          <w:rFonts w:eastAsiaTheme="minorEastAsia"/>
        </w:rPr>
        <w:t xml:space="preserve">five </w:t>
      </w:r>
      <w:r w:rsidR="009D468C">
        <w:rPr>
          <w:rFonts w:eastAsiaTheme="minorEastAsia"/>
        </w:rPr>
        <w:t>technical options committee</w:t>
      </w:r>
      <w:r w:rsidRPr="00F466F2">
        <w:rPr>
          <w:rFonts w:eastAsiaTheme="minorEastAsia"/>
        </w:rPr>
        <w:t>s operate under TEAP</w:t>
      </w:r>
      <w:r w:rsidR="00B903DB" w:rsidRPr="00F466F2">
        <w:rPr>
          <w:rFonts w:eastAsiaTheme="minorEastAsia"/>
        </w:rPr>
        <w:t>:</w:t>
      </w:r>
    </w:p>
    <w:p w14:paraId="29D55672" w14:textId="65A93E8C" w:rsidR="00713F5F" w:rsidRPr="00F466F2" w:rsidRDefault="00E23034">
      <w:pPr>
        <w:pStyle w:val="Normalnumber"/>
        <w:numPr>
          <w:ilvl w:val="0"/>
          <w:numId w:val="19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 w:firstLine="624"/>
        <w:rPr>
          <w:rFonts w:eastAsiaTheme="minorEastAsia"/>
        </w:rPr>
      </w:pPr>
      <w:r w:rsidRPr="00F466F2">
        <w:rPr>
          <w:rFonts w:eastAsiaTheme="minorEastAsia"/>
        </w:rPr>
        <w:t>Foams Technical Options Committee (FTOC)</w:t>
      </w:r>
    </w:p>
    <w:p w14:paraId="4CB09932" w14:textId="28D16A49" w:rsidR="00F57C85" w:rsidRPr="0076582E" w:rsidRDefault="007E761C">
      <w:pPr>
        <w:pStyle w:val="Normalnumber"/>
        <w:numPr>
          <w:ilvl w:val="0"/>
          <w:numId w:val="19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 w:firstLine="624"/>
        <w:rPr>
          <w:rFonts w:eastAsiaTheme="minorEastAsia"/>
        </w:rPr>
      </w:pPr>
      <w:r w:rsidRPr="00F466F2">
        <w:rPr>
          <w:rFonts w:eastAsiaTheme="minorEastAsia"/>
        </w:rPr>
        <w:t xml:space="preserve">Fire Suppression </w:t>
      </w:r>
      <w:r w:rsidRPr="0076582E">
        <w:rPr>
          <w:rFonts w:eastAsiaTheme="minorEastAsia"/>
        </w:rPr>
        <w:t>Technical Options Committee (FSTOC)</w:t>
      </w:r>
    </w:p>
    <w:p w14:paraId="7B136251" w14:textId="04E73BCE" w:rsidR="00F57C85" w:rsidRPr="00F466F2" w:rsidRDefault="003C6B12">
      <w:pPr>
        <w:pStyle w:val="Normalnumber"/>
        <w:numPr>
          <w:ilvl w:val="0"/>
          <w:numId w:val="19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 w:firstLine="624"/>
        <w:rPr>
          <w:rFonts w:eastAsiaTheme="minorEastAsia"/>
        </w:rPr>
      </w:pPr>
      <w:r w:rsidRPr="00360094">
        <w:rPr>
          <w:rFonts w:eastAsiaTheme="minorEastAsia"/>
        </w:rPr>
        <w:t>Medical and Chemicals</w:t>
      </w:r>
      <w:r w:rsidRPr="0076582E">
        <w:rPr>
          <w:rFonts w:eastAsiaTheme="minorEastAsia"/>
        </w:rPr>
        <w:t xml:space="preserve"> Technical</w:t>
      </w:r>
      <w:r w:rsidRPr="00F466F2">
        <w:rPr>
          <w:rFonts w:eastAsiaTheme="minorEastAsia"/>
        </w:rPr>
        <w:t xml:space="preserve"> Options Committee (MCTOC)</w:t>
      </w:r>
    </w:p>
    <w:p w14:paraId="7342065C" w14:textId="35EDF3AD" w:rsidR="00F57C85" w:rsidRPr="00F466F2" w:rsidRDefault="00D33208">
      <w:pPr>
        <w:pStyle w:val="Normalnumber"/>
        <w:numPr>
          <w:ilvl w:val="0"/>
          <w:numId w:val="19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 w:firstLine="624"/>
        <w:rPr>
          <w:rFonts w:eastAsiaTheme="minorEastAsia"/>
        </w:rPr>
      </w:pPr>
      <w:r w:rsidRPr="00F466F2">
        <w:rPr>
          <w:rFonts w:eastAsiaTheme="minorEastAsia"/>
        </w:rPr>
        <w:t>Methyl Bromide Technical Options Committee (MBTOC)</w:t>
      </w:r>
    </w:p>
    <w:p w14:paraId="6273F52F" w14:textId="5EDEF7A3" w:rsidR="00A07DAC" w:rsidRPr="00F466F2" w:rsidRDefault="00D33208">
      <w:pPr>
        <w:pStyle w:val="Normalnumber"/>
        <w:numPr>
          <w:ilvl w:val="0"/>
          <w:numId w:val="19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 w:firstLine="624"/>
        <w:rPr>
          <w:rFonts w:eastAsiaTheme="minorEastAsia"/>
        </w:rPr>
      </w:pPr>
      <w:r w:rsidRPr="00F466F2">
        <w:rPr>
          <w:rFonts w:eastAsiaTheme="minorEastAsia"/>
        </w:rPr>
        <w:t>Refrigeration</w:t>
      </w:r>
      <w:r w:rsidR="002C549C" w:rsidRPr="00F466F2">
        <w:rPr>
          <w:rFonts w:eastAsiaTheme="minorEastAsia"/>
        </w:rPr>
        <w:t xml:space="preserve"> </w:t>
      </w:r>
      <w:r w:rsidRPr="00F466F2">
        <w:rPr>
          <w:rFonts w:eastAsiaTheme="minorEastAsia"/>
        </w:rPr>
        <w:t>Technical Options Committee (RTOC)</w:t>
      </w:r>
      <w:r w:rsidR="00A16F14" w:rsidRPr="00F466F2">
        <w:rPr>
          <w:rFonts w:eastAsiaTheme="minorEastAsia"/>
        </w:rPr>
        <w:t>.</w:t>
      </w:r>
    </w:p>
    <w:p w14:paraId="6FF9B07B" w14:textId="53B908F6" w:rsidR="008A7351" w:rsidRPr="00F466F2" w:rsidRDefault="00E11680" w:rsidP="007A4105">
      <w:pPr>
        <w:pStyle w:val="Normalnumber"/>
        <w:tabs>
          <w:tab w:val="left" w:pos="624"/>
        </w:tabs>
        <w:ind w:left="1247"/>
        <w:rPr>
          <w:rFonts w:eastAsiaTheme="minorEastAsia"/>
        </w:rPr>
      </w:pPr>
      <w:r w:rsidRPr="00F466F2">
        <w:rPr>
          <w:rFonts w:eastAsiaTheme="minorEastAsia"/>
        </w:rPr>
        <w:t xml:space="preserve">TEAP is the only </w:t>
      </w:r>
      <w:r w:rsidR="006B4378" w:rsidRPr="00F466F2">
        <w:rPr>
          <w:rFonts w:eastAsiaTheme="minorEastAsia"/>
        </w:rPr>
        <w:t>p</w:t>
      </w:r>
      <w:r w:rsidRPr="00F466F2">
        <w:rPr>
          <w:rFonts w:eastAsiaTheme="minorEastAsia"/>
        </w:rPr>
        <w:t>anel that has terms of reference</w:t>
      </w:r>
      <w:r w:rsidR="00A850B5" w:rsidRPr="00F466F2">
        <w:rPr>
          <w:rFonts w:eastAsiaTheme="minorEastAsia"/>
        </w:rPr>
        <w:t xml:space="preserve"> </w:t>
      </w:r>
      <w:r w:rsidR="0074538A">
        <w:rPr>
          <w:rFonts w:eastAsiaTheme="minorEastAsia"/>
        </w:rPr>
        <w:t>(</w:t>
      </w:r>
      <w:r w:rsidR="001057D0" w:rsidRPr="00F466F2">
        <w:rPr>
          <w:rFonts w:eastAsiaTheme="minorEastAsia"/>
        </w:rPr>
        <w:t>adop</w:t>
      </w:r>
      <w:r w:rsidR="00A850B5" w:rsidRPr="00F466F2">
        <w:rPr>
          <w:rFonts w:eastAsiaTheme="minorEastAsia"/>
        </w:rPr>
        <w:t>t</w:t>
      </w:r>
      <w:r w:rsidR="001057D0" w:rsidRPr="00F466F2">
        <w:rPr>
          <w:rFonts w:eastAsiaTheme="minorEastAsia"/>
        </w:rPr>
        <w:t>ed by the parties</w:t>
      </w:r>
      <w:r w:rsidR="001E31EE" w:rsidRPr="00F466F2">
        <w:rPr>
          <w:rStyle w:val="FootnoteReference"/>
          <w:rFonts w:eastAsiaTheme="minorEastAsia"/>
        </w:rPr>
        <w:footnoteReference w:id="3"/>
      </w:r>
      <w:r w:rsidR="0076582E">
        <w:rPr>
          <w:rFonts w:eastAsiaTheme="minorEastAsia"/>
        </w:rPr>
        <w:t>)</w:t>
      </w:r>
      <w:r w:rsidR="000A203A" w:rsidRPr="00F466F2">
        <w:rPr>
          <w:rFonts w:eastAsiaTheme="minorEastAsia"/>
        </w:rPr>
        <w:t>.</w:t>
      </w:r>
      <w:r w:rsidRPr="00F466F2">
        <w:rPr>
          <w:rFonts w:eastAsiaTheme="minorEastAsia"/>
        </w:rPr>
        <w:t xml:space="preserve"> </w:t>
      </w:r>
      <w:r w:rsidR="000A203A" w:rsidRPr="00F466F2">
        <w:rPr>
          <w:rFonts w:eastAsiaTheme="minorEastAsia"/>
        </w:rPr>
        <w:t>These terms of reference</w:t>
      </w:r>
      <w:r w:rsidRPr="00F466F2" w:rsidDel="000A203A">
        <w:rPr>
          <w:rFonts w:eastAsiaTheme="minorEastAsia"/>
        </w:rPr>
        <w:t xml:space="preserve"> </w:t>
      </w:r>
      <w:r w:rsidRPr="00F466F2">
        <w:rPr>
          <w:rFonts w:eastAsiaTheme="minorEastAsia"/>
        </w:rPr>
        <w:t>define its governance arrangements,</w:t>
      </w:r>
      <w:r w:rsidR="0074538A" w:rsidRPr="0074538A">
        <w:rPr>
          <w:rFonts w:eastAsiaTheme="minorEastAsia"/>
        </w:rPr>
        <w:t xml:space="preserve"> </w:t>
      </w:r>
      <w:r w:rsidR="0074538A" w:rsidRPr="00F466F2">
        <w:rPr>
          <w:rFonts w:eastAsiaTheme="minorEastAsia"/>
        </w:rPr>
        <w:t xml:space="preserve">composition, membership </w:t>
      </w:r>
      <w:r w:rsidR="0074538A">
        <w:rPr>
          <w:rFonts w:eastAsiaTheme="minorEastAsia"/>
        </w:rPr>
        <w:t xml:space="preserve">and </w:t>
      </w:r>
      <w:r w:rsidR="0074538A" w:rsidRPr="00F466F2">
        <w:rPr>
          <w:rFonts w:eastAsiaTheme="minorEastAsia"/>
        </w:rPr>
        <w:t xml:space="preserve">working procedures, </w:t>
      </w:r>
      <w:r w:rsidR="0074538A">
        <w:rPr>
          <w:rFonts w:eastAsiaTheme="minorEastAsia"/>
        </w:rPr>
        <w:t xml:space="preserve">the </w:t>
      </w:r>
      <w:r w:rsidRPr="00F466F2">
        <w:rPr>
          <w:rFonts w:eastAsiaTheme="minorEastAsia"/>
        </w:rPr>
        <w:t xml:space="preserve">establishment and operation of technical options committees and temporary subsidiary bodies, and other practical aspects of how the work will be carried out. </w:t>
      </w:r>
    </w:p>
    <w:p w14:paraId="4DC51FAF" w14:textId="3376882B" w:rsidR="000C4156" w:rsidRDefault="00781106" w:rsidP="007A410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rFonts w:eastAsiaTheme="minorEastAsia"/>
          <w:bCs/>
        </w:rPr>
      </w:pPr>
      <w:r w:rsidRPr="00F466F2">
        <w:rPr>
          <w:rFonts w:eastAsiaTheme="minorEastAsia"/>
          <w:bCs/>
        </w:rPr>
        <w:t>TEAP</w:t>
      </w:r>
      <w:r w:rsidR="00A02E9D" w:rsidRPr="00F466F2">
        <w:rPr>
          <w:rFonts w:eastAsiaTheme="minorEastAsia"/>
          <w:bCs/>
        </w:rPr>
        <w:t xml:space="preserve">, </w:t>
      </w:r>
      <w:r w:rsidR="0076582E">
        <w:rPr>
          <w:rFonts w:eastAsiaTheme="minorEastAsia"/>
          <w:bCs/>
        </w:rPr>
        <w:t xml:space="preserve">the </w:t>
      </w:r>
      <w:r w:rsidR="009D468C">
        <w:rPr>
          <w:rFonts w:eastAsiaTheme="minorEastAsia"/>
        </w:rPr>
        <w:t>technical options committee</w:t>
      </w:r>
      <w:r w:rsidR="009D468C" w:rsidRPr="00F466F2">
        <w:rPr>
          <w:rFonts w:eastAsiaTheme="minorEastAsia"/>
        </w:rPr>
        <w:t>s</w:t>
      </w:r>
      <w:r w:rsidRPr="00F466F2">
        <w:rPr>
          <w:rFonts w:eastAsiaTheme="minorEastAsia"/>
          <w:bCs/>
        </w:rPr>
        <w:t xml:space="preserve"> and EEAP meet </w:t>
      </w:r>
      <w:r w:rsidR="00A02E9D" w:rsidRPr="00F466F2">
        <w:rPr>
          <w:rFonts w:eastAsiaTheme="minorEastAsia"/>
          <w:bCs/>
        </w:rPr>
        <w:t>annually</w:t>
      </w:r>
      <w:r w:rsidR="004953A6" w:rsidRPr="00F466F2">
        <w:rPr>
          <w:rFonts w:eastAsiaTheme="minorEastAsia"/>
          <w:bCs/>
        </w:rPr>
        <w:t xml:space="preserve"> to prepare their annual progress reports.</w:t>
      </w:r>
      <w:r w:rsidR="00DC7F23" w:rsidRPr="00F466F2">
        <w:rPr>
          <w:rFonts w:eastAsiaTheme="minorEastAsia"/>
          <w:bCs/>
        </w:rPr>
        <w:t xml:space="preserve"> </w:t>
      </w:r>
      <w:r w:rsidR="00D05CB7" w:rsidRPr="00F466F2">
        <w:rPr>
          <w:rFonts w:eastAsiaTheme="minorEastAsia"/>
          <w:bCs/>
        </w:rPr>
        <w:t xml:space="preserve">SAP </w:t>
      </w:r>
      <w:r w:rsidR="00EE361C" w:rsidRPr="00F466F2">
        <w:rPr>
          <w:rFonts w:eastAsiaTheme="minorEastAsia"/>
          <w:bCs/>
        </w:rPr>
        <w:t>does not meet formally</w:t>
      </w:r>
      <w:r w:rsidR="0016077F" w:rsidRPr="00F466F2">
        <w:rPr>
          <w:rFonts w:eastAsiaTheme="minorEastAsia"/>
          <w:bCs/>
        </w:rPr>
        <w:t xml:space="preserve"> </w:t>
      </w:r>
      <w:r w:rsidR="0074538A">
        <w:rPr>
          <w:rFonts w:eastAsiaTheme="minorEastAsia"/>
          <w:bCs/>
        </w:rPr>
        <w:t>to prepare</w:t>
      </w:r>
      <w:r w:rsidR="0016077F" w:rsidRPr="00F466F2">
        <w:rPr>
          <w:rFonts w:eastAsiaTheme="minorEastAsia"/>
          <w:bCs/>
        </w:rPr>
        <w:t xml:space="preserve"> its </w:t>
      </w:r>
      <w:r w:rsidR="005328B9" w:rsidRPr="00F466F2">
        <w:rPr>
          <w:rFonts w:eastAsiaTheme="minorEastAsia"/>
          <w:bCs/>
        </w:rPr>
        <w:t xml:space="preserve">annual </w:t>
      </w:r>
      <w:r w:rsidR="0016077F" w:rsidRPr="00F466F2">
        <w:rPr>
          <w:rFonts w:eastAsiaTheme="minorEastAsia"/>
          <w:bCs/>
        </w:rPr>
        <w:t>progress report</w:t>
      </w:r>
      <w:r w:rsidR="006475DA" w:rsidRPr="00F466F2">
        <w:rPr>
          <w:rFonts w:eastAsiaTheme="minorEastAsia"/>
          <w:bCs/>
        </w:rPr>
        <w:t>s</w:t>
      </w:r>
      <w:r w:rsidR="00EE361C" w:rsidRPr="00F466F2">
        <w:rPr>
          <w:rFonts w:eastAsiaTheme="minorEastAsia"/>
          <w:bCs/>
        </w:rPr>
        <w:t xml:space="preserve">, but the </w:t>
      </w:r>
      <w:r w:rsidR="00285253" w:rsidRPr="00F466F2">
        <w:rPr>
          <w:rFonts w:eastAsiaTheme="minorEastAsia"/>
          <w:bCs/>
        </w:rPr>
        <w:t>c</w:t>
      </w:r>
      <w:r w:rsidR="00EE361C" w:rsidRPr="00F466F2">
        <w:rPr>
          <w:rFonts w:eastAsiaTheme="minorEastAsia"/>
          <w:bCs/>
        </w:rPr>
        <w:t>o-</w:t>
      </w:r>
      <w:r w:rsidR="00285253" w:rsidRPr="00F466F2">
        <w:rPr>
          <w:rFonts w:eastAsiaTheme="minorEastAsia"/>
          <w:bCs/>
        </w:rPr>
        <w:t>c</w:t>
      </w:r>
      <w:r w:rsidR="00EE361C" w:rsidRPr="00F466F2">
        <w:rPr>
          <w:rFonts w:eastAsiaTheme="minorEastAsia"/>
          <w:bCs/>
        </w:rPr>
        <w:t>hairs consult</w:t>
      </w:r>
      <w:r w:rsidR="00E6525F" w:rsidRPr="00F466F2">
        <w:rPr>
          <w:rFonts w:eastAsiaTheme="minorEastAsia"/>
          <w:bCs/>
        </w:rPr>
        <w:t xml:space="preserve"> </w:t>
      </w:r>
      <w:r w:rsidR="0074538A">
        <w:rPr>
          <w:rFonts w:eastAsiaTheme="minorEastAsia"/>
          <w:bCs/>
        </w:rPr>
        <w:t>with each other</w:t>
      </w:r>
      <w:r w:rsidR="00E6525F" w:rsidRPr="00F466F2">
        <w:rPr>
          <w:rFonts w:eastAsiaTheme="minorEastAsia"/>
          <w:bCs/>
        </w:rPr>
        <w:t xml:space="preserve"> and </w:t>
      </w:r>
      <w:r w:rsidR="00CD0EB7" w:rsidRPr="00F466F2">
        <w:rPr>
          <w:rFonts w:eastAsiaTheme="minorEastAsia"/>
          <w:bCs/>
        </w:rPr>
        <w:t xml:space="preserve">with </w:t>
      </w:r>
      <w:r w:rsidR="00E6525F" w:rsidRPr="0076582E">
        <w:rPr>
          <w:rFonts w:eastAsiaTheme="minorEastAsia"/>
          <w:bCs/>
        </w:rPr>
        <w:t xml:space="preserve">other key </w:t>
      </w:r>
      <w:r w:rsidR="00E6525F" w:rsidRPr="00360094">
        <w:rPr>
          <w:rFonts w:eastAsiaTheme="minorEastAsia"/>
          <w:bCs/>
        </w:rPr>
        <w:t xml:space="preserve">scientists who </w:t>
      </w:r>
      <w:r w:rsidR="00D05CB7" w:rsidRPr="00360094">
        <w:rPr>
          <w:rFonts w:eastAsiaTheme="minorEastAsia"/>
          <w:bCs/>
        </w:rPr>
        <w:t xml:space="preserve">participate as members in </w:t>
      </w:r>
      <w:r w:rsidR="00CD0EB7" w:rsidRPr="00360094">
        <w:rPr>
          <w:rFonts w:eastAsiaTheme="minorEastAsia"/>
          <w:bCs/>
        </w:rPr>
        <w:t>SAP assessments</w:t>
      </w:r>
      <w:r w:rsidR="006475DA" w:rsidRPr="00360094">
        <w:rPr>
          <w:rFonts w:eastAsiaTheme="minorEastAsia"/>
          <w:bCs/>
        </w:rPr>
        <w:t xml:space="preserve"> as necessary</w:t>
      </w:r>
      <w:r w:rsidR="00CD0EB7" w:rsidRPr="00360094">
        <w:rPr>
          <w:rFonts w:eastAsiaTheme="minorEastAsia"/>
          <w:bCs/>
        </w:rPr>
        <w:t>.</w:t>
      </w:r>
    </w:p>
    <w:p w14:paraId="5E17737E" w14:textId="3160F3B8" w:rsidR="00870361" w:rsidRPr="00360094" w:rsidRDefault="00870361" w:rsidP="007A410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rFonts w:eastAsiaTheme="minorEastAsia"/>
          <w:bCs/>
        </w:rPr>
      </w:pPr>
      <w:r w:rsidRPr="00F466F2">
        <w:rPr>
          <w:rFonts w:eastAsiaTheme="minorEastAsia"/>
        </w:rPr>
        <w:t xml:space="preserve">In </w:t>
      </w:r>
      <w:r>
        <w:rPr>
          <w:rFonts w:eastAsiaTheme="minorEastAsia"/>
        </w:rPr>
        <w:t xml:space="preserve">“assessment </w:t>
      </w:r>
      <w:r w:rsidRPr="00F466F2">
        <w:rPr>
          <w:rFonts w:eastAsiaTheme="minorEastAsia"/>
        </w:rPr>
        <w:t>year</w:t>
      </w:r>
      <w:r>
        <w:rPr>
          <w:rFonts w:eastAsiaTheme="minorEastAsia"/>
        </w:rPr>
        <w:t>s”,</w:t>
      </w:r>
      <w:r w:rsidRPr="00F466F2">
        <w:rPr>
          <w:rFonts w:eastAsiaTheme="minorEastAsia"/>
        </w:rPr>
        <w:t xml:space="preserve"> </w:t>
      </w:r>
      <w:r>
        <w:rPr>
          <w:rFonts w:eastAsiaTheme="minorEastAsia"/>
        </w:rPr>
        <w:t>in which</w:t>
      </w:r>
      <w:r w:rsidRPr="00F466F2">
        <w:rPr>
          <w:rFonts w:eastAsiaTheme="minorEastAsia"/>
        </w:rPr>
        <w:t xml:space="preserve"> the panels are finalizing their quadrennial assessments, TEAP, </w:t>
      </w:r>
      <w:r>
        <w:rPr>
          <w:rFonts w:eastAsiaTheme="minorEastAsia"/>
        </w:rPr>
        <w:t>the technical options committee</w:t>
      </w:r>
      <w:r w:rsidRPr="00F466F2">
        <w:rPr>
          <w:rFonts w:eastAsiaTheme="minorEastAsia"/>
        </w:rPr>
        <w:t xml:space="preserve">s and EEAP may meet twice. SAP organizes a review meeting at which the </w:t>
      </w:r>
      <w:r>
        <w:rPr>
          <w:rFonts w:eastAsiaTheme="minorEastAsia"/>
        </w:rPr>
        <w:t xml:space="preserve">panel’s </w:t>
      </w:r>
      <w:r w:rsidRPr="00F466F2">
        <w:rPr>
          <w:rFonts w:eastAsiaTheme="minorEastAsia"/>
        </w:rPr>
        <w:t>co-chairs, its scientific steering committee, chapter lead authors and review editors</w:t>
      </w:r>
      <w:r>
        <w:rPr>
          <w:rFonts w:eastAsiaTheme="minorEastAsia"/>
        </w:rPr>
        <w:t>,</w:t>
      </w:r>
    </w:p>
    <w:p w14:paraId="6F553F83" w14:textId="4C25ECC9" w:rsidR="00630E5E" w:rsidRPr="00F466F2" w:rsidRDefault="00622286" w:rsidP="00BC31E0">
      <w:pPr>
        <w:pStyle w:val="Titletable"/>
        <w:keepNext w:val="0"/>
        <w:keepLines w:val="0"/>
        <w:spacing w:before="160"/>
        <w:rPr>
          <w:rFonts w:eastAsiaTheme="minorEastAsia"/>
        </w:rPr>
      </w:pPr>
      <w:r w:rsidRPr="00F466F2">
        <w:rPr>
          <w:rFonts w:eastAsiaTheme="minorEastAsia"/>
          <w:b w:val="0"/>
          <w:bCs w:val="0"/>
        </w:rPr>
        <w:t xml:space="preserve">Table </w:t>
      </w:r>
      <w:r w:rsidR="00F969C3" w:rsidRPr="00F466F2">
        <w:rPr>
          <w:rFonts w:eastAsiaTheme="minorEastAsia"/>
          <w:b w:val="0"/>
          <w:bCs w:val="0"/>
        </w:rPr>
        <w:t>1</w:t>
      </w:r>
      <w:r w:rsidR="007A4105" w:rsidRPr="00F466F2">
        <w:rPr>
          <w:b w:val="0"/>
          <w:bCs w:val="0"/>
        </w:rPr>
        <w:t xml:space="preserve"> </w:t>
      </w:r>
      <w:r w:rsidR="006B7BC5" w:rsidRPr="00F466F2">
        <w:rPr>
          <w:rFonts w:eastAsiaTheme="minorEastAsia"/>
          <w:b w:val="0"/>
          <w:bCs w:val="0"/>
        </w:rPr>
        <w:br/>
      </w:r>
      <w:r w:rsidR="00795B5B" w:rsidRPr="00F466F2">
        <w:rPr>
          <w:rFonts w:eastAsiaTheme="minorEastAsia"/>
        </w:rPr>
        <w:t xml:space="preserve">Meetings of the </w:t>
      </w:r>
      <w:r w:rsidR="006B4378" w:rsidRPr="00F466F2">
        <w:rPr>
          <w:rFonts w:eastAsiaTheme="minorEastAsia"/>
        </w:rPr>
        <w:t>a</w:t>
      </w:r>
      <w:r w:rsidR="00795B5B" w:rsidRPr="00F466F2">
        <w:rPr>
          <w:rFonts w:eastAsiaTheme="minorEastAsia"/>
        </w:rPr>
        <w:t xml:space="preserve">ssessment </w:t>
      </w:r>
      <w:r w:rsidR="006B4378" w:rsidRPr="00F466F2">
        <w:rPr>
          <w:rFonts w:eastAsiaTheme="minorEastAsia"/>
        </w:rPr>
        <w:t>p</w:t>
      </w:r>
      <w:r w:rsidR="00795B5B" w:rsidRPr="00F466F2">
        <w:rPr>
          <w:rFonts w:eastAsiaTheme="minorEastAsia"/>
        </w:rPr>
        <w:t xml:space="preserve">anels in quadrennial assessment </w:t>
      </w:r>
      <w:r w:rsidR="00274ECB">
        <w:rPr>
          <w:rFonts w:eastAsiaTheme="minorEastAsia"/>
        </w:rPr>
        <w:t xml:space="preserve">finalization years </w:t>
      </w:r>
      <w:r w:rsidR="00AE7198" w:rsidRPr="00F466F2">
        <w:rPr>
          <w:rFonts w:eastAsiaTheme="minorEastAsia"/>
        </w:rPr>
        <w:t>(assessment year</w:t>
      </w:r>
      <w:r w:rsidR="00274ECB">
        <w:rPr>
          <w:rFonts w:eastAsiaTheme="minorEastAsia"/>
        </w:rPr>
        <w:t>s</w:t>
      </w:r>
      <w:r w:rsidR="00AE7198" w:rsidRPr="00F466F2">
        <w:rPr>
          <w:rFonts w:eastAsiaTheme="minorEastAsia"/>
        </w:rPr>
        <w:t xml:space="preserve">) </w:t>
      </w:r>
      <w:r w:rsidR="00795B5B" w:rsidRPr="00F466F2">
        <w:rPr>
          <w:rFonts w:eastAsiaTheme="minorEastAsia"/>
        </w:rPr>
        <w:t>and</w:t>
      </w:r>
      <w:r w:rsidR="00AE7198" w:rsidRPr="00F466F2">
        <w:rPr>
          <w:rFonts w:eastAsiaTheme="minorEastAsia"/>
        </w:rPr>
        <w:t xml:space="preserve"> </w:t>
      </w:r>
      <w:r w:rsidR="00274ECB">
        <w:rPr>
          <w:rFonts w:eastAsiaTheme="minorEastAsia"/>
        </w:rPr>
        <w:t xml:space="preserve">in </w:t>
      </w:r>
      <w:r w:rsidR="00AE7198" w:rsidRPr="00F466F2">
        <w:rPr>
          <w:rFonts w:eastAsiaTheme="minorEastAsia"/>
        </w:rPr>
        <w:t>ordinary year</w:t>
      </w:r>
      <w:r w:rsidR="00274ECB">
        <w:rPr>
          <w:rFonts w:eastAsiaTheme="minorEastAsia"/>
        </w:rPr>
        <w:t>s</w:t>
      </w:r>
      <w:r w:rsidR="00AE7198" w:rsidRPr="00F466F2">
        <w:rPr>
          <w:rFonts w:eastAsiaTheme="minorEastAsia"/>
        </w:rPr>
        <w:t xml:space="preserve"> (non-assessment year</w:t>
      </w:r>
      <w:r w:rsidR="00274ECB">
        <w:rPr>
          <w:rFonts w:eastAsiaTheme="minorEastAsia"/>
        </w:rPr>
        <w:t>s</w:t>
      </w:r>
      <w:r w:rsidR="00AE7198" w:rsidRPr="00F466F2">
        <w:rPr>
          <w:rFonts w:eastAsiaTheme="minorEastAsia"/>
        </w:rPr>
        <w:t>)</w:t>
      </w:r>
    </w:p>
    <w:tbl>
      <w:tblPr>
        <w:tblStyle w:val="TableGrid"/>
        <w:tblW w:w="830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88"/>
        <w:gridCol w:w="3388"/>
        <w:gridCol w:w="567"/>
        <w:gridCol w:w="2913"/>
      </w:tblGrid>
      <w:tr w:rsidR="004E3D78" w:rsidRPr="00F466F2" w14:paraId="1010CA9A" w14:textId="77777777" w:rsidTr="006B6896">
        <w:trPr>
          <w:trHeight w:val="57"/>
          <w:tblHeader/>
          <w:jc w:val="right"/>
        </w:trPr>
        <w:tc>
          <w:tcPr>
            <w:tcW w:w="851" w:type="dxa"/>
            <w:vMerge w:val="restart"/>
            <w:tcBorders>
              <w:top w:val="single" w:sz="4" w:space="0" w:color="000000"/>
            </w:tcBorders>
            <w:vAlign w:val="bottom"/>
          </w:tcPr>
          <w:p w14:paraId="3DCB4335" w14:textId="20FFDC6C" w:rsidR="004E3D78" w:rsidRPr="00C554C7" w:rsidRDefault="00840C57" w:rsidP="00BC31E0">
            <w:pPr>
              <w:pStyle w:val="Normal-pool-Table"/>
              <w:spacing w:after="20"/>
              <w:rPr>
                <w:rFonts w:eastAsiaTheme="minorEastAsia"/>
                <w:i/>
                <w:iCs/>
              </w:rPr>
            </w:pPr>
            <w:r w:rsidRPr="00C554C7">
              <w:rPr>
                <w:rFonts w:eastAsiaTheme="minorEastAsia"/>
                <w:i/>
                <w:iCs/>
              </w:rPr>
              <w:t>Panels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</w:tcBorders>
            <w:vAlign w:val="bottom"/>
          </w:tcPr>
          <w:p w14:paraId="1BAECECC" w14:textId="32970953" w:rsidR="004E3D78" w:rsidRPr="00C554C7" w:rsidRDefault="00981537" w:rsidP="00BC31E0">
            <w:pPr>
              <w:pStyle w:val="Normal-pool-Table"/>
              <w:spacing w:after="20"/>
              <w:jc w:val="center"/>
              <w:rPr>
                <w:rFonts w:eastAsiaTheme="minorEastAsia"/>
                <w:i/>
                <w:iCs/>
              </w:rPr>
            </w:pPr>
            <w:r w:rsidRPr="00C554C7">
              <w:rPr>
                <w:rFonts w:eastAsiaTheme="minorEastAsia"/>
                <w:i/>
                <w:iCs/>
              </w:rPr>
              <w:t>Assessment year</w:t>
            </w:r>
            <w:r w:rsidR="00840C57" w:rsidRPr="00C554C7">
              <w:rPr>
                <w:rFonts w:eastAsiaTheme="minorEastAsia"/>
                <w:i/>
                <w:iCs/>
              </w:rPr>
              <w:t xml:space="preserve"> meetings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</w:tcBorders>
            <w:vAlign w:val="bottom"/>
          </w:tcPr>
          <w:p w14:paraId="62B6F7EE" w14:textId="12DDCEBF" w:rsidR="00981537" w:rsidRPr="00C554C7" w:rsidRDefault="00981537" w:rsidP="00BC31E0">
            <w:pPr>
              <w:pStyle w:val="Normal-pool-Table"/>
              <w:spacing w:after="20"/>
              <w:jc w:val="center"/>
              <w:rPr>
                <w:rFonts w:eastAsiaTheme="minorEastAsia"/>
                <w:i/>
                <w:iCs/>
              </w:rPr>
            </w:pPr>
            <w:r w:rsidRPr="00C554C7">
              <w:rPr>
                <w:rFonts w:eastAsiaTheme="minorEastAsia"/>
                <w:i/>
                <w:iCs/>
              </w:rPr>
              <w:t>Non-assessment year</w:t>
            </w:r>
            <w:r w:rsidR="00840C57" w:rsidRPr="00C554C7">
              <w:rPr>
                <w:rFonts w:eastAsiaTheme="minorEastAsia"/>
                <w:i/>
                <w:iCs/>
              </w:rPr>
              <w:t xml:space="preserve"> meetings</w:t>
            </w:r>
          </w:p>
        </w:tc>
      </w:tr>
      <w:tr w:rsidR="00840C57" w:rsidRPr="00F466F2" w14:paraId="49FAD0C8" w14:textId="77777777" w:rsidTr="006B6896">
        <w:trPr>
          <w:trHeight w:val="57"/>
          <w:tblHeader/>
          <w:jc w:val="right"/>
        </w:trPr>
        <w:tc>
          <w:tcPr>
            <w:tcW w:w="851" w:type="dxa"/>
            <w:vMerge/>
            <w:tcBorders>
              <w:bottom w:val="single" w:sz="12" w:space="0" w:color="000000"/>
            </w:tcBorders>
            <w:vAlign w:val="bottom"/>
          </w:tcPr>
          <w:p w14:paraId="1DBE3E1F" w14:textId="77777777" w:rsidR="00840C57" w:rsidRPr="00C554C7" w:rsidRDefault="00840C57" w:rsidP="00BC31E0">
            <w:pPr>
              <w:pStyle w:val="Normal-pool-Table"/>
              <w:spacing w:after="20"/>
              <w:rPr>
                <w:rFonts w:eastAsiaTheme="minorEastAsia"/>
                <w:i/>
                <w:iCs/>
              </w:rPr>
            </w:pPr>
          </w:p>
        </w:tc>
        <w:tc>
          <w:tcPr>
            <w:tcW w:w="574" w:type="dxa"/>
            <w:tcBorders>
              <w:bottom w:val="single" w:sz="12" w:space="0" w:color="000000"/>
            </w:tcBorders>
            <w:vAlign w:val="bottom"/>
          </w:tcPr>
          <w:p w14:paraId="2661E495" w14:textId="6038C900" w:rsidR="00840C57" w:rsidRPr="00C554C7" w:rsidRDefault="00840C57" w:rsidP="00BC31E0">
            <w:pPr>
              <w:pStyle w:val="Normal-pool-Table"/>
              <w:spacing w:after="20"/>
              <w:rPr>
                <w:rFonts w:eastAsiaTheme="minorEastAsia"/>
                <w:i/>
                <w:iCs/>
              </w:rPr>
            </w:pPr>
            <w:r w:rsidRPr="00C554C7">
              <w:rPr>
                <w:rFonts w:eastAsiaTheme="minorEastAsia"/>
                <w:i/>
                <w:iCs/>
              </w:rPr>
              <w:t>No.</w:t>
            </w:r>
          </w:p>
        </w:tc>
        <w:tc>
          <w:tcPr>
            <w:tcW w:w="3395" w:type="dxa"/>
            <w:tcBorders>
              <w:bottom w:val="single" w:sz="12" w:space="0" w:color="000000"/>
            </w:tcBorders>
            <w:vAlign w:val="bottom"/>
          </w:tcPr>
          <w:p w14:paraId="148B003F" w14:textId="0DF69F9B" w:rsidR="00840C57" w:rsidRPr="00C554C7" w:rsidRDefault="00840C57" w:rsidP="00BC31E0">
            <w:pPr>
              <w:pStyle w:val="Normal-pool-Table"/>
              <w:spacing w:after="20"/>
              <w:rPr>
                <w:rFonts w:eastAsiaTheme="minorEastAsia"/>
                <w:i/>
                <w:iCs/>
              </w:rPr>
            </w:pPr>
            <w:r w:rsidRPr="00C554C7">
              <w:rPr>
                <w:rFonts w:eastAsiaTheme="minorEastAsia"/>
                <w:i/>
                <w:iCs/>
              </w:rPr>
              <w:t>Type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bottom"/>
          </w:tcPr>
          <w:p w14:paraId="33953BBE" w14:textId="5232A64F" w:rsidR="00840C57" w:rsidRPr="00C554C7" w:rsidRDefault="00840C57" w:rsidP="00BC31E0">
            <w:pPr>
              <w:pStyle w:val="Normal-pool-Table"/>
              <w:spacing w:after="20"/>
              <w:rPr>
                <w:rFonts w:eastAsiaTheme="minorEastAsia"/>
                <w:i/>
                <w:iCs/>
              </w:rPr>
            </w:pPr>
            <w:r w:rsidRPr="00C554C7">
              <w:rPr>
                <w:rFonts w:eastAsiaTheme="minorEastAsia"/>
                <w:i/>
                <w:iCs/>
              </w:rPr>
              <w:t>No.</w:t>
            </w:r>
          </w:p>
        </w:tc>
        <w:tc>
          <w:tcPr>
            <w:tcW w:w="2920" w:type="dxa"/>
            <w:tcBorders>
              <w:bottom w:val="single" w:sz="12" w:space="0" w:color="000000"/>
            </w:tcBorders>
            <w:vAlign w:val="bottom"/>
          </w:tcPr>
          <w:p w14:paraId="7F21AD1B" w14:textId="77FCA222" w:rsidR="00840C57" w:rsidRPr="00C554C7" w:rsidRDefault="00840C57" w:rsidP="00BC31E0">
            <w:pPr>
              <w:pStyle w:val="Normal-pool-Table"/>
              <w:spacing w:after="20"/>
              <w:rPr>
                <w:rFonts w:eastAsiaTheme="minorEastAsia"/>
                <w:i/>
                <w:iCs/>
              </w:rPr>
            </w:pPr>
            <w:r w:rsidRPr="00C554C7">
              <w:rPr>
                <w:rFonts w:eastAsiaTheme="minorEastAsia"/>
                <w:i/>
                <w:iCs/>
              </w:rPr>
              <w:t>Type</w:t>
            </w:r>
          </w:p>
        </w:tc>
      </w:tr>
      <w:tr w:rsidR="00A85190" w:rsidRPr="00F466F2" w14:paraId="5741EDA1" w14:textId="77777777" w:rsidTr="000C375E">
        <w:trPr>
          <w:trHeight w:val="454"/>
          <w:jc w:val="right"/>
        </w:trPr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</w:tcPr>
          <w:p w14:paraId="553383FC" w14:textId="4CF80162" w:rsidR="00A85190" w:rsidRPr="000C375E" w:rsidRDefault="00A85190" w:rsidP="00BC31E0">
            <w:pPr>
              <w:pStyle w:val="Normal-pool-Table"/>
              <w:spacing w:after="20"/>
              <w:rPr>
                <w:rFonts w:eastAsiaTheme="minorEastAsia"/>
                <w:b/>
              </w:rPr>
            </w:pPr>
            <w:r w:rsidRPr="000C375E">
              <w:rPr>
                <w:rFonts w:eastAsiaTheme="minorEastAsia"/>
                <w:b/>
              </w:rPr>
              <w:t>SAP</w:t>
            </w:r>
          </w:p>
        </w:tc>
        <w:tc>
          <w:tcPr>
            <w:tcW w:w="574" w:type="dxa"/>
            <w:tcBorders>
              <w:top w:val="single" w:sz="12" w:space="0" w:color="000000"/>
              <w:bottom w:val="single" w:sz="4" w:space="0" w:color="000000"/>
            </w:tcBorders>
          </w:tcPr>
          <w:p w14:paraId="345B4505" w14:textId="5E38F627" w:rsidR="00A85190" w:rsidRPr="000C375E" w:rsidRDefault="00A85190" w:rsidP="00BC31E0">
            <w:pPr>
              <w:pStyle w:val="Normal-pool-Table"/>
              <w:spacing w:after="20"/>
              <w:rPr>
                <w:rFonts w:eastAsiaTheme="minorEastAsia"/>
              </w:rPr>
            </w:pPr>
            <w:r w:rsidRPr="000C375E">
              <w:rPr>
                <w:rFonts w:eastAsiaTheme="minorEastAsia"/>
              </w:rPr>
              <w:t>1</w:t>
            </w:r>
          </w:p>
        </w:tc>
        <w:tc>
          <w:tcPr>
            <w:tcW w:w="3395" w:type="dxa"/>
            <w:tcBorders>
              <w:top w:val="single" w:sz="12" w:space="0" w:color="000000"/>
              <w:bottom w:val="single" w:sz="4" w:space="0" w:color="000000"/>
            </w:tcBorders>
          </w:tcPr>
          <w:p w14:paraId="2C73AEEE" w14:textId="4A48285C" w:rsidR="00A85190" w:rsidRPr="000C375E" w:rsidRDefault="00A85190" w:rsidP="00BC31E0">
            <w:pPr>
              <w:pStyle w:val="Normal-pool-Table"/>
              <w:spacing w:after="20"/>
              <w:rPr>
                <w:rFonts w:eastAsiaTheme="minorEastAsia"/>
              </w:rPr>
            </w:pPr>
            <w:r w:rsidRPr="000C375E">
              <w:rPr>
                <w:rFonts w:eastAsiaTheme="minorEastAsia"/>
              </w:rPr>
              <w:t>Review meeting involving participation of invited scientists/experts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</w:tcPr>
          <w:p w14:paraId="6D0A9954" w14:textId="7C72978A" w:rsidR="00A85190" w:rsidRPr="000C375E" w:rsidRDefault="00A85190" w:rsidP="00BC31E0">
            <w:pPr>
              <w:pStyle w:val="Normal-pool-Table"/>
              <w:spacing w:after="20"/>
              <w:rPr>
                <w:rFonts w:eastAsiaTheme="minorEastAsia"/>
              </w:rPr>
            </w:pPr>
            <w:r w:rsidRPr="000C375E">
              <w:rPr>
                <w:rFonts w:eastAsiaTheme="minorEastAsia"/>
              </w:rPr>
              <w:t>1</w:t>
            </w:r>
          </w:p>
        </w:tc>
        <w:tc>
          <w:tcPr>
            <w:tcW w:w="2920" w:type="dxa"/>
            <w:tcBorders>
              <w:top w:val="single" w:sz="12" w:space="0" w:color="000000"/>
              <w:bottom w:val="single" w:sz="4" w:space="0" w:color="000000"/>
            </w:tcBorders>
          </w:tcPr>
          <w:p w14:paraId="4AA9268C" w14:textId="71A82CCB" w:rsidR="00A85190" w:rsidRPr="000C375E" w:rsidRDefault="00A85190" w:rsidP="00BC31E0">
            <w:pPr>
              <w:pStyle w:val="Normal-pool-Table"/>
              <w:spacing w:after="20"/>
              <w:rPr>
                <w:rFonts w:eastAsiaTheme="minorEastAsia"/>
              </w:rPr>
            </w:pPr>
            <w:r w:rsidRPr="000C375E">
              <w:rPr>
                <w:rFonts w:eastAsiaTheme="minorEastAsia"/>
              </w:rPr>
              <w:t xml:space="preserve">Steering Committee </w:t>
            </w:r>
            <w:r w:rsidR="00050A38" w:rsidRPr="000C375E">
              <w:rPr>
                <w:rFonts w:eastAsiaTheme="minorEastAsia"/>
              </w:rPr>
              <w:t>planning meeting</w:t>
            </w:r>
            <w:r w:rsidR="009C6AAC" w:rsidRPr="000C375E">
              <w:rPr>
                <w:rFonts w:eastAsiaTheme="minorEastAsia"/>
              </w:rPr>
              <w:t>**</w:t>
            </w:r>
            <w:r w:rsidR="00050A38" w:rsidRPr="000C375E">
              <w:rPr>
                <w:rFonts w:eastAsiaTheme="minorEastAsia"/>
              </w:rPr>
              <w:t xml:space="preserve"> usually </w:t>
            </w:r>
            <w:r w:rsidR="00274ECB" w:rsidRPr="000C375E">
              <w:rPr>
                <w:rFonts w:eastAsiaTheme="minorEastAsia"/>
              </w:rPr>
              <w:t>held</w:t>
            </w:r>
            <w:r w:rsidR="00050A38" w:rsidRPr="000C375E">
              <w:rPr>
                <w:rFonts w:eastAsiaTheme="minorEastAsia"/>
              </w:rPr>
              <w:t xml:space="preserve"> </w:t>
            </w:r>
            <w:r w:rsidRPr="000C375E">
              <w:rPr>
                <w:rFonts w:eastAsiaTheme="minorEastAsia"/>
              </w:rPr>
              <w:t>in the year before the assessment year</w:t>
            </w:r>
            <w:r w:rsidR="009C6AAC" w:rsidRPr="000C375E">
              <w:rPr>
                <w:rFonts w:eastAsiaTheme="minorEastAsia"/>
              </w:rPr>
              <w:t>.</w:t>
            </w:r>
          </w:p>
        </w:tc>
      </w:tr>
      <w:tr w:rsidR="004E3D78" w:rsidRPr="00F466F2" w14:paraId="59F5AEF3" w14:textId="77777777" w:rsidTr="00EF5846">
        <w:trPr>
          <w:trHeight w:val="57"/>
          <w:jc w:val="right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F8B63EA" w14:textId="1AC06FB3" w:rsidR="004E3D78" w:rsidRPr="00F466F2" w:rsidRDefault="004E3D78" w:rsidP="00BC31E0">
            <w:pPr>
              <w:pStyle w:val="Normal-pool-Table"/>
              <w:spacing w:after="20"/>
              <w:rPr>
                <w:rFonts w:eastAsiaTheme="minorEastAsia"/>
                <w:b/>
              </w:rPr>
            </w:pPr>
            <w:r w:rsidRPr="00F466F2">
              <w:rPr>
                <w:rFonts w:eastAsiaTheme="minorEastAsia"/>
                <w:b/>
              </w:rPr>
              <w:t>EEAP</w:t>
            </w:r>
          </w:p>
        </w:tc>
        <w:tc>
          <w:tcPr>
            <w:tcW w:w="57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184F927" w14:textId="1535EAF8" w:rsidR="004E3D78" w:rsidRPr="00F466F2" w:rsidRDefault="00C46249" w:rsidP="00BC31E0">
            <w:pPr>
              <w:pStyle w:val="Normal-pool-Table"/>
              <w:spacing w:after="20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2</w:t>
            </w:r>
          </w:p>
        </w:tc>
        <w:tc>
          <w:tcPr>
            <w:tcW w:w="339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5570B48" w14:textId="2306FFCB" w:rsidR="004E3D78" w:rsidRPr="00F466F2" w:rsidRDefault="00C46249" w:rsidP="00BC31E0">
            <w:pPr>
              <w:pStyle w:val="Normal-pool-Table"/>
              <w:spacing w:after="20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Quadrennial assessment</w:t>
            </w:r>
            <w:r w:rsidR="00BF5D56" w:rsidRPr="00F466F2">
              <w:rPr>
                <w:rFonts w:eastAsiaTheme="minorEastAsia"/>
              </w:rPr>
              <w:t>, progress report</w:t>
            </w:r>
            <w:r w:rsidRPr="00F466F2">
              <w:rPr>
                <w:rFonts w:eastAsiaTheme="minorEastAsi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758B941" w14:textId="6AC89D3C" w:rsidR="004E3D78" w:rsidRPr="00F466F2" w:rsidRDefault="00FA7C08" w:rsidP="00BC31E0">
            <w:pPr>
              <w:pStyle w:val="Normal-pool-Table"/>
              <w:spacing w:after="20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1</w:t>
            </w:r>
          </w:p>
        </w:tc>
        <w:tc>
          <w:tcPr>
            <w:tcW w:w="29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1C79BE5" w14:textId="535D89A3" w:rsidR="004E3D78" w:rsidRPr="00F466F2" w:rsidRDefault="00FA7C08" w:rsidP="00BC31E0">
            <w:pPr>
              <w:pStyle w:val="Normal-pool-Table"/>
              <w:spacing w:after="20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Annual progress report</w:t>
            </w:r>
          </w:p>
        </w:tc>
      </w:tr>
      <w:tr w:rsidR="004E3D78" w:rsidRPr="00F466F2" w14:paraId="73EF6157" w14:textId="77777777" w:rsidTr="00EF5846">
        <w:trPr>
          <w:trHeight w:val="57"/>
          <w:jc w:val="right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B4E5882" w14:textId="31DAC5CD" w:rsidR="004E3D78" w:rsidRPr="00631490" w:rsidRDefault="004E3D78" w:rsidP="00BC31E0">
            <w:pPr>
              <w:pStyle w:val="Normal-pool-Table"/>
              <w:spacing w:after="20"/>
              <w:rPr>
                <w:rFonts w:eastAsiaTheme="minorEastAsia"/>
                <w:b/>
              </w:rPr>
            </w:pPr>
            <w:r w:rsidRPr="00631490">
              <w:rPr>
                <w:rFonts w:eastAsiaTheme="minorEastAsia"/>
                <w:b/>
              </w:rPr>
              <w:t>TEAP</w:t>
            </w:r>
          </w:p>
        </w:tc>
        <w:tc>
          <w:tcPr>
            <w:tcW w:w="57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7A643C6" w14:textId="14E46A42" w:rsidR="004E3D78" w:rsidRPr="00631490" w:rsidRDefault="009165C1" w:rsidP="00BC31E0">
            <w:pPr>
              <w:pStyle w:val="Normal-pool-Table"/>
              <w:spacing w:after="20"/>
              <w:rPr>
                <w:rFonts w:eastAsiaTheme="minorEastAsia"/>
              </w:rPr>
            </w:pPr>
            <w:r w:rsidRPr="00360094">
              <w:rPr>
                <w:rFonts w:eastAsiaTheme="minorEastAsia"/>
              </w:rPr>
              <w:t>1</w:t>
            </w:r>
          </w:p>
        </w:tc>
        <w:tc>
          <w:tcPr>
            <w:tcW w:w="339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082E6E2" w14:textId="5A98CBB3" w:rsidR="004E3D78" w:rsidRPr="00631490" w:rsidRDefault="00E90C16" w:rsidP="00BC31E0">
            <w:pPr>
              <w:pStyle w:val="Normal-pool-Table"/>
              <w:spacing w:after="20"/>
              <w:rPr>
                <w:rFonts w:eastAsiaTheme="minorEastAsia"/>
              </w:rPr>
            </w:pPr>
            <w:r w:rsidRPr="00631490">
              <w:rPr>
                <w:rFonts w:eastAsiaTheme="minorEastAsia"/>
              </w:rPr>
              <w:t>Quadrennial assessment</w:t>
            </w:r>
            <w:r w:rsidR="00434079" w:rsidRPr="00631490">
              <w:rPr>
                <w:rFonts w:eastAsiaTheme="minorEastAsia"/>
              </w:rPr>
              <w:t xml:space="preserve">, progress report and </w:t>
            </w:r>
            <w:r w:rsidR="00434079" w:rsidRPr="00360094">
              <w:rPr>
                <w:rFonts w:eastAsiaTheme="minorEastAsia"/>
              </w:rPr>
              <w:t>any additional tasks</w:t>
            </w:r>
            <w:r w:rsidR="00434079" w:rsidRPr="00631490">
              <w:rPr>
                <w:rFonts w:eastAsiaTheme="minorEastAsi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8E051C7" w14:textId="246C87B0" w:rsidR="004E3D78" w:rsidRPr="00631490" w:rsidRDefault="00F36123" w:rsidP="00BC31E0">
            <w:pPr>
              <w:pStyle w:val="Normal-pool-Table"/>
              <w:spacing w:after="20"/>
              <w:rPr>
                <w:rFonts w:eastAsiaTheme="minorEastAsia"/>
              </w:rPr>
            </w:pPr>
            <w:r w:rsidRPr="00631490">
              <w:rPr>
                <w:rFonts w:eastAsiaTheme="minorEastAsia"/>
              </w:rPr>
              <w:t>1</w:t>
            </w:r>
          </w:p>
        </w:tc>
        <w:tc>
          <w:tcPr>
            <w:tcW w:w="29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AE2BCA" w14:textId="5772D8A8" w:rsidR="004E3D78" w:rsidRPr="00631490" w:rsidRDefault="00F36123" w:rsidP="00BC31E0">
            <w:pPr>
              <w:pStyle w:val="Normal-pool-Table"/>
              <w:spacing w:after="20"/>
              <w:rPr>
                <w:rFonts w:eastAsiaTheme="minorEastAsia"/>
              </w:rPr>
            </w:pPr>
            <w:r w:rsidRPr="00631490">
              <w:rPr>
                <w:rFonts w:eastAsiaTheme="minorEastAsia"/>
              </w:rPr>
              <w:t xml:space="preserve">Annual progress report and </w:t>
            </w:r>
            <w:r w:rsidR="009A1ACD" w:rsidRPr="00360094">
              <w:rPr>
                <w:rFonts w:eastAsiaTheme="minorEastAsia"/>
              </w:rPr>
              <w:t>response to additional tasks</w:t>
            </w:r>
          </w:p>
        </w:tc>
      </w:tr>
      <w:tr w:rsidR="004E3D78" w:rsidRPr="00F466F2" w14:paraId="055059B3" w14:textId="77777777" w:rsidTr="00EF5846">
        <w:trPr>
          <w:trHeight w:val="57"/>
          <w:jc w:val="right"/>
        </w:trPr>
        <w:tc>
          <w:tcPr>
            <w:tcW w:w="851" w:type="dxa"/>
            <w:tcBorders>
              <w:top w:val="single" w:sz="4" w:space="0" w:color="000000"/>
              <w:bottom w:val="single" w:sz="12" w:space="0" w:color="000000"/>
            </w:tcBorders>
          </w:tcPr>
          <w:p w14:paraId="7997E408" w14:textId="6284881B" w:rsidR="004E3D78" w:rsidRPr="00631490" w:rsidRDefault="00F36123" w:rsidP="00BC31E0">
            <w:pPr>
              <w:pStyle w:val="Normal-pool-Table"/>
              <w:spacing w:after="20"/>
              <w:rPr>
                <w:rFonts w:eastAsiaTheme="minorEastAsia"/>
                <w:b/>
              </w:rPr>
            </w:pPr>
            <w:r w:rsidRPr="00631490">
              <w:rPr>
                <w:rFonts w:eastAsiaTheme="minorEastAsia"/>
                <w:b/>
              </w:rPr>
              <w:t>5 TOCs</w:t>
            </w:r>
          </w:p>
        </w:tc>
        <w:tc>
          <w:tcPr>
            <w:tcW w:w="574" w:type="dxa"/>
            <w:tcBorders>
              <w:top w:val="single" w:sz="4" w:space="0" w:color="000000"/>
              <w:bottom w:val="single" w:sz="12" w:space="0" w:color="000000"/>
            </w:tcBorders>
            <w:vAlign w:val="bottom"/>
          </w:tcPr>
          <w:p w14:paraId="53141066" w14:textId="5BCB6CD1" w:rsidR="004E3D78" w:rsidRPr="00631490" w:rsidRDefault="00F36123" w:rsidP="00BC31E0">
            <w:pPr>
              <w:pStyle w:val="Normal-pool-Table"/>
              <w:spacing w:after="20"/>
              <w:rPr>
                <w:rFonts w:eastAsiaTheme="minorEastAsia"/>
              </w:rPr>
            </w:pPr>
            <w:r w:rsidRPr="00360094">
              <w:rPr>
                <w:rFonts w:eastAsiaTheme="minorEastAsia"/>
              </w:rPr>
              <w:t>2</w:t>
            </w:r>
            <w:r w:rsidR="00562585" w:rsidRPr="00360094">
              <w:rPr>
                <w:rFonts w:eastAsiaTheme="minorEastAsia"/>
              </w:rPr>
              <w:t>*</w:t>
            </w:r>
            <w:r w:rsidR="00341D18" w:rsidRPr="00360094">
              <w:rPr>
                <w:rFonts w:eastAsiaTheme="minorEastAsia"/>
              </w:rPr>
              <w:t>×</w:t>
            </w:r>
            <w:r w:rsidRPr="00360094">
              <w:rPr>
                <w:rFonts w:eastAsiaTheme="minorEastAsia"/>
              </w:rPr>
              <w:t>5</w:t>
            </w:r>
          </w:p>
        </w:tc>
        <w:tc>
          <w:tcPr>
            <w:tcW w:w="3395" w:type="dxa"/>
            <w:tcBorders>
              <w:top w:val="single" w:sz="4" w:space="0" w:color="000000"/>
              <w:bottom w:val="single" w:sz="12" w:space="0" w:color="000000"/>
            </w:tcBorders>
            <w:vAlign w:val="bottom"/>
          </w:tcPr>
          <w:p w14:paraId="43C5FEE2" w14:textId="021131C1" w:rsidR="004E3D78" w:rsidRPr="00631490" w:rsidRDefault="008A1F7B" w:rsidP="00BC31E0">
            <w:pPr>
              <w:pStyle w:val="Normal-pool-Table"/>
              <w:spacing w:after="20"/>
              <w:rPr>
                <w:rFonts w:eastAsiaTheme="minorEastAsia"/>
              </w:rPr>
            </w:pPr>
            <w:r w:rsidRPr="00631490">
              <w:rPr>
                <w:rFonts w:eastAsiaTheme="minorEastAsia"/>
              </w:rPr>
              <w:t xml:space="preserve">Quadrennial assessment and </w:t>
            </w:r>
            <w:r w:rsidRPr="00360094">
              <w:rPr>
                <w:rFonts w:eastAsiaTheme="minorEastAsia"/>
              </w:rPr>
              <w:t>response to additional tasks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  <w:vAlign w:val="bottom"/>
          </w:tcPr>
          <w:p w14:paraId="1DCFF82C" w14:textId="261A7E8B" w:rsidR="004E3D78" w:rsidRPr="00631490" w:rsidRDefault="009A1ACD" w:rsidP="00BC31E0">
            <w:pPr>
              <w:pStyle w:val="Normal-pool-Table"/>
              <w:spacing w:after="20"/>
              <w:rPr>
                <w:rFonts w:eastAsiaTheme="minorEastAsia"/>
              </w:rPr>
            </w:pPr>
            <w:r w:rsidRPr="00631490">
              <w:rPr>
                <w:rFonts w:eastAsiaTheme="minorEastAsia"/>
              </w:rPr>
              <w:t>1</w:t>
            </w:r>
            <w:r w:rsidR="00341D18" w:rsidRPr="00360094">
              <w:rPr>
                <w:rFonts w:eastAsiaTheme="minorEastAsia"/>
              </w:rPr>
              <w:t>×</w:t>
            </w:r>
            <w:r w:rsidRPr="00631490">
              <w:rPr>
                <w:rFonts w:eastAsiaTheme="minorEastAsia"/>
              </w:rPr>
              <w:t>5</w:t>
            </w:r>
          </w:p>
        </w:tc>
        <w:tc>
          <w:tcPr>
            <w:tcW w:w="2920" w:type="dxa"/>
            <w:tcBorders>
              <w:top w:val="single" w:sz="4" w:space="0" w:color="000000"/>
              <w:bottom w:val="single" w:sz="12" w:space="0" w:color="000000"/>
            </w:tcBorders>
            <w:vAlign w:val="bottom"/>
          </w:tcPr>
          <w:p w14:paraId="4E70822E" w14:textId="0E0BC2CC" w:rsidR="004E3D78" w:rsidRPr="00631490" w:rsidRDefault="009A1ACD" w:rsidP="00BC31E0">
            <w:pPr>
              <w:pStyle w:val="Normal-pool-Table"/>
              <w:spacing w:after="20"/>
              <w:rPr>
                <w:rFonts w:eastAsiaTheme="minorEastAsia"/>
              </w:rPr>
            </w:pPr>
            <w:r w:rsidRPr="00631490">
              <w:rPr>
                <w:rFonts w:eastAsiaTheme="minorEastAsia"/>
              </w:rPr>
              <w:t xml:space="preserve">Annual progress report and </w:t>
            </w:r>
            <w:r w:rsidRPr="00360094">
              <w:rPr>
                <w:rFonts w:eastAsiaTheme="minorEastAsia"/>
              </w:rPr>
              <w:t>response to additional tasks</w:t>
            </w:r>
            <w:r w:rsidRPr="00631490">
              <w:rPr>
                <w:rFonts w:eastAsiaTheme="minorEastAsia"/>
              </w:rPr>
              <w:t xml:space="preserve"> </w:t>
            </w:r>
          </w:p>
        </w:tc>
      </w:tr>
    </w:tbl>
    <w:p w14:paraId="0D72090B" w14:textId="19A9BF9E" w:rsidR="00E558EA" w:rsidRPr="000C375E" w:rsidRDefault="007A4105" w:rsidP="009A5416">
      <w:pPr>
        <w:pStyle w:val="Normal-pool"/>
        <w:tabs>
          <w:tab w:val="clear" w:pos="624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1814"/>
          <w:tab w:val="left" w:pos="2381"/>
          <w:tab w:val="left" w:pos="2948"/>
          <w:tab w:val="left" w:pos="3515"/>
          <w:tab w:val="left" w:pos="4082"/>
        </w:tabs>
        <w:spacing w:before="60"/>
        <w:ind w:left="1247"/>
        <w:rPr>
          <w:rFonts w:eastAsiaTheme="minorEastAsia"/>
          <w:sz w:val="17"/>
          <w:szCs w:val="17"/>
        </w:rPr>
      </w:pPr>
      <w:r w:rsidRPr="000C375E">
        <w:rPr>
          <w:rFonts w:eastAsiaTheme="minorEastAsia"/>
          <w:sz w:val="17"/>
          <w:szCs w:val="17"/>
        </w:rPr>
        <w:tab/>
      </w:r>
      <w:r w:rsidR="00E558EA" w:rsidRPr="00360094">
        <w:rPr>
          <w:rFonts w:eastAsiaTheme="minorEastAsia"/>
          <w:i/>
          <w:iCs/>
          <w:sz w:val="17"/>
          <w:szCs w:val="17"/>
        </w:rPr>
        <w:t>Abbreviations:</w:t>
      </w:r>
      <w:r w:rsidR="00E558EA" w:rsidRPr="000C375E">
        <w:rPr>
          <w:rFonts w:eastAsiaTheme="minorEastAsia"/>
          <w:sz w:val="17"/>
          <w:szCs w:val="17"/>
        </w:rPr>
        <w:t xml:space="preserve"> </w:t>
      </w:r>
      <w:r w:rsidR="00E0665B" w:rsidRPr="000C375E">
        <w:rPr>
          <w:rFonts w:eastAsiaTheme="minorEastAsia"/>
          <w:sz w:val="17"/>
          <w:szCs w:val="17"/>
        </w:rPr>
        <w:t xml:space="preserve">EEAP – </w:t>
      </w:r>
      <w:r w:rsidR="00E0665B" w:rsidRPr="00360094">
        <w:rPr>
          <w:rFonts w:eastAsiaTheme="minorEastAsia"/>
          <w:sz w:val="17"/>
          <w:szCs w:val="17"/>
        </w:rPr>
        <w:t xml:space="preserve">Environmental Effects Assessment Panel; SAP </w:t>
      </w:r>
      <w:r w:rsidR="00E0665B" w:rsidRPr="000C375E">
        <w:rPr>
          <w:rFonts w:eastAsiaTheme="minorEastAsia"/>
          <w:sz w:val="17"/>
          <w:szCs w:val="17"/>
        </w:rPr>
        <w:t>–</w:t>
      </w:r>
      <w:r w:rsidR="00E0665B" w:rsidRPr="00360094">
        <w:rPr>
          <w:rFonts w:eastAsiaTheme="minorEastAsia"/>
          <w:sz w:val="17"/>
          <w:szCs w:val="17"/>
        </w:rPr>
        <w:t xml:space="preserve"> Scientific Assessment Panel; TEAP </w:t>
      </w:r>
      <w:r w:rsidR="00E0665B" w:rsidRPr="000C375E">
        <w:rPr>
          <w:rFonts w:eastAsiaTheme="minorEastAsia"/>
          <w:sz w:val="17"/>
          <w:szCs w:val="17"/>
        </w:rPr>
        <w:t>–</w:t>
      </w:r>
      <w:r w:rsidR="00E0665B" w:rsidRPr="00360094">
        <w:rPr>
          <w:rFonts w:eastAsiaTheme="minorEastAsia"/>
          <w:sz w:val="17"/>
          <w:szCs w:val="17"/>
        </w:rPr>
        <w:t xml:space="preserve"> Technology and Economic Assessment Panel; </w:t>
      </w:r>
      <w:r w:rsidR="00E0665B" w:rsidRPr="000C375E">
        <w:rPr>
          <w:rFonts w:eastAsiaTheme="minorEastAsia"/>
          <w:sz w:val="17"/>
          <w:szCs w:val="17"/>
        </w:rPr>
        <w:t>TOC – technical options committee.</w:t>
      </w:r>
    </w:p>
    <w:p w14:paraId="3808DBCE" w14:textId="7522A1E3" w:rsidR="00482499" w:rsidRPr="000C375E" w:rsidRDefault="00BC25B3" w:rsidP="009A5416">
      <w:pPr>
        <w:pStyle w:val="Normal-pool"/>
        <w:tabs>
          <w:tab w:val="clear" w:pos="624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1814"/>
          <w:tab w:val="left" w:pos="2381"/>
          <w:tab w:val="left" w:pos="2948"/>
          <w:tab w:val="left" w:pos="3515"/>
          <w:tab w:val="left" w:pos="4082"/>
        </w:tabs>
        <w:spacing w:before="60"/>
        <w:ind w:left="1247"/>
        <w:rPr>
          <w:rFonts w:eastAsiaTheme="minorEastAsia"/>
          <w:sz w:val="17"/>
          <w:szCs w:val="17"/>
        </w:rPr>
      </w:pPr>
      <w:r w:rsidRPr="000C375E">
        <w:rPr>
          <w:rFonts w:eastAsiaTheme="minorEastAsia"/>
          <w:sz w:val="17"/>
          <w:szCs w:val="17"/>
        </w:rPr>
        <w:tab/>
      </w:r>
      <w:r w:rsidR="00562585" w:rsidRPr="000C375E">
        <w:rPr>
          <w:rFonts w:eastAsiaTheme="minorEastAsia"/>
          <w:sz w:val="17"/>
          <w:szCs w:val="17"/>
        </w:rPr>
        <w:t xml:space="preserve">* </w:t>
      </w:r>
      <w:r w:rsidR="009E31A5" w:rsidRPr="000C375E">
        <w:rPr>
          <w:rFonts w:eastAsiaTheme="minorEastAsia"/>
          <w:sz w:val="17"/>
          <w:szCs w:val="17"/>
        </w:rPr>
        <w:t>Not all TOCs meet twice in an assessment year</w:t>
      </w:r>
      <w:r w:rsidR="00274ECB" w:rsidRPr="000C375E">
        <w:rPr>
          <w:rFonts w:eastAsiaTheme="minorEastAsia"/>
          <w:sz w:val="17"/>
          <w:szCs w:val="17"/>
        </w:rPr>
        <w:t>, so two</w:t>
      </w:r>
      <w:r w:rsidR="009E31A5" w:rsidRPr="000C375E">
        <w:rPr>
          <w:rFonts w:eastAsiaTheme="minorEastAsia"/>
          <w:sz w:val="17"/>
          <w:szCs w:val="17"/>
        </w:rPr>
        <w:t xml:space="preserve"> </w:t>
      </w:r>
      <w:r w:rsidR="005E2C16" w:rsidRPr="000C375E">
        <w:rPr>
          <w:rFonts w:eastAsiaTheme="minorEastAsia"/>
          <w:sz w:val="17"/>
          <w:szCs w:val="17"/>
        </w:rPr>
        <w:t xml:space="preserve">meetings per TOC </w:t>
      </w:r>
      <w:r w:rsidR="00274ECB" w:rsidRPr="000C375E">
        <w:rPr>
          <w:rFonts w:eastAsiaTheme="minorEastAsia"/>
          <w:sz w:val="17"/>
          <w:szCs w:val="17"/>
        </w:rPr>
        <w:t>is the</w:t>
      </w:r>
      <w:r w:rsidR="005E2C16" w:rsidRPr="000C375E">
        <w:rPr>
          <w:rFonts w:eastAsiaTheme="minorEastAsia"/>
          <w:sz w:val="17"/>
          <w:szCs w:val="17"/>
        </w:rPr>
        <w:t xml:space="preserve"> maximum</w:t>
      </w:r>
      <w:r w:rsidR="009E31A5" w:rsidRPr="000C375E">
        <w:rPr>
          <w:rFonts w:eastAsiaTheme="minorEastAsia"/>
          <w:sz w:val="17"/>
          <w:szCs w:val="17"/>
        </w:rPr>
        <w:t>.</w:t>
      </w:r>
      <w:r w:rsidR="005E2C16" w:rsidRPr="000C375E">
        <w:rPr>
          <w:rFonts w:eastAsiaTheme="minorEastAsia"/>
          <w:sz w:val="17"/>
          <w:szCs w:val="17"/>
        </w:rPr>
        <w:t xml:space="preserve"> </w:t>
      </w:r>
    </w:p>
    <w:p w14:paraId="48DC1DAA" w14:textId="77777777" w:rsidR="00F41A17" w:rsidRDefault="00BC25B3" w:rsidP="00F41A17">
      <w:pPr>
        <w:pStyle w:val="Normal-pool"/>
        <w:tabs>
          <w:tab w:val="clear" w:pos="624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1814"/>
          <w:tab w:val="left" w:pos="2381"/>
          <w:tab w:val="left" w:pos="2948"/>
          <w:tab w:val="left" w:pos="3515"/>
          <w:tab w:val="left" w:pos="4082"/>
        </w:tabs>
        <w:spacing w:before="60"/>
        <w:ind w:left="1247"/>
        <w:rPr>
          <w:rFonts w:eastAsiaTheme="minorEastAsia"/>
          <w:sz w:val="17"/>
          <w:szCs w:val="17"/>
        </w:rPr>
      </w:pPr>
      <w:r w:rsidRPr="000C375E">
        <w:rPr>
          <w:rFonts w:eastAsiaTheme="minorEastAsia"/>
          <w:sz w:val="17"/>
          <w:szCs w:val="17"/>
        </w:rPr>
        <w:tab/>
      </w:r>
      <w:r w:rsidR="009C6AAC" w:rsidRPr="000C375E">
        <w:rPr>
          <w:rFonts w:eastAsiaTheme="minorEastAsia"/>
          <w:sz w:val="17"/>
          <w:szCs w:val="17"/>
        </w:rPr>
        <w:t>**</w:t>
      </w:r>
      <w:r w:rsidR="00A760E7" w:rsidRPr="000C375E">
        <w:rPr>
          <w:rFonts w:eastAsiaTheme="minorEastAsia"/>
          <w:sz w:val="17"/>
          <w:szCs w:val="17"/>
        </w:rPr>
        <w:t xml:space="preserve"> SAP may organize other meetings</w:t>
      </w:r>
      <w:r w:rsidR="000B3519" w:rsidRPr="000C375E">
        <w:rPr>
          <w:rFonts w:eastAsiaTheme="minorEastAsia"/>
          <w:sz w:val="17"/>
          <w:szCs w:val="17"/>
        </w:rPr>
        <w:t xml:space="preserve"> </w:t>
      </w:r>
      <w:r w:rsidR="00B46FEA" w:rsidRPr="000C375E">
        <w:rPr>
          <w:rFonts w:eastAsiaTheme="minorEastAsia"/>
          <w:sz w:val="17"/>
          <w:szCs w:val="17"/>
        </w:rPr>
        <w:t xml:space="preserve">such as </w:t>
      </w:r>
      <w:r w:rsidR="00B94F07" w:rsidRPr="000C375E">
        <w:rPr>
          <w:rFonts w:eastAsiaTheme="minorEastAsia"/>
          <w:sz w:val="17"/>
          <w:szCs w:val="17"/>
        </w:rPr>
        <w:t xml:space="preserve">on </w:t>
      </w:r>
      <w:r w:rsidR="00B46FEA" w:rsidRPr="000C375E">
        <w:rPr>
          <w:rFonts w:eastAsiaTheme="minorEastAsia"/>
          <w:sz w:val="17"/>
          <w:szCs w:val="17"/>
        </w:rPr>
        <w:t>chapter coordination</w:t>
      </w:r>
      <w:r w:rsidR="00B94F07" w:rsidRPr="000C375E">
        <w:rPr>
          <w:rFonts w:eastAsiaTheme="minorEastAsia"/>
          <w:sz w:val="17"/>
          <w:szCs w:val="17"/>
        </w:rPr>
        <w:t xml:space="preserve"> but </w:t>
      </w:r>
      <w:r w:rsidR="00171C8A" w:rsidRPr="000C375E">
        <w:rPr>
          <w:rFonts w:eastAsiaTheme="minorEastAsia"/>
          <w:sz w:val="17"/>
          <w:szCs w:val="17"/>
        </w:rPr>
        <w:t xml:space="preserve">usually costs are covered by the </w:t>
      </w:r>
      <w:r w:rsidR="0063216B" w:rsidRPr="000C375E">
        <w:rPr>
          <w:rFonts w:eastAsiaTheme="minorEastAsia"/>
          <w:sz w:val="17"/>
          <w:szCs w:val="17"/>
        </w:rPr>
        <w:t>SAP.</w:t>
      </w:r>
    </w:p>
    <w:p w14:paraId="722D734C" w14:textId="2B71D3EE" w:rsidR="00870361" w:rsidRPr="00F41A17" w:rsidRDefault="00870361" w:rsidP="00F41A17">
      <w:pPr>
        <w:pStyle w:val="Normal-pool"/>
        <w:tabs>
          <w:tab w:val="clear" w:pos="624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1814"/>
          <w:tab w:val="left" w:pos="2381"/>
          <w:tab w:val="left" w:pos="2948"/>
          <w:tab w:val="left" w:pos="3515"/>
          <w:tab w:val="left" w:pos="4082"/>
        </w:tabs>
        <w:spacing w:before="60"/>
        <w:ind w:left="1247"/>
        <w:rPr>
          <w:rFonts w:eastAsiaTheme="minorEastAsia"/>
          <w:sz w:val="17"/>
          <w:szCs w:val="17"/>
        </w:rPr>
      </w:pPr>
      <w:r w:rsidRPr="00F466F2">
        <w:rPr>
          <w:rFonts w:eastAsiaTheme="minorEastAsia"/>
        </w:rPr>
        <w:lastRenderedPageBreak/>
        <w:t xml:space="preserve">together </w:t>
      </w:r>
      <w:r w:rsidRPr="0076582E">
        <w:rPr>
          <w:rFonts w:eastAsiaTheme="minorEastAsia"/>
        </w:rPr>
        <w:t xml:space="preserve">with invited reviewers, discuss the chapter conclusions and the </w:t>
      </w:r>
      <w:r w:rsidRPr="00360094">
        <w:rPr>
          <w:rFonts w:eastAsiaTheme="minorEastAsia"/>
        </w:rPr>
        <w:t>summary for policymakers</w:t>
      </w:r>
      <w:r w:rsidRPr="0076582E">
        <w:rPr>
          <w:rFonts w:eastAsiaTheme="minorEastAsia"/>
        </w:rPr>
        <w:t xml:space="preserve"> and agree on the highlights and key messages.</w:t>
      </w:r>
    </w:p>
    <w:p w14:paraId="54AD1CA6" w14:textId="28D2044C" w:rsidR="00870361" w:rsidRPr="00F466F2" w:rsidRDefault="00870361" w:rsidP="00870361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rFonts w:eastAsiaTheme="minorEastAsia"/>
          <w:bCs/>
        </w:rPr>
      </w:pPr>
      <w:r w:rsidRPr="00F466F2">
        <w:rPr>
          <w:rFonts w:eastAsiaTheme="minorEastAsia"/>
          <w:bCs/>
        </w:rPr>
        <w:t xml:space="preserve">The typical </w:t>
      </w:r>
      <w:r>
        <w:rPr>
          <w:rFonts w:eastAsiaTheme="minorEastAsia"/>
          <w:bCs/>
        </w:rPr>
        <w:t xml:space="preserve">number of </w:t>
      </w:r>
      <w:r w:rsidRPr="00F466F2">
        <w:rPr>
          <w:rFonts w:eastAsiaTheme="minorEastAsia"/>
          <w:bCs/>
        </w:rPr>
        <w:t xml:space="preserve">meetings </w:t>
      </w:r>
      <w:r>
        <w:rPr>
          <w:rFonts w:eastAsiaTheme="minorEastAsia"/>
          <w:bCs/>
        </w:rPr>
        <w:t xml:space="preserve">per panel and per TOC </w:t>
      </w:r>
      <w:r w:rsidRPr="00F466F2">
        <w:rPr>
          <w:rFonts w:eastAsiaTheme="minorEastAsia"/>
          <w:bCs/>
        </w:rPr>
        <w:t>in assessment year</w:t>
      </w:r>
      <w:r>
        <w:rPr>
          <w:rFonts w:eastAsiaTheme="minorEastAsia"/>
          <w:bCs/>
        </w:rPr>
        <w:t>s</w:t>
      </w:r>
      <w:r w:rsidRPr="00F466F2">
        <w:rPr>
          <w:rFonts w:eastAsiaTheme="minorEastAsia"/>
          <w:bCs/>
        </w:rPr>
        <w:t xml:space="preserve"> and </w:t>
      </w:r>
      <w:r>
        <w:rPr>
          <w:rFonts w:eastAsiaTheme="minorEastAsia"/>
          <w:bCs/>
        </w:rPr>
        <w:t xml:space="preserve">in </w:t>
      </w:r>
      <w:r w:rsidRPr="00F466F2">
        <w:rPr>
          <w:rFonts w:eastAsiaTheme="minorEastAsia"/>
          <w:bCs/>
        </w:rPr>
        <w:t xml:space="preserve">ordinary </w:t>
      </w:r>
      <w:r>
        <w:rPr>
          <w:rFonts w:eastAsiaTheme="minorEastAsia"/>
          <w:bCs/>
        </w:rPr>
        <w:t xml:space="preserve">(non-assessment) </w:t>
      </w:r>
      <w:r w:rsidRPr="00F466F2">
        <w:rPr>
          <w:rFonts w:eastAsiaTheme="minorEastAsia"/>
          <w:bCs/>
        </w:rPr>
        <w:t>year</w:t>
      </w:r>
      <w:r>
        <w:rPr>
          <w:rFonts w:eastAsiaTheme="minorEastAsia"/>
          <w:bCs/>
        </w:rPr>
        <w:t>s is</w:t>
      </w:r>
      <w:r w:rsidRPr="00F466F2">
        <w:rPr>
          <w:rFonts w:eastAsiaTheme="minorEastAsia"/>
          <w:bCs/>
        </w:rPr>
        <w:t xml:space="preserve"> shown in table 1</w:t>
      </w:r>
      <w:r>
        <w:rPr>
          <w:rFonts w:eastAsiaTheme="minorEastAsia"/>
          <w:bCs/>
        </w:rPr>
        <w:t xml:space="preserve"> (on p. 2)</w:t>
      </w:r>
      <w:r w:rsidRPr="00F466F2">
        <w:rPr>
          <w:rFonts w:eastAsiaTheme="minorEastAsia"/>
          <w:bCs/>
        </w:rPr>
        <w:t>.</w:t>
      </w:r>
    </w:p>
    <w:p w14:paraId="2F4E85C4" w14:textId="609246D5" w:rsidR="00482499" w:rsidRPr="00F466F2" w:rsidRDefault="00482499" w:rsidP="00107CDA">
      <w:pPr>
        <w:pStyle w:val="Normalnumber"/>
        <w:spacing w:before="240"/>
        <w:ind w:left="1247"/>
        <w:rPr>
          <w:rFonts w:eastAsiaTheme="minorEastAsia"/>
        </w:rPr>
      </w:pPr>
      <w:r w:rsidRPr="00F466F2">
        <w:rPr>
          <w:rFonts w:eastAsiaTheme="minorEastAsia"/>
        </w:rPr>
        <w:t xml:space="preserve">The </w:t>
      </w:r>
      <w:r w:rsidR="00FE1A06" w:rsidRPr="00F466F2">
        <w:rPr>
          <w:rFonts w:eastAsiaTheme="minorEastAsia"/>
        </w:rPr>
        <w:t>a</w:t>
      </w:r>
      <w:r w:rsidRPr="00F466F2">
        <w:rPr>
          <w:rFonts w:eastAsiaTheme="minorEastAsia"/>
        </w:rPr>
        <w:t xml:space="preserve">ssessment </w:t>
      </w:r>
      <w:r w:rsidR="00FE1A06" w:rsidRPr="00F466F2">
        <w:rPr>
          <w:rFonts w:eastAsiaTheme="minorEastAsia"/>
        </w:rPr>
        <w:t>p</w:t>
      </w:r>
      <w:r w:rsidRPr="00F466F2">
        <w:rPr>
          <w:rFonts w:eastAsiaTheme="minorEastAsia"/>
        </w:rPr>
        <w:t xml:space="preserve">anels are made up of </w:t>
      </w:r>
      <w:r w:rsidR="006F265A" w:rsidRPr="00F466F2">
        <w:rPr>
          <w:rFonts w:eastAsiaTheme="minorEastAsia"/>
        </w:rPr>
        <w:t>leading scientists and experts</w:t>
      </w:r>
      <w:r w:rsidR="00AC78FD" w:rsidRPr="00F466F2">
        <w:rPr>
          <w:rFonts w:eastAsiaTheme="minorEastAsia"/>
        </w:rPr>
        <w:t xml:space="preserve"> who generously provide their expertise and time</w:t>
      </w:r>
      <w:r w:rsidR="00103F46" w:rsidRPr="00F466F2">
        <w:rPr>
          <w:rFonts w:eastAsiaTheme="minorEastAsia"/>
        </w:rPr>
        <w:t xml:space="preserve"> to </w:t>
      </w:r>
      <w:r w:rsidR="00DD2D3D" w:rsidRPr="00F466F2">
        <w:rPr>
          <w:rFonts w:eastAsiaTheme="minorEastAsia"/>
        </w:rPr>
        <w:t xml:space="preserve">conduct assessments </w:t>
      </w:r>
      <w:r w:rsidR="00827721" w:rsidRPr="00F466F2">
        <w:rPr>
          <w:rFonts w:eastAsiaTheme="minorEastAsia"/>
        </w:rPr>
        <w:t xml:space="preserve">for the Montreal </w:t>
      </w:r>
      <w:r w:rsidR="00827721" w:rsidRPr="00973C3F">
        <w:rPr>
          <w:rFonts w:eastAsiaTheme="minorEastAsia"/>
        </w:rPr>
        <w:t>Protocol and its parties.</w:t>
      </w:r>
      <w:r w:rsidR="00B749D6" w:rsidRPr="00973C3F">
        <w:rPr>
          <w:rFonts w:eastAsiaTheme="minorEastAsia"/>
        </w:rPr>
        <w:t xml:space="preserve"> The number of scientists and experts </w:t>
      </w:r>
      <w:r w:rsidR="001037B1" w:rsidRPr="00973C3F">
        <w:rPr>
          <w:rFonts w:eastAsiaTheme="minorEastAsia"/>
        </w:rPr>
        <w:t>and the</w:t>
      </w:r>
      <w:r w:rsidR="00CC6030" w:rsidRPr="00973C3F">
        <w:rPr>
          <w:rFonts w:eastAsiaTheme="minorEastAsia"/>
        </w:rPr>
        <w:t xml:space="preserve"> </w:t>
      </w:r>
      <w:r w:rsidR="001037B1" w:rsidRPr="00360094">
        <w:rPr>
          <w:rFonts w:eastAsiaTheme="minorEastAsia"/>
        </w:rPr>
        <w:t xml:space="preserve">composition in terms of </w:t>
      </w:r>
      <w:r w:rsidR="00F1727F" w:rsidRPr="00360094">
        <w:rPr>
          <w:rFonts w:eastAsiaTheme="minorEastAsia"/>
        </w:rPr>
        <w:t>their status</w:t>
      </w:r>
      <w:r w:rsidR="00F1727F" w:rsidRPr="00973C3F">
        <w:rPr>
          <w:rFonts w:eastAsiaTheme="minorEastAsia"/>
        </w:rPr>
        <w:t xml:space="preserve"> as </w:t>
      </w:r>
      <w:r w:rsidR="00CC6030" w:rsidRPr="00973C3F">
        <w:rPr>
          <w:rFonts w:eastAsiaTheme="minorEastAsia"/>
        </w:rPr>
        <w:t xml:space="preserve">coming from Article 5 </w:t>
      </w:r>
      <w:r w:rsidR="008A6318" w:rsidRPr="00973C3F">
        <w:rPr>
          <w:rFonts w:eastAsiaTheme="minorEastAsia"/>
        </w:rPr>
        <w:t xml:space="preserve">parties </w:t>
      </w:r>
      <w:r w:rsidR="00CC6030" w:rsidRPr="00973C3F">
        <w:rPr>
          <w:rFonts w:eastAsiaTheme="minorEastAsia"/>
        </w:rPr>
        <w:t xml:space="preserve">or </w:t>
      </w:r>
      <w:r w:rsidR="008A6318" w:rsidRPr="00973C3F">
        <w:rPr>
          <w:rFonts w:eastAsiaTheme="minorEastAsia"/>
        </w:rPr>
        <w:t>parties not operating under par</w:t>
      </w:r>
      <w:r w:rsidR="0021534D" w:rsidRPr="00973C3F">
        <w:rPr>
          <w:rFonts w:eastAsiaTheme="minorEastAsia"/>
        </w:rPr>
        <w:t>a</w:t>
      </w:r>
      <w:r w:rsidR="008A6318" w:rsidRPr="00973C3F">
        <w:rPr>
          <w:rFonts w:eastAsiaTheme="minorEastAsia"/>
        </w:rPr>
        <w:t>graph 1 of</w:t>
      </w:r>
      <w:r w:rsidR="00CC6030" w:rsidRPr="00973C3F">
        <w:rPr>
          <w:rFonts w:eastAsiaTheme="minorEastAsia"/>
        </w:rPr>
        <w:t xml:space="preserve"> Article 5 </w:t>
      </w:r>
      <w:r w:rsidR="008A6318" w:rsidRPr="00973C3F">
        <w:rPr>
          <w:rFonts w:eastAsiaTheme="minorEastAsia"/>
        </w:rPr>
        <w:t>of the Protocol</w:t>
      </w:r>
      <w:r w:rsidR="004B3C12" w:rsidRPr="00F466F2">
        <w:rPr>
          <w:rFonts w:eastAsiaTheme="minorEastAsia"/>
        </w:rPr>
        <w:t xml:space="preserve"> (non-Article 5 parties)</w:t>
      </w:r>
      <w:r w:rsidR="00CC6030" w:rsidRPr="00F466F2">
        <w:rPr>
          <w:rFonts w:eastAsiaTheme="minorEastAsia"/>
        </w:rPr>
        <w:t>, for</w:t>
      </w:r>
      <w:r w:rsidR="00B749D6" w:rsidRPr="00F466F2">
        <w:rPr>
          <w:rFonts w:eastAsiaTheme="minorEastAsia"/>
        </w:rPr>
        <w:t xml:space="preserve"> each panel and </w:t>
      </w:r>
      <w:r w:rsidR="00341D18">
        <w:rPr>
          <w:rFonts w:eastAsiaTheme="minorEastAsia"/>
        </w:rPr>
        <w:t xml:space="preserve">for </w:t>
      </w:r>
      <w:r w:rsidR="009D468C">
        <w:rPr>
          <w:rFonts w:eastAsiaTheme="minorEastAsia"/>
        </w:rPr>
        <w:t>the technical options committee</w:t>
      </w:r>
      <w:r w:rsidR="00B749D6" w:rsidRPr="00F466F2">
        <w:rPr>
          <w:rFonts w:eastAsiaTheme="minorEastAsia"/>
        </w:rPr>
        <w:t>s</w:t>
      </w:r>
      <w:r w:rsidR="00341D18">
        <w:rPr>
          <w:rFonts w:eastAsiaTheme="minorEastAsia"/>
        </w:rPr>
        <w:t>,</w:t>
      </w:r>
      <w:r w:rsidR="00B749D6" w:rsidRPr="00F466F2">
        <w:rPr>
          <w:rFonts w:eastAsiaTheme="minorEastAsia"/>
        </w:rPr>
        <w:t xml:space="preserve"> </w:t>
      </w:r>
      <w:r w:rsidR="00283698" w:rsidRPr="00F466F2">
        <w:rPr>
          <w:rFonts w:eastAsiaTheme="minorEastAsia"/>
        </w:rPr>
        <w:t>are</w:t>
      </w:r>
      <w:r w:rsidR="005C4D1A" w:rsidRPr="00F466F2">
        <w:rPr>
          <w:rFonts w:eastAsiaTheme="minorEastAsia"/>
        </w:rPr>
        <w:t xml:space="preserve"> shown</w:t>
      </w:r>
      <w:r w:rsidR="00283698" w:rsidRPr="00F466F2">
        <w:rPr>
          <w:rFonts w:eastAsiaTheme="minorEastAsia"/>
        </w:rPr>
        <w:t xml:space="preserve"> in </w:t>
      </w:r>
      <w:r w:rsidR="00341D18">
        <w:rPr>
          <w:rFonts w:eastAsiaTheme="minorEastAsia"/>
        </w:rPr>
        <w:t>t</w:t>
      </w:r>
      <w:r w:rsidR="00283698" w:rsidRPr="00F466F2">
        <w:rPr>
          <w:rFonts w:eastAsiaTheme="minorEastAsia"/>
        </w:rPr>
        <w:t xml:space="preserve">able </w:t>
      </w:r>
      <w:r w:rsidR="00F969C3" w:rsidRPr="00F466F2">
        <w:rPr>
          <w:rFonts w:eastAsiaTheme="minorEastAsia"/>
        </w:rPr>
        <w:t>2</w:t>
      </w:r>
      <w:r w:rsidR="00283698" w:rsidRPr="00F466F2">
        <w:rPr>
          <w:rFonts w:eastAsiaTheme="minorEastAsia"/>
        </w:rPr>
        <w:t>.</w:t>
      </w:r>
    </w:p>
    <w:p w14:paraId="431FC0D5" w14:textId="66CF6A5E" w:rsidR="00283698" w:rsidRPr="00F466F2" w:rsidRDefault="00283698" w:rsidP="00CF704B">
      <w:pPr>
        <w:pStyle w:val="Titletable"/>
        <w:spacing w:before="240"/>
      </w:pPr>
      <w:r w:rsidRPr="00F466F2">
        <w:rPr>
          <w:b w:val="0"/>
          <w:bCs w:val="0"/>
        </w:rPr>
        <w:t xml:space="preserve">Table </w:t>
      </w:r>
      <w:r w:rsidR="00F969C3" w:rsidRPr="00F466F2">
        <w:rPr>
          <w:b w:val="0"/>
          <w:bCs w:val="0"/>
        </w:rPr>
        <w:t>2</w:t>
      </w:r>
      <w:r w:rsidRPr="00F466F2">
        <w:rPr>
          <w:b w:val="0"/>
          <w:bCs w:val="0"/>
        </w:rPr>
        <w:t xml:space="preserve"> </w:t>
      </w:r>
      <w:r w:rsidR="004F118B" w:rsidRPr="00F466F2">
        <w:rPr>
          <w:b w:val="0"/>
          <w:bCs w:val="0"/>
        </w:rPr>
        <w:br/>
      </w:r>
      <w:r w:rsidR="00341D18">
        <w:t>Composition of panel</w:t>
      </w:r>
      <w:r w:rsidR="009227A6">
        <w:t>s</w:t>
      </w:r>
      <w:r w:rsidR="00341D18">
        <w:t xml:space="preserve"> and </w:t>
      </w:r>
      <w:r w:rsidR="00CD6C5E">
        <w:t>technical options committee</w:t>
      </w:r>
      <w:r w:rsidR="009227A6">
        <w:t>s</w:t>
      </w:r>
      <w:r w:rsidR="00341D18">
        <w:t xml:space="preserve"> in 2026</w:t>
      </w:r>
    </w:p>
    <w:tbl>
      <w:tblPr>
        <w:tblStyle w:val="TableGrid"/>
        <w:tblW w:w="0" w:type="auto"/>
        <w:tblInd w:w="1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1321"/>
        <w:gridCol w:w="1979"/>
        <w:gridCol w:w="1560"/>
        <w:gridCol w:w="2262"/>
      </w:tblGrid>
      <w:tr w:rsidR="00197ADC" w:rsidRPr="00F466F2" w14:paraId="3CCA0243" w14:textId="77777777" w:rsidTr="006B6896">
        <w:tc>
          <w:tcPr>
            <w:tcW w:w="1117" w:type="dxa"/>
            <w:tcBorders>
              <w:top w:val="single" w:sz="4" w:space="0" w:color="000000"/>
              <w:bottom w:val="single" w:sz="12" w:space="0" w:color="000000"/>
            </w:tcBorders>
            <w:vAlign w:val="bottom"/>
          </w:tcPr>
          <w:p w14:paraId="614F33C5" w14:textId="77777777" w:rsidR="00197ADC" w:rsidRPr="00F466F2" w:rsidRDefault="00197ADC" w:rsidP="00CF704B">
            <w:pPr>
              <w:pStyle w:val="Normal-pool-Table"/>
              <w:rPr>
                <w:rFonts w:eastAsiaTheme="minorEastAsia"/>
              </w:rPr>
            </w:pPr>
          </w:p>
        </w:tc>
        <w:tc>
          <w:tcPr>
            <w:tcW w:w="1321" w:type="dxa"/>
            <w:tcBorders>
              <w:top w:val="single" w:sz="4" w:space="0" w:color="000000"/>
              <w:bottom w:val="single" w:sz="12" w:space="0" w:color="000000"/>
            </w:tcBorders>
            <w:vAlign w:val="bottom"/>
          </w:tcPr>
          <w:p w14:paraId="4FC7B60C" w14:textId="29CE2523" w:rsidR="00197ADC" w:rsidRPr="0003322C" w:rsidRDefault="00631490" w:rsidP="00CD6600">
            <w:pPr>
              <w:pStyle w:val="Normal-pool-Table"/>
              <w:jc w:val="right"/>
              <w:rPr>
                <w:rFonts w:eastAsiaTheme="minorEastAsia"/>
                <w:i/>
                <w:iCs/>
              </w:rPr>
            </w:pPr>
            <w:r w:rsidRPr="0003322C">
              <w:rPr>
                <w:rFonts w:eastAsiaTheme="minorEastAsia"/>
                <w:i/>
                <w:iCs/>
              </w:rPr>
              <w:t>Total n</w:t>
            </w:r>
            <w:r w:rsidR="00197ADC" w:rsidRPr="0003322C">
              <w:rPr>
                <w:rFonts w:eastAsiaTheme="minorEastAsia"/>
                <w:i/>
                <w:iCs/>
              </w:rPr>
              <w:t>o</w:t>
            </w:r>
            <w:r w:rsidR="00C239FB" w:rsidRPr="0003322C">
              <w:rPr>
                <w:rFonts w:eastAsiaTheme="minorEastAsia"/>
                <w:i/>
                <w:iCs/>
              </w:rPr>
              <w:t>.</w:t>
            </w:r>
            <w:r w:rsidR="00197ADC" w:rsidRPr="0003322C">
              <w:rPr>
                <w:rFonts w:eastAsiaTheme="minorEastAsia"/>
                <w:i/>
                <w:iCs/>
              </w:rPr>
              <w:t xml:space="preserve"> of </w:t>
            </w:r>
            <w:r w:rsidR="00BA1F07" w:rsidRPr="0003322C">
              <w:rPr>
                <w:rFonts w:eastAsiaTheme="minorEastAsia"/>
                <w:i/>
                <w:iCs/>
              </w:rPr>
              <w:t>co</w:t>
            </w:r>
            <w:r w:rsidR="00BA1F07" w:rsidRPr="0003322C">
              <w:rPr>
                <w:rFonts w:eastAsiaTheme="minorEastAsia"/>
                <w:i/>
                <w:iCs/>
              </w:rPr>
              <w:noBreakHyphen/>
            </w:r>
            <w:r w:rsidR="00197ADC" w:rsidRPr="0003322C">
              <w:rPr>
                <w:rFonts w:eastAsiaTheme="minorEastAsia"/>
                <w:i/>
                <w:iCs/>
              </w:rPr>
              <w:t>chairs</w:t>
            </w:r>
          </w:p>
        </w:tc>
        <w:tc>
          <w:tcPr>
            <w:tcW w:w="1979" w:type="dxa"/>
            <w:tcBorders>
              <w:top w:val="single" w:sz="4" w:space="0" w:color="000000"/>
              <w:bottom w:val="single" w:sz="12" w:space="0" w:color="000000"/>
            </w:tcBorders>
            <w:vAlign w:val="bottom"/>
          </w:tcPr>
          <w:p w14:paraId="7EA03C3A" w14:textId="3E1DAD85" w:rsidR="00197ADC" w:rsidRPr="0003322C" w:rsidRDefault="00C239FB" w:rsidP="00CF704B">
            <w:pPr>
              <w:pStyle w:val="Normal-pool-Table"/>
              <w:rPr>
                <w:rFonts w:eastAsiaTheme="minorEastAsia"/>
                <w:i/>
                <w:iCs/>
              </w:rPr>
            </w:pPr>
            <w:r w:rsidRPr="0003322C">
              <w:rPr>
                <w:rFonts w:eastAsiaTheme="minorEastAsia"/>
                <w:i/>
                <w:iCs/>
              </w:rPr>
              <w:t xml:space="preserve">No. of A5 and non-A5 </w:t>
            </w:r>
            <w:r w:rsidR="007F3E92" w:rsidRPr="0003322C">
              <w:rPr>
                <w:rFonts w:eastAsiaTheme="minorEastAsia"/>
                <w:i/>
                <w:iCs/>
              </w:rPr>
              <w:t>co-chairs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12" w:space="0" w:color="000000"/>
            </w:tcBorders>
            <w:vAlign w:val="bottom"/>
          </w:tcPr>
          <w:p w14:paraId="368200A2" w14:textId="13969445" w:rsidR="00197ADC" w:rsidRPr="0003322C" w:rsidRDefault="00631490" w:rsidP="00CD6600">
            <w:pPr>
              <w:pStyle w:val="Normal-pool-Table"/>
              <w:jc w:val="right"/>
              <w:rPr>
                <w:rFonts w:eastAsiaTheme="minorEastAsia"/>
                <w:i/>
                <w:iCs/>
              </w:rPr>
            </w:pPr>
            <w:r w:rsidRPr="0003322C">
              <w:rPr>
                <w:rFonts w:eastAsiaTheme="minorEastAsia"/>
                <w:i/>
                <w:iCs/>
              </w:rPr>
              <w:t>Total n</w:t>
            </w:r>
            <w:r w:rsidR="003A4E6C" w:rsidRPr="0003322C">
              <w:rPr>
                <w:rFonts w:eastAsiaTheme="minorEastAsia"/>
                <w:i/>
                <w:iCs/>
              </w:rPr>
              <w:t>o</w:t>
            </w:r>
            <w:r w:rsidR="00C239FB" w:rsidRPr="0003322C">
              <w:rPr>
                <w:rFonts w:eastAsiaTheme="minorEastAsia"/>
                <w:i/>
                <w:iCs/>
              </w:rPr>
              <w:t>.</w:t>
            </w:r>
            <w:r w:rsidR="003A4E6C" w:rsidRPr="0003322C">
              <w:rPr>
                <w:rFonts w:eastAsiaTheme="minorEastAsia"/>
                <w:i/>
                <w:iCs/>
              </w:rPr>
              <w:t xml:space="preserve"> of members</w:t>
            </w:r>
          </w:p>
        </w:tc>
        <w:tc>
          <w:tcPr>
            <w:tcW w:w="2262" w:type="dxa"/>
            <w:tcBorders>
              <w:top w:val="single" w:sz="4" w:space="0" w:color="000000"/>
              <w:bottom w:val="single" w:sz="12" w:space="0" w:color="000000"/>
            </w:tcBorders>
            <w:vAlign w:val="bottom"/>
          </w:tcPr>
          <w:p w14:paraId="345F0831" w14:textId="599C7816" w:rsidR="00197ADC" w:rsidRPr="0003322C" w:rsidRDefault="007F3E92" w:rsidP="00CF704B">
            <w:pPr>
              <w:pStyle w:val="Normal-pool-Table"/>
              <w:rPr>
                <w:rFonts w:eastAsiaTheme="minorEastAsia"/>
                <w:i/>
                <w:iCs/>
              </w:rPr>
            </w:pPr>
            <w:r w:rsidRPr="0003322C">
              <w:rPr>
                <w:rFonts w:eastAsiaTheme="minorEastAsia"/>
                <w:i/>
                <w:iCs/>
              </w:rPr>
              <w:t xml:space="preserve">No. of A5 and </w:t>
            </w:r>
            <w:r w:rsidR="00AC0CD1" w:rsidRPr="0003322C">
              <w:rPr>
                <w:rFonts w:eastAsiaTheme="minorEastAsia"/>
                <w:i/>
                <w:iCs/>
              </w:rPr>
              <w:t>non</w:t>
            </w:r>
            <w:r w:rsidR="00AC0CD1" w:rsidRPr="0003322C">
              <w:rPr>
                <w:rFonts w:eastAsiaTheme="minorEastAsia"/>
                <w:i/>
                <w:iCs/>
              </w:rPr>
              <w:noBreakHyphen/>
            </w:r>
            <w:r w:rsidRPr="0003322C">
              <w:rPr>
                <w:rFonts w:eastAsiaTheme="minorEastAsia"/>
                <w:i/>
                <w:iCs/>
              </w:rPr>
              <w:t xml:space="preserve">A5 </w:t>
            </w:r>
            <w:r w:rsidR="006F282C" w:rsidRPr="0003322C">
              <w:rPr>
                <w:rFonts w:eastAsiaTheme="minorEastAsia"/>
                <w:i/>
                <w:iCs/>
              </w:rPr>
              <w:t>members</w:t>
            </w:r>
          </w:p>
        </w:tc>
      </w:tr>
      <w:tr w:rsidR="00197ADC" w:rsidRPr="00F466F2" w14:paraId="641DBE76" w14:textId="77777777" w:rsidTr="00107CDA">
        <w:tc>
          <w:tcPr>
            <w:tcW w:w="1117" w:type="dxa"/>
            <w:tcBorders>
              <w:top w:val="single" w:sz="12" w:space="0" w:color="000000"/>
              <w:bottom w:val="single" w:sz="4" w:space="0" w:color="000000"/>
            </w:tcBorders>
          </w:tcPr>
          <w:p w14:paraId="2CC5A29A" w14:textId="0121319A" w:rsidR="00197ADC" w:rsidRPr="00F466F2" w:rsidRDefault="00197ADC" w:rsidP="00CF704B">
            <w:pPr>
              <w:pStyle w:val="Normal-pool-Table"/>
              <w:rPr>
                <w:rFonts w:eastAsiaTheme="minorEastAsia"/>
                <w:b/>
                <w:bCs/>
              </w:rPr>
            </w:pPr>
            <w:r w:rsidRPr="00F466F2">
              <w:rPr>
                <w:rFonts w:eastAsiaTheme="minorEastAsia"/>
                <w:b/>
                <w:bCs/>
              </w:rPr>
              <w:t>SAP</w:t>
            </w:r>
          </w:p>
        </w:tc>
        <w:tc>
          <w:tcPr>
            <w:tcW w:w="1321" w:type="dxa"/>
            <w:tcBorders>
              <w:top w:val="single" w:sz="12" w:space="0" w:color="000000"/>
              <w:bottom w:val="single" w:sz="4" w:space="0" w:color="000000"/>
            </w:tcBorders>
          </w:tcPr>
          <w:p w14:paraId="1A94BC02" w14:textId="4A8871E2" w:rsidR="00197ADC" w:rsidRPr="00F466F2" w:rsidRDefault="002D2901" w:rsidP="00CD6600">
            <w:pPr>
              <w:pStyle w:val="Normal-pool-Table"/>
              <w:jc w:val="right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4</w:t>
            </w:r>
          </w:p>
        </w:tc>
        <w:tc>
          <w:tcPr>
            <w:tcW w:w="1979" w:type="dxa"/>
            <w:tcBorders>
              <w:top w:val="single" w:sz="12" w:space="0" w:color="000000"/>
              <w:bottom w:val="single" w:sz="4" w:space="0" w:color="000000"/>
            </w:tcBorders>
          </w:tcPr>
          <w:p w14:paraId="72C10F28" w14:textId="79CADDD2" w:rsidR="00400D1E" w:rsidRPr="00F466F2" w:rsidRDefault="00E462ED" w:rsidP="00CF704B">
            <w:pPr>
              <w:pStyle w:val="Normal-pool-Table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1</w:t>
            </w:r>
            <w:r w:rsidR="00766EB4" w:rsidRPr="00F466F2">
              <w:rPr>
                <w:rFonts w:eastAsiaTheme="minorEastAsia"/>
              </w:rPr>
              <w:t xml:space="preserve"> </w:t>
            </w:r>
            <w:r w:rsidR="00400D1E" w:rsidRPr="00F466F2">
              <w:rPr>
                <w:rFonts w:eastAsiaTheme="minorEastAsia"/>
              </w:rPr>
              <w:t>A5</w:t>
            </w:r>
            <w:r w:rsidR="00400D1E" w:rsidRPr="00F466F2">
              <w:rPr>
                <w:rFonts w:eastAsiaTheme="minorEastAsia"/>
              </w:rPr>
              <w:br/>
            </w:r>
            <w:r w:rsidRPr="00F466F2">
              <w:rPr>
                <w:rFonts w:eastAsiaTheme="minorEastAsia"/>
              </w:rPr>
              <w:t>3</w:t>
            </w:r>
            <w:r w:rsidR="00766EB4" w:rsidRPr="00F466F2">
              <w:rPr>
                <w:rFonts w:eastAsiaTheme="minorEastAsia"/>
              </w:rPr>
              <w:t xml:space="preserve"> </w:t>
            </w:r>
            <w:r w:rsidR="00400D1E" w:rsidRPr="00F466F2">
              <w:rPr>
                <w:rFonts w:eastAsiaTheme="minorEastAsia"/>
              </w:rPr>
              <w:t>non-A5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000000"/>
            </w:tcBorders>
          </w:tcPr>
          <w:p w14:paraId="34FBB4C1" w14:textId="2618A2AA" w:rsidR="00197ADC" w:rsidRPr="00F466F2" w:rsidRDefault="003E5069" w:rsidP="00CD6600">
            <w:pPr>
              <w:pStyle w:val="Normal-pool-Table"/>
              <w:jc w:val="right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66</w:t>
            </w:r>
            <w:r w:rsidR="00AE1D50" w:rsidRPr="00F466F2">
              <w:rPr>
                <w:rFonts w:eastAsiaTheme="minorEastAsia"/>
              </w:rPr>
              <w:t>*</w:t>
            </w:r>
          </w:p>
        </w:tc>
        <w:tc>
          <w:tcPr>
            <w:tcW w:w="2262" w:type="dxa"/>
            <w:tcBorders>
              <w:top w:val="single" w:sz="12" w:space="0" w:color="000000"/>
              <w:bottom w:val="single" w:sz="4" w:space="0" w:color="000000"/>
            </w:tcBorders>
          </w:tcPr>
          <w:p w14:paraId="37521C8A" w14:textId="593AE795" w:rsidR="00197ADC" w:rsidRPr="00F466F2" w:rsidRDefault="0097523F" w:rsidP="00CF704B">
            <w:pPr>
              <w:pStyle w:val="Normal-pool-Table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 xml:space="preserve">6 </w:t>
            </w:r>
            <w:r w:rsidR="00766EB4" w:rsidRPr="00F466F2">
              <w:rPr>
                <w:rFonts w:eastAsiaTheme="minorEastAsia"/>
              </w:rPr>
              <w:t>A5</w:t>
            </w:r>
            <w:r w:rsidR="00766EB4" w:rsidRPr="00F466F2">
              <w:rPr>
                <w:rFonts w:eastAsiaTheme="minorEastAsia"/>
              </w:rPr>
              <w:br/>
            </w:r>
            <w:r w:rsidRPr="00F466F2">
              <w:rPr>
                <w:rFonts w:eastAsiaTheme="minorEastAsia"/>
              </w:rPr>
              <w:t xml:space="preserve">60 </w:t>
            </w:r>
            <w:r w:rsidR="00766EB4" w:rsidRPr="00F466F2">
              <w:rPr>
                <w:rFonts w:eastAsiaTheme="minorEastAsia"/>
              </w:rPr>
              <w:t>non-A5</w:t>
            </w:r>
            <w:r w:rsidR="00D57C24" w:rsidRPr="00F466F2">
              <w:rPr>
                <w:rFonts w:eastAsiaTheme="minorEastAsia"/>
              </w:rPr>
              <w:t xml:space="preserve"> and others</w:t>
            </w:r>
          </w:p>
        </w:tc>
      </w:tr>
      <w:tr w:rsidR="00197ADC" w:rsidRPr="00F466F2" w14:paraId="439333A4" w14:textId="77777777" w:rsidTr="00107CDA"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</w:tcPr>
          <w:p w14:paraId="64209705" w14:textId="3F8ED976" w:rsidR="00197ADC" w:rsidRPr="00F466F2" w:rsidRDefault="00197ADC" w:rsidP="00CF704B">
            <w:pPr>
              <w:pStyle w:val="Normal-pool-Table"/>
              <w:rPr>
                <w:rFonts w:eastAsiaTheme="minorEastAsia"/>
                <w:b/>
                <w:bCs/>
              </w:rPr>
            </w:pPr>
            <w:r w:rsidRPr="00F466F2">
              <w:rPr>
                <w:rFonts w:eastAsiaTheme="minorEastAsia"/>
                <w:b/>
                <w:bCs/>
              </w:rPr>
              <w:t>EEAP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 w14:paraId="7874C46E" w14:textId="54CBC888" w:rsidR="00197ADC" w:rsidRPr="00F466F2" w:rsidRDefault="002D2901" w:rsidP="00CD6600">
            <w:pPr>
              <w:pStyle w:val="Normal-pool-Table"/>
              <w:jc w:val="right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bottom w:val="single" w:sz="4" w:space="0" w:color="000000"/>
            </w:tcBorders>
          </w:tcPr>
          <w:p w14:paraId="581DFF67" w14:textId="28D6CA31" w:rsidR="00197ADC" w:rsidRPr="00F466F2" w:rsidRDefault="002E6393" w:rsidP="00CF704B">
            <w:pPr>
              <w:pStyle w:val="Normal-pool-Table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0</w:t>
            </w:r>
            <w:r w:rsidR="00766EB4" w:rsidRPr="00F466F2">
              <w:rPr>
                <w:rFonts w:eastAsiaTheme="minorEastAsia"/>
              </w:rPr>
              <w:t xml:space="preserve"> A5</w:t>
            </w:r>
            <w:r w:rsidR="00766EB4" w:rsidRPr="00F466F2">
              <w:rPr>
                <w:rFonts w:eastAsiaTheme="minorEastAsia"/>
              </w:rPr>
              <w:br/>
            </w:r>
            <w:r w:rsidRPr="00F466F2">
              <w:rPr>
                <w:rFonts w:eastAsiaTheme="minorEastAsia"/>
              </w:rPr>
              <w:t>2</w:t>
            </w:r>
            <w:r w:rsidR="00766EB4" w:rsidRPr="00F466F2">
              <w:rPr>
                <w:rFonts w:eastAsiaTheme="minorEastAsia"/>
              </w:rPr>
              <w:t xml:space="preserve"> non-A5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514E9912" w14:textId="63DDB03B" w:rsidR="00197ADC" w:rsidRPr="00F466F2" w:rsidRDefault="00216176" w:rsidP="00CD6600">
            <w:pPr>
              <w:pStyle w:val="Normal-pool-Table"/>
              <w:jc w:val="right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32</w:t>
            </w:r>
          </w:p>
        </w:tc>
        <w:tc>
          <w:tcPr>
            <w:tcW w:w="2262" w:type="dxa"/>
            <w:tcBorders>
              <w:top w:val="single" w:sz="4" w:space="0" w:color="000000"/>
              <w:bottom w:val="single" w:sz="4" w:space="0" w:color="000000"/>
            </w:tcBorders>
          </w:tcPr>
          <w:p w14:paraId="4F5323DA" w14:textId="4F406701" w:rsidR="00197ADC" w:rsidRPr="00F466F2" w:rsidRDefault="00E771A7" w:rsidP="00CF704B">
            <w:pPr>
              <w:pStyle w:val="Normal-pool-Table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6</w:t>
            </w:r>
            <w:r w:rsidR="00766EB4" w:rsidRPr="00F466F2">
              <w:rPr>
                <w:rFonts w:eastAsiaTheme="minorEastAsia"/>
              </w:rPr>
              <w:t xml:space="preserve"> A5</w:t>
            </w:r>
            <w:r w:rsidR="00766EB4" w:rsidRPr="00F466F2">
              <w:rPr>
                <w:rFonts w:eastAsiaTheme="minorEastAsia"/>
              </w:rPr>
              <w:br/>
            </w:r>
            <w:r w:rsidRPr="00F466F2">
              <w:rPr>
                <w:rFonts w:eastAsiaTheme="minorEastAsia"/>
              </w:rPr>
              <w:t>26</w:t>
            </w:r>
            <w:r w:rsidR="00766EB4" w:rsidRPr="00F466F2">
              <w:rPr>
                <w:rFonts w:eastAsiaTheme="minorEastAsia"/>
              </w:rPr>
              <w:t xml:space="preserve"> non-A5</w:t>
            </w:r>
          </w:p>
        </w:tc>
      </w:tr>
      <w:tr w:rsidR="00197ADC" w:rsidRPr="00F466F2" w14:paraId="7FF1C32E" w14:textId="77777777" w:rsidTr="00107CDA"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</w:tcPr>
          <w:p w14:paraId="0131056E" w14:textId="610DD772" w:rsidR="00197ADC" w:rsidRPr="00F466F2" w:rsidRDefault="00197ADC" w:rsidP="00CF704B">
            <w:pPr>
              <w:pStyle w:val="Normal-pool-Table"/>
              <w:rPr>
                <w:rFonts w:eastAsiaTheme="minorEastAsia"/>
                <w:b/>
                <w:bCs/>
              </w:rPr>
            </w:pPr>
            <w:r w:rsidRPr="00F466F2">
              <w:rPr>
                <w:rFonts w:eastAsiaTheme="minorEastAsia"/>
                <w:b/>
                <w:bCs/>
              </w:rPr>
              <w:t>TEAP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 w14:paraId="70D891C4" w14:textId="2EC3A3D2" w:rsidR="00197ADC" w:rsidRPr="00F466F2" w:rsidRDefault="002D2901" w:rsidP="00CD6600">
            <w:pPr>
              <w:pStyle w:val="Normal-pool-Table"/>
              <w:jc w:val="right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bottom w:val="single" w:sz="4" w:space="0" w:color="000000"/>
            </w:tcBorders>
          </w:tcPr>
          <w:p w14:paraId="12D1CBCE" w14:textId="33AD7BC8" w:rsidR="00197ADC" w:rsidRPr="00F466F2" w:rsidRDefault="002E6393" w:rsidP="00CF704B">
            <w:pPr>
              <w:pStyle w:val="Normal-pool-Table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1</w:t>
            </w:r>
            <w:r w:rsidR="00766EB4" w:rsidRPr="00F466F2">
              <w:rPr>
                <w:rFonts w:eastAsiaTheme="minorEastAsia"/>
              </w:rPr>
              <w:t xml:space="preserve"> A5</w:t>
            </w:r>
            <w:r w:rsidR="00766EB4" w:rsidRPr="00F466F2">
              <w:rPr>
                <w:rFonts w:eastAsiaTheme="minorEastAsia"/>
              </w:rPr>
              <w:br/>
            </w:r>
            <w:r w:rsidRPr="00F466F2">
              <w:rPr>
                <w:rFonts w:eastAsiaTheme="minorEastAsia"/>
              </w:rPr>
              <w:t>2</w:t>
            </w:r>
            <w:r w:rsidR="00766EB4" w:rsidRPr="00F466F2">
              <w:rPr>
                <w:rFonts w:eastAsiaTheme="minorEastAsia"/>
              </w:rPr>
              <w:t xml:space="preserve"> non-A5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50AA012F" w14:textId="6702381A" w:rsidR="00197ADC" w:rsidRPr="00F466F2" w:rsidRDefault="00216176" w:rsidP="00CD6600">
            <w:pPr>
              <w:pStyle w:val="Normal-pool-Table"/>
              <w:jc w:val="right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19</w:t>
            </w:r>
          </w:p>
        </w:tc>
        <w:tc>
          <w:tcPr>
            <w:tcW w:w="2262" w:type="dxa"/>
            <w:tcBorders>
              <w:top w:val="single" w:sz="4" w:space="0" w:color="000000"/>
              <w:bottom w:val="single" w:sz="4" w:space="0" w:color="000000"/>
            </w:tcBorders>
          </w:tcPr>
          <w:p w14:paraId="24FC5912" w14:textId="441D9AD4" w:rsidR="00197ADC" w:rsidRPr="00F466F2" w:rsidRDefault="008505D1" w:rsidP="00CF704B">
            <w:pPr>
              <w:pStyle w:val="Normal-pool-Table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9</w:t>
            </w:r>
            <w:r w:rsidR="00766EB4" w:rsidRPr="00F466F2">
              <w:rPr>
                <w:rFonts w:eastAsiaTheme="minorEastAsia"/>
              </w:rPr>
              <w:t xml:space="preserve"> A5</w:t>
            </w:r>
            <w:r w:rsidR="00766EB4" w:rsidRPr="00F466F2">
              <w:rPr>
                <w:rFonts w:eastAsiaTheme="minorEastAsia"/>
              </w:rPr>
              <w:br/>
              <w:t>1</w:t>
            </w:r>
            <w:r w:rsidRPr="00F466F2">
              <w:rPr>
                <w:rFonts w:eastAsiaTheme="minorEastAsia"/>
              </w:rPr>
              <w:t>0</w:t>
            </w:r>
            <w:r w:rsidR="00766EB4" w:rsidRPr="00F466F2">
              <w:rPr>
                <w:rFonts w:eastAsiaTheme="minorEastAsia"/>
              </w:rPr>
              <w:t xml:space="preserve"> non-A5</w:t>
            </w:r>
          </w:p>
        </w:tc>
      </w:tr>
      <w:tr w:rsidR="00197ADC" w:rsidRPr="00F466F2" w14:paraId="6AD4689D" w14:textId="77777777" w:rsidTr="00107CDA"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</w:tcPr>
          <w:p w14:paraId="72C556E5" w14:textId="2D51BCA9" w:rsidR="00197ADC" w:rsidRPr="00F466F2" w:rsidRDefault="00197ADC" w:rsidP="00CF704B">
            <w:pPr>
              <w:pStyle w:val="Normal-pool-Table"/>
              <w:rPr>
                <w:rFonts w:eastAsiaTheme="minorEastAsia"/>
                <w:b/>
                <w:bCs/>
              </w:rPr>
            </w:pPr>
            <w:r w:rsidRPr="00F466F2">
              <w:rPr>
                <w:rFonts w:eastAsiaTheme="minorEastAsia"/>
                <w:b/>
                <w:bCs/>
              </w:rPr>
              <w:t>FTOC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 w14:paraId="379F67EC" w14:textId="16F40517" w:rsidR="00197ADC" w:rsidRPr="00F466F2" w:rsidRDefault="005B2B68" w:rsidP="00CD6600">
            <w:pPr>
              <w:pStyle w:val="Normal-pool-Table"/>
              <w:jc w:val="right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bottom w:val="single" w:sz="4" w:space="0" w:color="000000"/>
            </w:tcBorders>
          </w:tcPr>
          <w:p w14:paraId="2AB075DA" w14:textId="42053DDB" w:rsidR="00197ADC" w:rsidRPr="00F466F2" w:rsidRDefault="00E462ED" w:rsidP="00CF704B">
            <w:pPr>
              <w:pStyle w:val="Normal-pool-Table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1</w:t>
            </w:r>
            <w:r w:rsidR="00766EB4" w:rsidRPr="00F466F2">
              <w:rPr>
                <w:rFonts w:eastAsiaTheme="minorEastAsia"/>
              </w:rPr>
              <w:t xml:space="preserve"> A5</w:t>
            </w:r>
            <w:r w:rsidR="00766EB4" w:rsidRPr="00F466F2">
              <w:rPr>
                <w:rFonts w:eastAsiaTheme="minorEastAsia"/>
              </w:rPr>
              <w:br/>
              <w:t>1 non-A5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17A377CB" w14:textId="290591F9" w:rsidR="00197ADC" w:rsidRPr="00F466F2" w:rsidRDefault="00216176" w:rsidP="00CD6600">
            <w:pPr>
              <w:pStyle w:val="Normal-pool-Table"/>
              <w:jc w:val="right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17</w:t>
            </w:r>
          </w:p>
        </w:tc>
        <w:tc>
          <w:tcPr>
            <w:tcW w:w="2262" w:type="dxa"/>
            <w:tcBorders>
              <w:top w:val="single" w:sz="4" w:space="0" w:color="000000"/>
              <w:bottom w:val="single" w:sz="4" w:space="0" w:color="000000"/>
            </w:tcBorders>
          </w:tcPr>
          <w:p w14:paraId="75377019" w14:textId="6E67EBCE" w:rsidR="00197ADC" w:rsidRPr="00F466F2" w:rsidRDefault="006D0253" w:rsidP="00CF704B">
            <w:pPr>
              <w:pStyle w:val="Normal-pool-Table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7</w:t>
            </w:r>
            <w:r w:rsidR="00766EB4" w:rsidRPr="00F466F2">
              <w:rPr>
                <w:rFonts w:eastAsiaTheme="minorEastAsia"/>
              </w:rPr>
              <w:t xml:space="preserve"> A5</w:t>
            </w:r>
            <w:r w:rsidR="00766EB4" w:rsidRPr="00F466F2">
              <w:rPr>
                <w:rFonts w:eastAsiaTheme="minorEastAsia"/>
              </w:rPr>
              <w:br/>
              <w:t>1</w:t>
            </w:r>
            <w:r w:rsidRPr="00F466F2">
              <w:rPr>
                <w:rFonts w:eastAsiaTheme="minorEastAsia"/>
              </w:rPr>
              <w:t>0</w:t>
            </w:r>
            <w:r w:rsidR="00766EB4" w:rsidRPr="00F466F2">
              <w:rPr>
                <w:rFonts w:eastAsiaTheme="minorEastAsia"/>
              </w:rPr>
              <w:t xml:space="preserve"> non-A5</w:t>
            </w:r>
          </w:p>
        </w:tc>
      </w:tr>
      <w:tr w:rsidR="00197ADC" w:rsidRPr="00F466F2" w14:paraId="1A64411D" w14:textId="77777777" w:rsidTr="00107CDA"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</w:tcPr>
          <w:p w14:paraId="48807656" w14:textId="1C71B367" w:rsidR="00197ADC" w:rsidRPr="00F466F2" w:rsidRDefault="00197ADC" w:rsidP="00CF704B">
            <w:pPr>
              <w:pStyle w:val="Normal-pool-Table"/>
              <w:rPr>
                <w:rFonts w:eastAsiaTheme="minorEastAsia"/>
                <w:b/>
                <w:bCs/>
              </w:rPr>
            </w:pPr>
            <w:r w:rsidRPr="00F466F2">
              <w:rPr>
                <w:rFonts w:eastAsiaTheme="minorEastAsia"/>
                <w:b/>
                <w:bCs/>
              </w:rPr>
              <w:t>FSTOC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 w14:paraId="35710A63" w14:textId="5E45E514" w:rsidR="00197ADC" w:rsidRPr="00F466F2" w:rsidRDefault="002D2901" w:rsidP="00CD6600">
            <w:pPr>
              <w:pStyle w:val="Normal-pool-Table"/>
              <w:jc w:val="right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bottom w:val="single" w:sz="4" w:space="0" w:color="000000"/>
            </w:tcBorders>
          </w:tcPr>
          <w:p w14:paraId="05A96B70" w14:textId="194F3E9F" w:rsidR="00197ADC" w:rsidRPr="00F466F2" w:rsidRDefault="00E462ED" w:rsidP="00CF704B">
            <w:pPr>
              <w:pStyle w:val="Normal-pool-Table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0</w:t>
            </w:r>
            <w:r w:rsidR="00766EB4" w:rsidRPr="00F466F2">
              <w:rPr>
                <w:rFonts w:eastAsiaTheme="minorEastAsia"/>
              </w:rPr>
              <w:t xml:space="preserve"> A5</w:t>
            </w:r>
            <w:r w:rsidR="00766EB4" w:rsidRPr="00F466F2">
              <w:rPr>
                <w:rFonts w:eastAsiaTheme="minorEastAsia"/>
              </w:rPr>
              <w:br/>
            </w:r>
            <w:r w:rsidRPr="00F466F2">
              <w:rPr>
                <w:rFonts w:eastAsiaTheme="minorEastAsia"/>
              </w:rPr>
              <w:t>2</w:t>
            </w:r>
            <w:r w:rsidR="00766EB4" w:rsidRPr="00F466F2">
              <w:rPr>
                <w:rFonts w:eastAsiaTheme="minorEastAsia"/>
              </w:rPr>
              <w:t xml:space="preserve"> non-A5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348904C" w14:textId="7014AE92" w:rsidR="00197ADC" w:rsidRPr="00F466F2" w:rsidRDefault="002D5697" w:rsidP="00CD6600">
            <w:pPr>
              <w:pStyle w:val="Normal-pool-Table"/>
              <w:jc w:val="right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18</w:t>
            </w:r>
          </w:p>
        </w:tc>
        <w:tc>
          <w:tcPr>
            <w:tcW w:w="2262" w:type="dxa"/>
            <w:tcBorders>
              <w:top w:val="single" w:sz="4" w:space="0" w:color="000000"/>
              <w:bottom w:val="single" w:sz="4" w:space="0" w:color="000000"/>
            </w:tcBorders>
          </w:tcPr>
          <w:p w14:paraId="11D458ED" w14:textId="592AFC0E" w:rsidR="00197ADC" w:rsidRPr="00F466F2" w:rsidRDefault="00694A91" w:rsidP="00CF704B">
            <w:pPr>
              <w:pStyle w:val="Normal-pool-Table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9</w:t>
            </w:r>
            <w:r w:rsidR="00766EB4" w:rsidRPr="00F466F2">
              <w:rPr>
                <w:rFonts w:eastAsiaTheme="minorEastAsia"/>
              </w:rPr>
              <w:t xml:space="preserve"> A5</w:t>
            </w:r>
            <w:r w:rsidR="00766EB4" w:rsidRPr="00F466F2">
              <w:rPr>
                <w:rFonts w:eastAsiaTheme="minorEastAsia"/>
              </w:rPr>
              <w:br/>
            </w:r>
            <w:r w:rsidRPr="00F466F2">
              <w:rPr>
                <w:rFonts w:eastAsiaTheme="minorEastAsia"/>
              </w:rPr>
              <w:t>9</w:t>
            </w:r>
            <w:r w:rsidR="00766EB4" w:rsidRPr="00F466F2">
              <w:rPr>
                <w:rFonts w:eastAsiaTheme="minorEastAsia"/>
              </w:rPr>
              <w:t xml:space="preserve"> non-A5</w:t>
            </w:r>
          </w:p>
        </w:tc>
      </w:tr>
      <w:tr w:rsidR="00197ADC" w:rsidRPr="00F466F2" w14:paraId="3603F3BB" w14:textId="77777777" w:rsidTr="00107CDA"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</w:tcPr>
          <w:p w14:paraId="01A8E681" w14:textId="7353F756" w:rsidR="00197ADC" w:rsidRPr="00F466F2" w:rsidRDefault="00197ADC" w:rsidP="00CF704B">
            <w:pPr>
              <w:pStyle w:val="Normal-pool-Table"/>
              <w:rPr>
                <w:rFonts w:eastAsiaTheme="minorEastAsia"/>
                <w:b/>
                <w:bCs/>
              </w:rPr>
            </w:pPr>
            <w:r w:rsidRPr="00F466F2">
              <w:rPr>
                <w:rFonts w:eastAsiaTheme="minorEastAsia"/>
                <w:b/>
                <w:bCs/>
              </w:rPr>
              <w:t>MCTOC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 w14:paraId="33F918FA" w14:textId="5F1FBED6" w:rsidR="00197ADC" w:rsidRPr="00F466F2" w:rsidRDefault="005B2B68" w:rsidP="00CD6600">
            <w:pPr>
              <w:pStyle w:val="Normal-pool-Table"/>
              <w:jc w:val="right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bottom w:val="single" w:sz="4" w:space="0" w:color="000000"/>
            </w:tcBorders>
          </w:tcPr>
          <w:p w14:paraId="6A826BC0" w14:textId="548CCE62" w:rsidR="00197ADC" w:rsidRPr="00F466F2" w:rsidRDefault="00E462ED" w:rsidP="00CF704B">
            <w:pPr>
              <w:pStyle w:val="Normal-pool-Table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1</w:t>
            </w:r>
            <w:r w:rsidR="00766EB4" w:rsidRPr="00F466F2">
              <w:rPr>
                <w:rFonts w:eastAsiaTheme="minorEastAsia"/>
              </w:rPr>
              <w:t xml:space="preserve"> A5</w:t>
            </w:r>
            <w:r w:rsidR="00766EB4" w:rsidRPr="00F466F2">
              <w:rPr>
                <w:rFonts w:eastAsiaTheme="minorEastAsia"/>
              </w:rPr>
              <w:br/>
            </w:r>
            <w:r w:rsidRPr="00F466F2">
              <w:rPr>
                <w:rFonts w:eastAsiaTheme="minorEastAsia"/>
              </w:rPr>
              <w:t>2</w:t>
            </w:r>
            <w:r w:rsidR="00766EB4" w:rsidRPr="00F466F2">
              <w:rPr>
                <w:rFonts w:eastAsiaTheme="minorEastAsia"/>
              </w:rPr>
              <w:t xml:space="preserve"> non-A5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79F9E82" w14:textId="62EFD1D1" w:rsidR="00197ADC" w:rsidRPr="00F466F2" w:rsidRDefault="002D5697" w:rsidP="00CD6600">
            <w:pPr>
              <w:pStyle w:val="Normal-pool-Table"/>
              <w:jc w:val="right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36</w:t>
            </w:r>
          </w:p>
        </w:tc>
        <w:tc>
          <w:tcPr>
            <w:tcW w:w="2262" w:type="dxa"/>
            <w:tcBorders>
              <w:top w:val="single" w:sz="4" w:space="0" w:color="000000"/>
              <w:bottom w:val="single" w:sz="4" w:space="0" w:color="000000"/>
            </w:tcBorders>
          </w:tcPr>
          <w:p w14:paraId="5190AB2E" w14:textId="7A77EBBB" w:rsidR="00197ADC" w:rsidRPr="00F466F2" w:rsidRDefault="008F3738" w:rsidP="00CF704B">
            <w:pPr>
              <w:pStyle w:val="Normal-pool-Table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14</w:t>
            </w:r>
            <w:r w:rsidR="00766EB4" w:rsidRPr="00F466F2">
              <w:rPr>
                <w:rFonts w:eastAsiaTheme="minorEastAsia"/>
              </w:rPr>
              <w:t xml:space="preserve"> A5</w:t>
            </w:r>
            <w:r w:rsidR="00766EB4" w:rsidRPr="00F466F2">
              <w:rPr>
                <w:rFonts w:eastAsiaTheme="minorEastAsia"/>
              </w:rPr>
              <w:br/>
            </w:r>
            <w:r w:rsidRPr="00F466F2">
              <w:rPr>
                <w:rFonts w:eastAsiaTheme="minorEastAsia"/>
              </w:rPr>
              <w:t>22</w:t>
            </w:r>
            <w:r w:rsidR="00766EB4" w:rsidRPr="00F466F2">
              <w:rPr>
                <w:rFonts w:eastAsiaTheme="minorEastAsia"/>
              </w:rPr>
              <w:t xml:space="preserve"> non-A5</w:t>
            </w:r>
          </w:p>
        </w:tc>
      </w:tr>
      <w:tr w:rsidR="00197ADC" w:rsidRPr="00F466F2" w14:paraId="6A217E9D" w14:textId="77777777" w:rsidTr="00107CDA"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</w:tcPr>
          <w:p w14:paraId="5C78489B" w14:textId="3BE43648" w:rsidR="00197ADC" w:rsidRPr="00F466F2" w:rsidRDefault="00197ADC" w:rsidP="00CF704B">
            <w:pPr>
              <w:pStyle w:val="Normal-pool-Table"/>
              <w:rPr>
                <w:rFonts w:eastAsiaTheme="minorEastAsia"/>
                <w:b/>
                <w:bCs/>
              </w:rPr>
            </w:pPr>
            <w:r w:rsidRPr="00F466F2">
              <w:rPr>
                <w:rFonts w:eastAsiaTheme="minorEastAsia"/>
                <w:b/>
                <w:bCs/>
              </w:rPr>
              <w:t>MBTOC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 w14:paraId="560A292F" w14:textId="34F11564" w:rsidR="00197ADC" w:rsidRPr="00F466F2" w:rsidRDefault="005B2B68" w:rsidP="00CD6600">
            <w:pPr>
              <w:pStyle w:val="Normal-pool-Table"/>
              <w:jc w:val="right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bottom w:val="single" w:sz="4" w:space="0" w:color="000000"/>
            </w:tcBorders>
          </w:tcPr>
          <w:p w14:paraId="5FD9AC9F" w14:textId="2DE0BD1C" w:rsidR="00197ADC" w:rsidRPr="00F466F2" w:rsidRDefault="008A4452" w:rsidP="00CF704B">
            <w:pPr>
              <w:pStyle w:val="Normal-pool-Table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1</w:t>
            </w:r>
            <w:r w:rsidR="00766EB4" w:rsidRPr="00F466F2">
              <w:rPr>
                <w:rFonts w:eastAsiaTheme="minorEastAsia"/>
              </w:rPr>
              <w:t xml:space="preserve"> A5</w:t>
            </w:r>
            <w:r w:rsidR="00766EB4" w:rsidRPr="00F466F2">
              <w:rPr>
                <w:rFonts w:eastAsiaTheme="minorEastAsia"/>
              </w:rPr>
              <w:br/>
              <w:t>1 non-A5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D86381B" w14:textId="75AA4A44" w:rsidR="00197ADC" w:rsidRPr="00F466F2" w:rsidRDefault="002D5697" w:rsidP="00CD6600">
            <w:pPr>
              <w:pStyle w:val="Normal-pool-Table"/>
              <w:jc w:val="right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14</w:t>
            </w:r>
          </w:p>
        </w:tc>
        <w:tc>
          <w:tcPr>
            <w:tcW w:w="2262" w:type="dxa"/>
            <w:tcBorders>
              <w:top w:val="single" w:sz="4" w:space="0" w:color="000000"/>
              <w:bottom w:val="single" w:sz="4" w:space="0" w:color="000000"/>
            </w:tcBorders>
          </w:tcPr>
          <w:p w14:paraId="71231675" w14:textId="2B7E70B4" w:rsidR="00197ADC" w:rsidRPr="00F466F2" w:rsidRDefault="00334DB7" w:rsidP="00CF704B">
            <w:pPr>
              <w:pStyle w:val="Normal-pool-Table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7</w:t>
            </w:r>
            <w:r w:rsidR="00766EB4" w:rsidRPr="00F466F2">
              <w:rPr>
                <w:rFonts w:eastAsiaTheme="minorEastAsia"/>
              </w:rPr>
              <w:t xml:space="preserve"> A5</w:t>
            </w:r>
            <w:r w:rsidR="00766EB4" w:rsidRPr="00F466F2">
              <w:rPr>
                <w:rFonts w:eastAsiaTheme="minorEastAsia"/>
              </w:rPr>
              <w:br/>
            </w:r>
            <w:r w:rsidRPr="00F466F2">
              <w:rPr>
                <w:rFonts w:eastAsiaTheme="minorEastAsia"/>
              </w:rPr>
              <w:t>7</w:t>
            </w:r>
            <w:r w:rsidR="00766EB4" w:rsidRPr="00F466F2">
              <w:rPr>
                <w:rFonts w:eastAsiaTheme="minorEastAsia"/>
              </w:rPr>
              <w:t xml:space="preserve"> non-A5</w:t>
            </w:r>
          </w:p>
        </w:tc>
      </w:tr>
      <w:tr w:rsidR="00197ADC" w:rsidRPr="00F466F2" w14:paraId="13814DBD" w14:textId="77777777" w:rsidTr="00107CDA">
        <w:tc>
          <w:tcPr>
            <w:tcW w:w="1117" w:type="dxa"/>
            <w:tcBorders>
              <w:top w:val="single" w:sz="4" w:space="0" w:color="000000"/>
              <w:bottom w:val="single" w:sz="12" w:space="0" w:color="000000"/>
            </w:tcBorders>
          </w:tcPr>
          <w:p w14:paraId="26ECCACF" w14:textId="03F63D87" w:rsidR="00197ADC" w:rsidRPr="00F466F2" w:rsidRDefault="00197ADC" w:rsidP="00CF704B">
            <w:pPr>
              <w:pStyle w:val="Normal-pool-Table"/>
              <w:rPr>
                <w:rFonts w:eastAsiaTheme="minorEastAsia"/>
                <w:b/>
                <w:bCs/>
              </w:rPr>
            </w:pPr>
            <w:r w:rsidRPr="00F466F2">
              <w:rPr>
                <w:rFonts w:eastAsiaTheme="minorEastAsia"/>
                <w:b/>
                <w:bCs/>
              </w:rPr>
              <w:t>RTOC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12" w:space="0" w:color="000000"/>
            </w:tcBorders>
          </w:tcPr>
          <w:p w14:paraId="2BF96693" w14:textId="4056A729" w:rsidR="00197ADC" w:rsidRPr="00F466F2" w:rsidRDefault="005B2B68" w:rsidP="00CD6600">
            <w:pPr>
              <w:pStyle w:val="Normal-pool-Table"/>
              <w:jc w:val="right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bottom w:val="single" w:sz="12" w:space="0" w:color="000000"/>
            </w:tcBorders>
          </w:tcPr>
          <w:p w14:paraId="47C09C7E" w14:textId="72B88227" w:rsidR="00197ADC" w:rsidRPr="00F466F2" w:rsidRDefault="008A4452" w:rsidP="00CF704B">
            <w:pPr>
              <w:pStyle w:val="Normal-pool-Table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2</w:t>
            </w:r>
            <w:r w:rsidR="00766EB4" w:rsidRPr="00F466F2">
              <w:rPr>
                <w:rFonts w:eastAsiaTheme="minorEastAsia"/>
              </w:rPr>
              <w:t xml:space="preserve"> A5</w:t>
            </w:r>
            <w:r w:rsidR="00766EB4" w:rsidRPr="00F466F2">
              <w:rPr>
                <w:rFonts w:eastAsiaTheme="minorEastAsia"/>
              </w:rPr>
              <w:br/>
            </w:r>
            <w:r w:rsidRPr="00F466F2">
              <w:rPr>
                <w:rFonts w:eastAsiaTheme="minorEastAsia"/>
              </w:rPr>
              <w:t>2</w:t>
            </w:r>
            <w:r w:rsidR="00766EB4" w:rsidRPr="00F466F2">
              <w:rPr>
                <w:rFonts w:eastAsiaTheme="minorEastAsia"/>
              </w:rPr>
              <w:t xml:space="preserve"> non-A5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12" w:space="0" w:color="000000"/>
            </w:tcBorders>
          </w:tcPr>
          <w:p w14:paraId="652D3353" w14:textId="77800DDC" w:rsidR="00197ADC" w:rsidRPr="00F466F2" w:rsidRDefault="002D5697" w:rsidP="00CD6600">
            <w:pPr>
              <w:pStyle w:val="Normal-pool-Table"/>
              <w:jc w:val="right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38</w:t>
            </w:r>
          </w:p>
        </w:tc>
        <w:tc>
          <w:tcPr>
            <w:tcW w:w="2262" w:type="dxa"/>
            <w:tcBorders>
              <w:top w:val="single" w:sz="4" w:space="0" w:color="000000"/>
              <w:bottom w:val="single" w:sz="12" w:space="0" w:color="000000"/>
            </w:tcBorders>
          </w:tcPr>
          <w:p w14:paraId="1216E5F9" w14:textId="09FA8E00" w:rsidR="00197ADC" w:rsidRPr="00F466F2" w:rsidRDefault="00275042" w:rsidP="00CF704B">
            <w:pPr>
              <w:pStyle w:val="Normal-pool-Table"/>
              <w:rPr>
                <w:rFonts w:eastAsiaTheme="minorEastAsia"/>
              </w:rPr>
            </w:pPr>
            <w:r w:rsidRPr="00F466F2">
              <w:rPr>
                <w:rFonts w:eastAsiaTheme="minorEastAsia"/>
              </w:rPr>
              <w:t>16</w:t>
            </w:r>
            <w:r w:rsidR="00766EB4" w:rsidRPr="00F466F2">
              <w:rPr>
                <w:rFonts w:eastAsiaTheme="minorEastAsia"/>
              </w:rPr>
              <w:t xml:space="preserve"> A5</w:t>
            </w:r>
            <w:r w:rsidR="00766EB4" w:rsidRPr="00F466F2">
              <w:rPr>
                <w:rFonts w:eastAsiaTheme="minorEastAsia"/>
              </w:rPr>
              <w:br/>
            </w:r>
            <w:r w:rsidRPr="00F466F2">
              <w:rPr>
                <w:rFonts w:eastAsiaTheme="minorEastAsia"/>
              </w:rPr>
              <w:t>22</w:t>
            </w:r>
            <w:r w:rsidR="00766EB4" w:rsidRPr="00F466F2">
              <w:rPr>
                <w:rFonts w:eastAsiaTheme="minorEastAsia"/>
              </w:rPr>
              <w:t xml:space="preserve"> non-A5</w:t>
            </w:r>
          </w:p>
        </w:tc>
      </w:tr>
    </w:tbl>
    <w:p w14:paraId="1B3514AF" w14:textId="2AA39321" w:rsidR="00CF704B" w:rsidRPr="00F41A17" w:rsidRDefault="00CF704B" w:rsidP="00C554C7">
      <w:pPr>
        <w:pStyle w:val="Normal-pool"/>
        <w:tabs>
          <w:tab w:val="clear" w:pos="624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1814"/>
          <w:tab w:val="left" w:pos="2381"/>
          <w:tab w:val="left" w:pos="2948"/>
          <w:tab w:val="left" w:pos="3515"/>
          <w:tab w:val="left" w:pos="4082"/>
        </w:tabs>
        <w:spacing w:before="60"/>
        <w:ind w:left="1247"/>
        <w:rPr>
          <w:rFonts w:eastAsiaTheme="minorEastAsia"/>
          <w:sz w:val="17"/>
          <w:szCs w:val="17"/>
        </w:rPr>
      </w:pPr>
      <w:r w:rsidRPr="00F41A17">
        <w:rPr>
          <w:rFonts w:eastAsiaTheme="minorEastAsia"/>
          <w:sz w:val="17"/>
          <w:szCs w:val="17"/>
        </w:rPr>
        <w:tab/>
      </w:r>
      <w:r w:rsidR="00436AF5" w:rsidRPr="00F41A17">
        <w:rPr>
          <w:rFonts w:eastAsiaTheme="minorEastAsia"/>
          <w:i/>
          <w:iCs/>
          <w:sz w:val="17"/>
          <w:szCs w:val="17"/>
        </w:rPr>
        <w:t>Abbreviation</w:t>
      </w:r>
      <w:r w:rsidR="00C327E3" w:rsidRPr="00F41A17">
        <w:rPr>
          <w:rFonts w:eastAsiaTheme="minorEastAsia"/>
          <w:i/>
          <w:iCs/>
          <w:sz w:val="17"/>
          <w:szCs w:val="17"/>
        </w:rPr>
        <w:t>s</w:t>
      </w:r>
      <w:r w:rsidR="00436AF5" w:rsidRPr="00F41A17">
        <w:rPr>
          <w:rFonts w:eastAsiaTheme="minorEastAsia"/>
          <w:sz w:val="17"/>
          <w:szCs w:val="17"/>
        </w:rPr>
        <w:t>:</w:t>
      </w:r>
      <w:r w:rsidR="0097523F" w:rsidRPr="00F41A17">
        <w:rPr>
          <w:rFonts w:eastAsiaTheme="minorEastAsia"/>
          <w:sz w:val="17"/>
          <w:szCs w:val="17"/>
        </w:rPr>
        <w:t xml:space="preserve"> </w:t>
      </w:r>
      <w:r w:rsidR="00436AF5" w:rsidRPr="00F41A17">
        <w:rPr>
          <w:rFonts w:eastAsiaTheme="minorEastAsia"/>
          <w:sz w:val="17"/>
          <w:szCs w:val="17"/>
        </w:rPr>
        <w:t xml:space="preserve">A5 </w:t>
      </w:r>
      <w:r w:rsidR="00C327E3" w:rsidRPr="00F41A17">
        <w:rPr>
          <w:rFonts w:eastAsiaTheme="minorEastAsia"/>
          <w:sz w:val="17"/>
          <w:szCs w:val="17"/>
        </w:rPr>
        <w:t>–</w:t>
      </w:r>
      <w:r w:rsidR="00436AF5" w:rsidRPr="00F41A17">
        <w:rPr>
          <w:rFonts w:eastAsiaTheme="minorEastAsia"/>
          <w:sz w:val="17"/>
          <w:szCs w:val="17"/>
        </w:rPr>
        <w:t xml:space="preserve"> </w:t>
      </w:r>
      <w:r w:rsidR="00F6327A" w:rsidRPr="00F41A17">
        <w:rPr>
          <w:rFonts w:eastAsiaTheme="minorEastAsia"/>
          <w:sz w:val="17"/>
          <w:szCs w:val="17"/>
        </w:rPr>
        <w:t xml:space="preserve">from parties operating under paragraph 1 of </w:t>
      </w:r>
      <w:r w:rsidR="00436AF5" w:rsidRPr="00F41A17">
        <w:rPr>
          <w:rFonts w:eastAsiaTheme="minorEastAsia"/>
          <w:sz w:val="17"/>
          <w:szCs w:val="17"/>
        </w:rPr>
        <w:t>Article 5;</w:t>
      </w:r>
      <w:r w:rsidR="00E558EA" w:rsidRPr="00F41A17">
        <w:rPr>
          <w:rFonts w:eastAsiaTheme="minorEastAsia"/>
          <w:sz w:val="17"/>
          <w:szCs w:val="17"/>
        </w:rPr>
        <w:t xml:space="preserve"> EEAP –</w:t>
      </w:r>
      <w:r w:rsidR="00E558EA" w:rsidRPr="009A5416">
        <w:rPr>
          <w:rFonts w:eastAsiaTheme="minorEastAsia"/>
          <w:sz w:val="17"/>
          <w:szCs w:val="17"/>
        </w:rPr>
        <w:t xml:space="preserve"> Environmental Effects Assessment Panel;</w:t>
      </w:r>
      <w:r w:rsidR="00436AF5" w:rsidRPr="00F41A17">
        <w:rPr>
          <w:rFonts w:eastAsiaTheme="minorEastAsia"/>
          <w:sz w:val="17"/>
          <w:szCs w:val="17"/>
        </w:rPr>
        <w:t xml:space="preserve"> </w:t>
      </w:r>
      <w:r w:rsidR="00E558EA" w:rsidRPr="00F41A17">
        <w:rPr>
          <w:rFonts w:eastAsiaTheme="minorEastAsia"/>
          <w:sz w:val="17"/>
          <w:szCs w:val="17"/>
        </w:rPr>
        <w:t xml:space="preserve">FSTOC – </w:t>
      </w:r>
      <w:r w:rsidR="00E558EA" w:rsidRPr="009A5416">
        <w:rPr>
          <w:rFonts w:eastAsiaTheme="minorEastAsia"/>
          <w:sz w:val="17"/>
          <w:szCs w:val="17"/>
        </w:rPr>
        <w:t xml:space="preserve">Fire Suppression Technical Options Committee; FTOC </w:t>
      </w:r>
      <w:r w:rsidR="00E558EA" w:rsidRPr="00F41A17">
        <w:rPr>
          <w:rFonts w:eastAsiaTheme="minorEastAsia"/>
          <w:sz w:val="17"/>
          <w:szCs w:val="17"/>
        </w:rPr>
        <w:t>–</w:t>
      </w:r>
      <w:r w:rsidR="00E558EA" w:rsidRPr="009A5416">
        <w:rPr>
          <w:rFonts w:eastAsiaTheme="minorEastAsia"/>
          <w:sz w:val="17"/>
          <w:szCs w:val="17"/>
        </w:rPr>
        <w:t xml:space="preserve"> Foams Technical Options Committee; </w:t>
      </w:r>
      <w:r w:rsidR="007C344A" w:rsidRPr="00F41A17">
        <w:rPr>
          <w:rFonts w:eastAsiaTheme="minorEastAsia"/>
          <w:sz w:val="17"/>
          <w:szCs w:val="17"/>
        </w:rPr>
        <w:t xml:space="preserve">MBTOC – </w:t>
      </w:r>
      <w:r w:rsidR="007C344A" w:rsidRPr="009A5416">
        <w:rPr>
          <w:rFonts w:eastAsiaTheme="minorEastAsia"/>
          <w:sz w:val="17"/>
          <w:szCs w:val="17"/>
        </w:rPr>
        <w:t xml:space="preserve">Methyl Bromide Technical Options Committee; </w:t>
      </w:r>
      <w:r w:rsidR="00E558EA" w:rsidRPr="009A5416">
        <w:rPr>
          <w:rFonts w:eastAsiaTheme="minorEastAsia"/>
          <w:sz w:val="17"/>
          <w:szCs w:val="17"/>
        </w:rPr>
        <w:t xml:space="preserve">MCTOC </w:t>
      </w:r>
      <w:r w:rsidR="00E558EA" w:rsidRPr="00F41A17">
        <w:rPr>
          <w:rFonts w:eastAsiaTheme="minorEastAsia"/>
          <w:sz w:val="17"/>
          <w:szCs w:val="17"/>
        </w:rPr>
        <w:t>–</w:t>
      </w:r>
      <w:r w:rsidR="00E558EA" w:rsidRPr="009A5416">
        <w:rPr>
          <w:rFonts w:eastAsiaTheme="minorEastAsia"/>
          <w:sz w:val="17"/>
          <w:szCs w:val="17"/>
        </w:rPr>
        <w:t xml:space="preserve"> Medical and Chemicals Technical Options Committee; </w:t>
      </w:r>
      <w:r w:rsidR="00436AF5" w:rsidRPr="00F41A17">
        <w:rPr>
          <w:rFonts w:eastAsiaTheme="minorEastAsia"/>
          <w:sz w:val="17"/>
          <w:szCs w:val="17"/>
        </w:rPr>
        <w:t xml:space="preserve">non-A5 </w:t>
      </w:r>
      <w:r w:rsidR="00C327E3" w:rsidRPr="00F41A17">
        <w:rPr>
          <w:rFonts w:eastAsiaTheme="minorEastAsia"/>
          <w:sz w:val="17"/>
          <w:szCs w:val="17"/>
        </w:rPr>
        <w:t>–</w:t>
      </w:r>
      <w:r w:rsidR="00436AF5" w:rsidRPr="00F41A17">
        <w:rPr>
          <w:rFonts w:eastAsiaTheme="minorEastAsia"/>
          <w:sz w:val="17"/>
          <w:szCs w:val="17"/>
        </w:rPr>
        <w:t xml:space="preserve"> </w:t>
      </w:r>
      <w:r w:rsidR="00F6327A" w:rsidRPr="00F41A17">
        <w:rPr>
          <w:rFonts w:eastAsiaTheme="minorEastAsia"/>
          <w:sz w:val="17"/>
          <w:szCs w:val="17"/>
        </w:rPr>
        <w:t>from parties not operating under paragraph 1 of Article 5</w:t>
      </w:r>
      <w:r w:rsidR="007C344A" w:rsidRPr="00F41A17">
        <w:rPr>
          <w:rFonts w:eastAsiaTheme="minorEastAsia"/>
          <w:sz w:val="17"/>
          <w:szCs w:val="17"/>
        </w:rPr>
        <w:t xml:space="preserve">; RTOC – </w:t>
      </w:r>
      <w:r w:rsidR="007C344A" w:rsidRPr="00360094">
        <w:rPr>
          <w:rFonts w:eastAsiaTheme="minorEastAsia"/>
          <w:sz w:val="17"/>
          <w:szCs w:val="17"/>
        </w:rPr>
        <w:t>Refrigeration Technical Options Committee</w:t>
      </w:r>
      <w:r w:rsidR="00C327E3" w:rsidRPr="00F41A17">
        <w:rPr>
          <w:rFonts w:eastAsiaTheme="minorEastAsia"/>
          <w:sz w:val="17"/>
          <w:szCs w:val="17"/>
        </w:rPr>
        <w:t>.</w:t>
      </w:r>
    </w:p>
    <w:p w14:paraId="45B4300F" w14:textId="1F5C5D74" w:rsidR="0097523F" w:rsidRPr="009A5416" w:rsidRDefault="00CF704B" w:rsidP="00C554C7">
      <w:pPr>
        <w:pStyle w:val="Normal-pool"/>
        <w:tabs>
          <w:tab w:val="clear" w:pos="624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1814"/>
          <w:tab w:val="left" w:pos="2381"/>
          <w:tab w:val="left" w:pos="2948"/>
          <w:tab w:val="left" w:pos="3515"/>
          <w:tab w:val="left" w:pos="4082"/>
        </w:tabs>
        <w:spacing w:before="60"/>
        <w:ind w:left="1247"/>
        <w:rPr>
          <w:rFonts w:eastAsiaTheme="minorEastAsia"/>
          <w:sz w:val="17"/>
          <w:szCs w:val="17"/>
        </w:rPr>
      </w:pPr>
      <w:r w:rsidRPr="00F41A17">
        <w:rPr>
          <w:rFonts w:eastAsiaTheme="minorEastAsia"/>
          <w:sz w:val="17"/>
          <w:szCs w:val="17"/>
        </w:rPr>
        <w:tab/>
      </w:r>
      <w:r w:rsidR="0097523F" w:rsidRPr="009A5416">
        <w:rPr>
          <w:rFonts w:eastAsiaTheme="minorEastAsia"/>
          <w:sz w:val="17"/>
          <w:szCs w:val="17"/>
        </w:rPr>
        <w:t xml:space="preserve">* </w:t>
      </w:r>
      <w:r w:rsidR="00337D8B" w:rsidRPr="009A5416">
        <w:rPr>
          <w:rFonts w:eastAsiaTheme="minorEastAsia"/>
          <w:sz w:val="17"/>
          <w:szCs w:val="17"/>
        </w:rPr>
        <w:t xml:space="preserve">This is the number of persons attending the SAP review meeting. </w:t>
      </w:r>
      <w:r w:rsidR="00973C3F" w:rsidRPr="00360094">
        <w:rPr>
          <w:rFonts w:eastAsiaTheme="minorEastAsia"/>
          <w:sz w:val="17"/>
          <w:szCs w:val="17"/>
        </w:rPr>
        <w:t>The participation of o</w:t>
      </w:r>
      <w:r w:rsidR="00337D8B" w:rsidRPr="00360094">
        <w:rPr>
          <w:rFonts w:eastAsiaTheme="minorEastAsia"/>
          <w:sz w:val="17"/>
          <w:szCs w:val="17"/>
        </w:rPr>
        <w:t xml:space="preserve">nly </w:t>
      </w:r>
      <w:r w:rsidR="00C327E3" w:rsidRPr="00360094">
        <w:rPr>
          <w:rFonts w:eastAsiaTheme="minorEastAsia"/>
          <w:sz w:val="17"/>
          <w:szCs w:val="17"/>
        </w:rPr>
        <w:t>six</w:t>
      </w:r>
      <w:r w:rsidR="00337D8B" w:rsidRPr="00360094">
        <w:rPr>
          <w:rFonts w:eastAsiaTheme="minorEastAsia"/>
          <w:sz w:val="17"/>
          <w:szCs w:val="17"/>
        </w:rPr>
        <w:t xml:space="preserve"> experts </w:t>
      </w:r>
      <w:r w:rsidR="00973C3F" w:rsidRPr="009A5416">
        <w:rPr>
          <w:rFonts w:eastAsiaTheme="minorEastAsia"/>
          <w:sz w:val="17"/>
          <w:szCs w:val="17"/>
        </w:rPr>
        <w:t xml:space="preserve">from Article 5 parties </w:t>
      </w:r>
      <w:r w:rsidR="00973C3F" w:rsidRPr="00360094">
        <w:rPr>
          <w:rFonts w:eastAsiaTheme="minorEastAsia"/>
          <w:sz w:val="17"/>
          <w:szCs w:val="17"/>
        </w:rPr>
        <w:t>is</w:t>
      </w:r>
      <w:r w:rsidR="00337D8B" w:rsidRPr="00360094">
        <w:rPr>
          <w:rFonts w:eastAsiaTheme="minorEastAsia"/>
          <w:sz w:val="17"/>
          <w:szCs w:val="17"/>
        </w:rPr>
        <w:t xml:space="preserve"> </w:t>
      </w:r>
      <w:r w:rsidR="00274547" w:rsidRPr="00360094">
        <w:rPr>
          <w:rFonts w:eastAsiaTheme="minorEastAsia"/>
          <w:sz w:val="17"/>
          <w:szCs w:val="17"/>
        </w:rPr>
        <w:t>funded</w:t>
      </w:r>
      <w:r w:rsidR="00274547" w:rsidRPr="009A5416">
        <w:rPr>
          <w:rFonts w:eastAsiaTheme="minorEastAsia"/>
          <w:sz w:val="17"/>
          <w:szCs w:val="17"/>
        </w:rPr>
        <w:t>.</w:t>
      </w:r>
      <w:r w:rsidR="00312500" w:rsidRPr="009A5416">
        <w:rPr>
          <w:rFonts w:eastAsiaTheme="minorEastAsia"/>
          <w:sz w:val="17"/>
          <w:szCs w:val="17"/>
        </w:rPr>
        <w:t xml:space="preserve"> SAP membership information is not yet available.</w:t>
      </w:r>
    </w:p>
    <w:p w14:paraId="068EDD95" w14:textId="54F68542" w:rsidR="00364EB9" w:rsidRPr="00F466F2" w:rsidRDefault="00E537F0" w:rsidP="00364EB9">
      <w:pPr>
        <w:pStyle w:val="CH1"/>
      </w:pPr>
      <w:r w:rsidRPr="00F466F2">
        <w:tab/>
      </w:r>
      <w:r w:rsidR="00364EB9" w:rsidRPr="00F466F2">
        <w:t>III.</w:t>
      </w:r>
      <w:r w:rsidR="00364EB9" w:rsidRPr="00F466F2">
        <w:tab/>
      </w:r>
      <w:r w:rsidR="00A93E0D" w:rsidRPr="00F466F2">
        <w:t xml:space="preserve">Costs of </w:t>
      </w:r>
      <w:r w:rsidR="00ED49BE" w:rsidRPr="00F466F2">
        <w:t>a</w:t>
      </w:r>
      <w:r w:rsidR="00A93E0D" w:rsidRPr="00F466F2">
        <w:t xml:space="preserve">ssessment </w:t>
      </w:r>
      <w:r w:rsidR="00ED49BE" w:rsidRPr="00F466F2">
        <w:t>p</w:t>
      </w:r>
      <w:r w:rsidR="00A93E0D" w:rsidRPr="00F466F2">
        <w:t xml:space="preserve">anel </w:t>
      </w:r>
      <w:r w:rsidR="00ED49BE" w:rsidRPr="00F466F2">
        <w:t>m</w:t>
      </w:r>
      <w:r w:rsidR="00A93E0D" w:rsidRPr="00F466F2">
        <w:t>eetings</w:t>
      </w:r>
    </w:p>
    <w:p w14:paraId="1CA730FB" w14:textId="0AE5D850" w:rsidR="00F969C3" w:rsidRPr="00F466F2" w:rsidRDefault="00364EB9" w:rsidP="00CF704B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HAnsi"/>
        </w:rPr>
      </w:pPr>
      <w:r w:rsidRPr="00F466F2">
        <w:rPr>
          <w:rFonts w:eastAsiaTheme="minorHAnsi"/>
        </w:rPr>
        <w:t xml:space="preserve">The </w:t>
      </w:r>
      <w:r w:rsidR="003B1E02" w:rsidRPr="00F466F2">
        <w:rPr>
          <w:rFonts w:eastAsiaTheme="minorHAnsi"/>
        </w:rPr>
        <w:t xml:space="preserve">panels and </w:t>
      </w:r>
      <w:r w:rsidR="00973C3F">
        <w:rPr>
          <w:rFonts w:eastAsiaTheme="minorHAnsi"/>
        </w:rPr>
        <w:t xml:space="preserve">the </w:t>
      </w:r>
      <w:r w:rsidR="009D468C">
        <w:rPr>
          <w:rFonts w:eastAsiaTheme="minorEastAsia"/>
        </w:rPr>
        <w:t>technical options committee</w:t>
      </w:r>
      <w:r w:rsidR="009D468C" w:rsidRPr="00F466F2">
        <w:rPr>
          <w:rFonts w:eastAsiaTheme="minorEastAsia"/>
        </w:rPr>
        <w:t>s</w:t>
      </w:r>
      <w:r w:rsidR="003B1E02" w:rsidRPr="00F466F2">
        <w:rPr>
          <w:rFonts w:eastAsiaTheme="minorHAnsi"/>
        </w:rPr>
        <w:t xml:space="preserve"> </w:t>
      </w:r>
      <w:r w:rsidR="007F707C" w:rsidRPr="00F466F2">
        <w:rPr>
          <w:rFonts w:eastAsiaTheme="minorHAnsi"/>
        </w:rPr>
        <w:t>try to find low-cost venues for their meetings</w:t>
      </w:r>
      <w:r w:rsidR="00C327E3">
        <w:rPr>
          <w:rFonts w:eastAsiaTheme="minorHAnsi"/>
        </w:rPr>
        <w:t xml:space="preserve"> –</w:t>
      </w:r>
      <w:r w:rsidR="007F707C" w:rsidRPr="00F466F2">
        <w:rPr>
          <w:rFonts w:eastAsiaTheme="minorHAnsi"/>
        </w:rPr>
        <w:t xml:space="preserve"> </w:t>
      </w:r>
      <w:r w:rsidR="00B86DE4" w:rsidRPr="00F466F2">
        <w:rPr>
          <w:rFonts w:eastAsiaTheme="minorHAnsi"/>
        </w:rPr>
        <w:t>for example</w:t>
      </w:r>
      <w:r w:rsidR="002C7EAA" w:rsidRPr="00F466F2">
        <w:rPr>
          <w:rFonts w:eastAsiaTheme="minorHAnsi"/>
        </w:rPr>
        <w:t>,</w:t>
      </w:r>
      <w:r w:rsidR="00B86DE4" w:rsidRPr="00F466F2">
        <w:rPr>
          <w:rFonts w:eastAsiaTheme="minorHAnsi"/>
        </w:rPr>
        <w:t xml:space="preserve"> </w:t>
      </w:r>
      <w:r w:rsidR="00E545F6" w:rsidRPr="00F466F2">
        <w:rPr>
          <w:rFonts w:eastAsiaTheme="minorHAnsi"/>
        </w:rPr>
        <w:t>U</w:t>
      </w:r>
      <w:r w:rsidR="00094499" w:rsidRPr="00F466F2">
        <w:rPr>
          <w:rFonts w:eastAsiaTheme="minorHAnsi"/>
        </w:rPr>
        <w:t>nited</w:t>
      </w:r>
      <w:r w:rsidR="00EF5846" w:rsidRPr="00F466F2">
        <w:rPr>
          <w:rFonts w:eastAsiaTheme="minorHAnsi"/>
        </w:rPr>
        <w:t> </w:t>
      </w:r>
      <w:r w:rsidR="00E545F6" w:rsidRPr="00F466F2">
        <w:rPr>
          <w:rFonts w:eastAsiaTheme="minorHAnsi"/>
        </w:rPr>
        <w:t>N</w:t>
      </w:r>
      <w:r w:rsidR="00094499" w:rsidRPr="00F466F2">
        <w:rPr>
          <w:rFonts w:eastAsiaTheme="minorHAnsi"/>
        </w:rPr>
        <w:t>ations</w:t>
      </w:r>
      <w:r w:rsidR="00E545F6" w:rsidRPr="00F466F2">
        <w:rPr>
          <w:rFonts w:eastAsiaTheme="minorHAnsi"/>
        </w:rPr>
        <w:t xml:space="preserve"> </w:t>
      </w:r>
      <w:r w:rsidR="00B86DE4" w:rsidRPr="00F466F2">
        <w:rPr>
          <w:rFonts w:eastAsiaTheme="minorHAnsi"/>
        </w:rPr>
        <w:t>venue</w:t>
      </w:r>
      <w:r w:rsidR="00AF7196" w:rsidRPr="00F466F2">
        <w:rPr>
          <w:rFonts w:eastAsiaTheme="minorHAnsi"/>
        </w:rPr>
        <w:t>s</w:t>
      </w:r>
      <w:r w:rsidR="00E545F6" w:rsidRPr="00F466F2">
        <w:rPr>
          <w:rFonts w:eastAsiaTheme="minorHAnsi"/>
        </w:rPr>
        <w:t xml:space="preserve"> or </w:t>
      </w:r>
      <w:r w:rsidR="00846D8B" w:rsidRPr="00F466F2">
        <w:rPr>
          <w:rFonts w:eastAsiaTheme="minorHAnsi"/>
        </w:rPr>
        <w:t xml:space="preserve">the offices of </w:t>
      </w:r>
      <w:r w:rsidR="00C327E3">
        <w:rPr>
          <w:rFonts w:eastAsiaTheme="minorHAnsi"/>
        </w:rPr>
        <w:t>a</w:t>
      </w:r>
      <w:r w:rsidR="00E370E1" w:rsidRPr="00F466F2">
        <w:rPr>
          <w:rFonts w:eastAsiaTheme="minorHAnsi"/>
        </w:rPr>
        <w:t xml:space="preserve"> member </w:t>
      </w:r>
      <w:r w:rsidR="00846D8B" w:rsidRPr="00F466F2">
        <w:rPr>
          <w:rFonts w:eastAsiaTheme="minorHAnsi"/>
        </w:rPr>
        <w:t xml:space="preserve">who </w:t>
      </w:r>
      <w:r w:rsidR="002C7EAA" w:rsidRPr="00F466F2">
        <w:rPr>
          <w:rFonts w:eastAsiaTheme="minorHAnsi"/>
        </w:rPr>
        <w:t xml:space="preserve">may </w:t>
      </w:r>
      <w:r w:rsidR="00846D8B" w:rsidRPr="00F466F2">
        <w:rPr>
          <w:rFonts w:eastAsiaTheme="minorHAnsi"/>
        </w:rPr>
        <w:t xml:space="preserve">offer to </w:t>
      </w:r>
      <w:r w:rsidR="00E370E1" w:rsidRPr="00F466F2">
        <w:rPr>
          <w:rFonts w:eastAsiaTheme="minorHAnsi"/>
        </w:rPr>
        <w:t>host the meeting.</w:t>
      </w:r>
      <w:r w:rsidR="00272E14" w:rsidRPr="00F466F2">
        <w:rPr>
          <w:rFonts w:eastAsiaTheme="minorHAnsi"/>
        </w:rPr>
        <w:t xml:space="preserve"> The participation </w:t>
      </w:r>
      <w:r w:rsidR="00C327E3">
        <w:rPr>
          <w:rFonts w:eastAsiaTheme="minorHAnsi"/>
        </w:rPr>
        <w:t xml:space="preserve">costs </w:t>
      </w:r>
      <w:r w:rsidR="00272E14" w:rsidRPr="00F466F2">
        <w:rPr>
          <w:rFonts w:eastAsiaTheme="minorHAnsi"/>
        </w:rPr>
        <w:t xml:space="preserve">of experts from Article 5 parties are covered by the budget allocated for that purpose under the Montreal Protocol Trust Fund. </w:t>
      </w:r>
      <w:r w:rsidR="00BD1897" w:rsidRPr="00F466F2">
        <w:rPr>
          <w:rFonts w:eastAsiaTheme="minorHAnsi"/>
        </w:rPr>
        <w:t xml:space="preserve">The participation of </w:t>
      </w:r>
      <w:r w:rsidR="009E564C" w:rsidRPr="00F466F2">
        <w:rPr>
          <w:rFonts w:eastAsiaTheme="minorHAnsi"/>
        </w:rPr>
        <w:t xml:space="preserve">some co-chairs and essential members </w:t>
      </w:r>
      <w:r w:rsidR="008E2B60">
        <w:rPr>
          <w:rFonts w:eastAsiaTheme="minorHAnsi"/>
        </w:rPr>
        <w:t xml:space="preserve">from non-Article 5 parties </w:t>
      </w:r>
      <w:r w:rsidR="009E564C" w:rsidRPr="00F466F2">
        <w:rPr>
          <w:rFonts w:eastAsiaTheme="minorHAnsi"/>
        </w:rPr>
        <w:t>ha</w:t>
      </w:r>
      <w:r w:rsidR="00C327E3">
        <w:rPr>
          <w:rFonts w:eastAsiaTheme="minorHAnsi"/>
        </w:rPr>
        <w:t>s</w:t>
      </w:r>
      <w:r w:rsidR="009E564C" w:rsidRPr="00F466F2">
        <w:rPr>
          <w:rFonts w:eastAsiaTheme="minorHAnsi"/>
        </w:rPr>
        <w:t xml:space="preserve"> been </w:t>
      </w:r>
      <w:r w:rsidR="006732E2" w:rsidRPr="00F466F2">
        <w:rPr>
          <w:rFonts w:eastAsiaTheme="minorHAnsi"/>
        </w:rPr>
        <w:t xml:space="preserve">covered under </w:t>
      </w:r>
      <w:r w:rsidR="00CD790A" w:rsidRPr="00F466F2">
        <w:rPr>
          <w:rFonts w:eastAsiaTheme="minorHAnsi"/>
        </w:rPr>
        <w:t xml:space="preserve">European Union-funded projects that support the work of the </w:t>
      </w:r>
      <w:r w:rsidR="00F5361B" w:rsidRPr="00F466F2">
        <w:rPr>
          <w:rFonts w:eastAsiaTheme="minorHAnsi"/>
        </w:rPr>
        <w:t>a</w:t>
      </w:r>
      <w:r w:rsidR="00CD790A" w:rsidRPr="00F466F2">
        <w:rPr>
          <w:rFonts w:eastAsiaTheme="minorHAnsi"/>
        </w:rPr>
        <w:t xml:space="preserve">ssessment </w:t>
      </w:r>
      <w:r w:rsidR="00F5361B" w:rsidRPr="00CD6C5E">
        <w:rPr>
          <w:rFonts w:eastAsiaTheme="minorHAnsi"/>
        </w:rPr>
        <w:t>p</w:t>
      </w:r>
      <w:r w:rsidR="00CD790A" w:rsidRPr="00CD6C5E">
        <w:rPr>
          <w:rFonts w:eastAsiaTheme="minorHAnsi"/>
        </w:rPr>
        <w:t>anels</w:t>
      </w:r>
      <w:r w:rsidR="00AF75BC" w:rsidRPr="00CD6C5E">
        <w:rPr>
          <w:rFonts w:eastAsiaTheme="minorHAnsi"/>
        </w:rPr>
        <w:t xml:space="preserve"> and </w:t>
      </w:r>
      <w:r w:rsidR="00C327E3" w:rsidRPr="00CD6C5E">
        <w:rPr>
          <w:rFonts w:eastAsiaTheme="minorHAnsi"/>
        </w:rPr>
        <w:t xml:space="preserve">by </w:t>
      </w:r>
      <w:r w:rsidR="00AF75BC" w:rsidRPr="00CD6C5E">
        <w:rPr>
          <w:rFonts w:eastAsiaTheme="minorHAnsi"/>
        </w:rPr>
        <w:t xml:space="preserve">other bilateral support </w:t>
      </w:r>
      <w:r w:rsidR="00B97F00" w:rsidRPr="00CD6C5E">
        <w:rPr>
          <w:rFonts w:eastAsiaTheme="minorHAnsi"/>
        </w:rPr>
        <w:t xml:space="preserve">to the </w:t>
      </w:r>
      <w:r w:rsidR="00F5361B" w:rsidRPr="00CD6C5E">
        <w:rPr>
          <w:rFonts w:eastAsiaTheme="minorHAnsi"/>
        </w:rPr>
        <w:t>p</w:t>
      </w:r>
      <w:r w:rsidR="00B97F00" w:rsidRPr="00CD6C5E">
        <w:rPr>
          <w:rFonts w:eastAsiaTheme="minorHAnsi"/>
        </w:rPr>
        <w:t xml:space="preserve">anels. </w:t>
      </w:r>
      <w:r w:rsidR="00272E14" w:rsidRPr="00CD6C5E">
        <w:rPr>
          <w:rFonts w:eastAsiaTheme="minorHAnsi"/>
        </w:rPr>
        <w:t>The</w:t>
      </w:r>
      <w:r w:rsidR="00E370E1" w:rsidRPr="00CD6C5E">
        <w:rPr>
          <w:rFonts w:eastAsiaTheme="minorHAnsi"/>
        </w:rPr>
        <w:t xml:space="preserve"> </w:t>
      </w:r>
      <w:r w:rsidR="00011465" w:rsidRPr="00CD6C5E">
        <w:rPr>
          <w:rFonts w:eastAsiaTheme="minorHAnsi"/>
        </w:rPr>
        <w:t xml:space="preserve">costs of </w:t>
      </w:r>
      <w:r w:rsidR="00F5361B" w:rsidRPr="00CD6C5E">
        <w:rPr>
          <w:rFonts w:eastAsiaTheme="minorHAnsi"/>
        </w:rPr>
        <w:t>p</w:t>
      </w:r>
      <w:r w:rsidR="00011465" w:rsidRPr="00CD6C5E">
        <w:rPr>
          <w:rFonts w:eastAsiaTheme="minorHAnsi"/>
        </w:rPr>
        <w:t xml:space="preserve">anel and </w:t>
      </w:r>
      <w:r w:rsidR="001061D4" w:rsidRPr="00CD6C5E">
        <w:rPr>
          <w:rFonts w:eastAsiaTheme="minorHAnsi"/>
        </w:rPr>
        <w:t>TOC</w:t>
      </w:r>
      <w:r w:rsidR="00C327E3" w:rsidRPr="00CD6C5E">
        <w:rPr>
          <w:rFonts w:eastAsiaTheme="minorHAnsi"/>
        </w:rPr>
        <w:t xml:space="preserve"> meetings</w:t>
      </w:r>
      <w:r w:rsidR="001061D4" w:rsidRPr="00CD6C5E">
        <w:rPr>
          <w:rFonts w:eastAsiaTheme="minorHAnsi"/>
        </w:rPr>
        <w:t xml:space="preserve"> held </w:t>
      </w:r>
      <w:r w:rsidR="00CD6C5E">
        <w:rPr>
          <w:rFonts w:eastAsiaTheme="minorHAnsi"/>
        </w:rPr>
        <w:t>during the period</w:t>
      </w:r>
      <w:r w:rsidR="001061D4" w:rsidRPr="00CD6C5E">
        <w:rPr>
          <w:rFonts w:eastAsiaTheme="minorHAnsi"/>
        </w:rPr>
        <w:t xml:space="preserve"> 2022</w:t>
      </w:r>
      <w:r w:rsidR="00CD6C5E">
        <w:rPr>
          <w:rFonts w:eastAsiaTheme="minorHAnsi"/>
        </w:rPr>
        <w:t>–</w:t>
      </w:r>
      <w:r w:rsidR="001061D4" w:rsidRPr="00CD6C5E">
        <w:rPr>
          <w:rFonts w:eastAsiaTheme="minorHAnsi"/>
        </w:rPr>
        <w:t>2025 are</w:t>
      </w:r>
      <w:r w:rsidR="001061D4" w:rsidRPr="00F466F2">
        <w:rPr>
          <w:rFonts w:eastAsiaTheme="minorHAnsi"/>
        </w:rPr>
        <w:t xml:space="preserve"> shown in </w:t>
      </w:r>
      <w:r w:rsidR="00C327E3">
        <w:rPr>
          <w:rFonts w:eastAsiaTheme="minorHAnsi"/>
        </w:rPr>
        <w:t>t</w:t>
      </w:r>
      <w:r w:rsidR="001061D4" w:rsidRPr="00F466F2">
        <w:rPr>
          <w:rFonts w:eastAsiaTheme="minorHAnsi"/>
        </w:rPr>
        <w:t xml:space="preserve">able </w:t>
      </w:r>
      <w:r w:rsidR="00F969C3" w:rsidRPr="00F466F2">
        <w:rPr>
          <w:rFonts w:eastAsiaTheme="minorHAnsi"/>
        </w:rPr>
        <w:t>3</w:t>
      </w:r>
      <w:r w:rsidR="009227A6">
        <w:rPr>
          <w:rFonts w:eastAsiaTheme="minorHAnsi"/>
        </w:rPr>
        <w:t xml:space="preserve"> (on pp. 4–6)</w:t>
      </w:r>
      <w:r w:rsidR="00F969C3" w:rsidRPr="00F466F2">
        <w:rPr>
          <w:rFonts w:eastAsiaTheme="minorHAnsi"/>
        </w:rPr>
        <w:t>.</w:t>
      </w:r>
    </w:p>
    <w:p w14:paraId="6887432F" w14:textId="77777777" w:rsidR="00C972E5" w:rsidRPr="00F466F2" w:rsidRDefault="00C972E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rFonts w:eastAsiaTheme="minorHAnsi"/>
          <w:i/>
          <w:iCs/>
        </w:rPr>
      </w:pPr>
      <w:r w:rsidRPr="00F466F2">
        <w:rPr>
          <w:rFonts w:eastAsiaTheme="minorHAnsi"/>
          <w:i/>
          <w:iCs/>
        </w:rPr>
        <w:br w:type="page"/>
      </w:r>
    </w:p>
    <w:p w14:paraId="26962ABD" w14:textId="77777777" w:rsidR="00C972E5" w:rsidRPr="00F466F2" w:rsidRDefault="00C972E5" w:rsidP="002817F3">
      <w:pPr>
        <w:pStyle w:val="Normalnumber"/>
        <w:numPr>
          <w:ilvl w:val="0"/>
          <w:numId w:val="0"/>
        </w:numPr>
        <w:ind w:left="1248"/>
        <w:rPr>
          <w:rFonts w:eastAsiaTheme="minorHAnsi"/>
          <w:i/>
          <w:iCs/>
        </w:rPr>
        <w:sectPr w:rsidR="00C972E5" w:rsidRPr="00F466F2" w:rsidSect="00B30518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7" w:h="16839" w:code="9"/>
          <w:pgMar w:top="907" w:right="992" w:bottom="1418" w:left="1418" w:header="539" w:footer="975" w:gutter="0"/>
          <w:cols w:space="539"/>
          <w:titlePg/>
          <w:docGrid w:linePitch="360"/>
        </w:sectPr>
      </w:pPr>
    </w:p>
    <w:p w14:paraId="7F04CA6E" w14:textId="5FF45B3C" w:rsidR="009D70DD" w:rsidRPr="00F466F2" w:rsidRDefault="009D70DD" w:rsidP="00B30518">
      <w:pPr>
        <w:pStyle w:val="Titletable"/>
        <w:rPr>
          <w:rFonts w:eastAsiaTheme="minorHAnsi"/>
        </w:rPr>
      </w:pPr>
      <w:r w:rsidRPr="00F466F2">
        <w:rPr>
          <w:rFonts w:eastAsiaTheme="minorHAnsi"/>
          <w:b w:val="0"/>
          <w:bCs w:val="0"/>
        </w:rPr>
        <w:lastRenderedPageBreak/>
        <w:t>Table 3</w:t>
      </w:r>
      <w:r w:rsidR="00B30518" w:rsidRPr="00F466F2">
        <w:rPr>
          <w:rFonts w:eastAsiaTheme="minorHAnsi"/>
          <w:b w:val="0"/>
          <w:bCs w:val="0"/>
        </w:rPr>
        <w:t xml:space="preserve"> </w:t>
      </w:r>
      <w:r w:rsidR="002817F3" w:rsidRPr="00F466F2">
        <w:rPr>
          <w:rFonts w:eastAsiaTheme="minorHAnsi"/>
          <w:b w:val="0"/>
          <w:bCs w:val="0"/>
        </w:rPr>
        <w:br/>
      </w:r>
      <w:r w:rsidR="00837087" w:rsidRPr="00F466F2">
        <w:rPr>
          <w:rFonts w:eastAsiaTheme="minorHAnsi"/>
        </w:rPr>
        <w:t xml:space="preserve">Costs </w:t>
      </w:r>
      <w:r w:rsidR="00310134">
        <w:rPr>
          <w:rFonts w:eastAsiaTheme="minorHAnsi"/>
        </w:rPr>
        <w:t xml:space="preserve">incurred for meetings of </w:t>
      </w:r>
      <w:r w:rsidR="00F5361B" w:rsidRPr="00F466F2">
        <w:rPr>
          <w:rFonts w:eastAsiaTheme="minorHAnsi"/>
        </w:rPr>
        <w:t>a</w:t>
      </w:r>
      <w:r w:rsidR="00837087" w:rsidRPr="00F466F2">
        <w:rPr>
          <w:rFonts w:eastAsiaTheme="minorHAnsi"/>
        </w:rPr>
        <w:t xml:space="preserve">ssessment </w:t>
      </w:r>
      <w:r w:rsidR="00B8563A" w:rsidRPr="00F466F2">
        <w:rPr>
          <w:rFonts w:eastAsiaTheme="minorHAnsi"/>
        </w:rPr>
        <w:t>p</w:t>
      </w:r>
      <w:r w:rsidR="00837087" w:rsidRPr="00F466F2">
        <w:rPr>
          <w:rFonts w:eastAsiaTheme="minorHAnsi"/>
        </w:rPr>
        <w:t xml:space="preserve">anels and </w:t>
      </w:r>
      <w:r w:rsidR="00310134">
        <w:rPr>
          <w:rFonts w:eastAsiaTheme="minorHAnsi"/>
        </w:rPr>
        <w:t>technical options committees during the period</w:t>
      </w:r>
      <w:r w:rsidR="00E75476" w:rsidRPr="00F466F2">
        <w:rPr>
          <w:rFonts w:eastAsiaTheme="minorHAnsi"/>
        </w:rPr>
        <w:t xml:space="preserve"> 2022</w:t>
      </w:r>
      <w:r w:rsidR="00647DAE" w:rsidRPr="00F466F2">
        <w:rPr>
          <w:rFonts w:eastAsiaTheme="minorHAnsi"/>
        </w:rPr>
        <w:t>–</w:t>
      </w:r>
      <w:r w:rsidR="00E75476" w:rsidRPr="00F466F2">
        <w:rPr>
          <w:rFonts w:eastAsiaTheme="minorHAnsi"/>
        </w:rPr>
        <w:t>2025</w:t>
      </w:r>
    </w:p>
    <w:tbl>
      <w:tblPr>
        <w:tblW w:w="5000" w:type="pct"/>
        <w:jc w:val="right"/>
        <w:tblLook w:val="04A0" w:firstRow="1" w:lastRow="0" w:firstColumn="1" w:lastColumn="0" w:noHBand="0" w:noVBand="1"/>
      </w:tblPr>
      <w:tblGrid>
        <w:gridCol w:w="661"/>
        <w:gridCol w:w="1456"/>
        <w:gridCol w:w="1724"/>
        <w:gridCol w:w="1536"/>
        <w:gridCol w:w="1559"/>
        <w:gridCol w:w="1134"/>
        <w:gridCol w:w="851"/>
        <w:gridCol w:w="2126"/>
        <w:gridCol w:w="3362"/>
      </w:tblGrid>
      <w:tr w:rsidR="00C972E5" w:rsidRPr="00F466F2" w14:paraId="2A9E4B18" w14:textId="77777777" w:rsidTr="00F4676A">
        <w:trPr>
          <w:trHeight w:val="57"/>
          <w:tblHeader/>
          <w:jc w:val="right"/>
        </w:trPr>
        <w:tc>
          <w:tcPr>
            <w:tcW w:w="661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4" w:space="0" w:color="auto"/>
            </w:tcBorders>
            <w:noWrap/>
            <w:vAlign w:val="bottom"/>
            <w:hideMark/>
          </w:tcPr>
          <w:p w14:paraId="7CBB9062" w14:textId="77777777" w:rsidR="00C972E5" w:rsidRPr="00F466F2" w:rsidRDefault="00C972E5" w:rsidP="00B30518">
            <w:pPr>
              <w:pStyle w:val="Normal-pool-Table"/>
              <w:rPr>
                <w:i/>
                <w:iCs/>
              </w:rPr>
            </w:pPr>
            <w:r w:rsidRPr="00F466F2">
              <w:rPr>
                <w:i/>
                <w:iCs/>
              </w:rPr>
              <w:t>Year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auto"/>
            </w:tcBorders>
            <w:noWrap/>
            <w:vAlign w:val="bottom"/>
            <w:hideMark/>
          </w:tcPr>
          <w:p w14:paraId="429EF52A" w14:textId="77777777" w:rsidR="00C972E5" w:rsidRPr="00F466F2" w:rsidRDefault="00C972E5" w:rsidP="00B30518">
            <w:pPr>
              <w:pStyle w:val="Normal-pool-Table"/>
              <w:rPr>
                <w:i/>
                <w:iCs/>
              </w:rPr>
            </w:pPr>
            <w:r w:rsidRPr="00F466F2">
              <w:rPr>
                <w:i/>
                <w:iCs/>
              </w:rPr>
              <w:t>Meeting details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auto"/>
            </w:tcBorders>
            <w:noWrap/>
            <w:vAlign w:val="bottom"/>
            <w:hideMark/>
          </w:tcPr>
          <w:p w14:paraId="673025F2" w14:textId="77777777" w:rsidR="00C972E5" w:rsidRPr="00F466F2" w:rsidRDefault="00C972E5" w:rsidP="00B30518">
            <w:pPr>
              <w:pStyle w:val="Normal-pool-Table"/>
              <w:rPr>
                <w:i/>
                <w:iCs/>
              </w:rPr>
            </w:pPr>
            <w:r w:rsidRPr="00F466F2">
              <w:rPr>
                <w:i/>
                <w:iCs/>
              </w:rPr>
              <w:t>Venue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bottom"/>
            <w:hideMark/>
          </w:tcPr>
          <w:p w14:paraId="3D2C9F03" w14:textId="53315174" w:rsidR="00C972E5" w:rsidRPr="00F466F2" w:rsidRDefault="00C972E5" w:rsidP="00B30518">
            <w:pPr>
              <w:pStyle w:val="Normal-pool-Table"/>
              <w:rPr>
                <w:i/>
                <w:iCs/>
              </w:rPr>
            </w:pPr>
            <w:r w:rsidRPr="00F466F2">
              <w:rPr>
                <w:i/>
                <w:iCs/>
              </w:rPr>
              <w:t xml:space="preserve">Dates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bottom"/>
            <w:hideMark/>
          </w:tcPr>
          <w:p w14:paraId="73DD17B8" w14:textId="77777777" w:rsidR="00C972E5" w:rsidRPr="00F466F2" w:rsidRDefault="00C972E5" w:rsidP="00DE4C33">
            <w:pPr>
              <w:pStyle w:val="Normal-pool-Table"/>
              <w:ind w:right="-57"/>
              <w:jc w:val="right"/>
              <w:rPr>
                <w:i/>
                <w:iCs/>
              </w:rPr>
            </w:pPr>
            <w:r w:rsidRPr="00F466F2">
              <w:rPr>
                <w:i/>
                <w:iCs/>
              </w:rPr>
              <w:t>Meeting costs (incl. venue, catering, field trip)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bottom"/>
            <w:hideMark/>
          </w:tcPr>
          <w:p w14:paraId="03E3E1B0" w14:textId="3C5D067B" w:rsidR="00C972E5" w:rsidRPr="00F466F2" w:rsidRDefault="00C972E5" w:rsidP="00DE4C33">
            <w:pPr>
              <w:pStyle w:val="Normal-pool-Table"/>
              <w:jc w:val="right"/>
              <w:rPr>
                <w:i/>
                <w:iCs/>
              </w:rPr>
            </w:pPr>
            <w:r w:rsidRPr="00F6327A">
              <w:rPr>
                <w:i/>
                <w:iCs/>
              </w:rPr>
              <w:t>A5 p</w:t>
            </w:r>
            <w:r w:rsidR="00F6327A" w:rsidRPr="00F6327A">
              <w:rPr>
                <w:i/>
                <w:iCs/>
              </w:rPr>
              <w:t>articipants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bottom"/>
            <w:hideMark/>
          </w:tcPr>
          <w:p w14:paraId="5855C985" w14:textId="57CE75EC" w:rsidR="00C972E5" w:rsidRPr="00F466F2" w:rsidRDefault="00C972E5" w:rsidP="00DE4C33">
            <w:pPr>
              <w:pStyle w:val="Normal-pool-Table"/>
              <w:jc w:val="right"/>
              <w:rPr>
                <w:i/>
                <w:iCs/>
              </w:rPr>
            </w:pPr>
            <w:r w:rsidRPr="00F466F2">
              <w:rPr>
                <w:i/>
                <w:iCs/>
              </w:rPr>
              <w:t>Travel costs for year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bottom"/>
            <w:hideMark/>
          </w:tcPr>
          <w:p w14:paraId="6E20D013" w14:textId="37DDBA99" w:rsidR="00C972E5" w:rsidRPr="00F466F2" w:rsidRDefault="00F11C07" w:rsidP="00DE4C33">
            <w:pPr>
              <w:pStyle w:val="Normal-pool-Table"/>
              <w:jc w:val="right"/>
              <w:rPr>
                <w:i/>
                <w:iCs/>
              </w:rPr>
            </w:pPr>
            <w:r w:rsidRPr="009754F4">
              <w:rPr>
                <w:i/>
                <w:iCs/>
              </w:rPr>
              <w:t>C</w:t>
            </w:r>
            <w:r w:rsidR="00C972E5" w:rsidRPr="009754F4">
              <w:rPr>
                <w:i/>
                <w:iCs/>
              </w:rPr>
              <w:t xml:space="preserve">osts as % of total costs </w:t>
            </w:r>
            <w:r w:rsidR="006E14CD" w:rsidRPr="009754F4">
              <w:rPr>
                <w:i/>
                <w:iCs/>
              </w:rPr>
              <w:t>of M</w:t>
            </w:r>
            <w:r w:rsidR="009754F4" w:rsidRPr="00360094">
              <w:rPr>
                <w:i/>
                <w:iCs/>
              </w:rPr>
              <w:t>ontreal Protocol</w:t>
            </w:r>
            <w:r w:rsidR="006E14CD" w:rsidRPr="009754F4">
              <w:rPr>
                <w:i/>
                <w:iCs/>
              </w:rPr>
              <w:t xml:space="preserve"> T</w:t>
            </w:r>
            <w:r w:rsidR="009754F4" w:rsidRPr="00360094">
              <w:rPr>
                <w:i/>
                <w:iCs/>
              </w:rPr>
              <w:t>rust Fund</w:t>
            </w:r>
            <w:r w:rsidR="006E14CD" w:rsidRPr="009754F4">
              <w:rPr>
                <w:i/>
                <w:iCs/>
              </w:rPr>
              <w:t xml:space="preserve"> </w:t>
            </w:r>
            <w:r w:rsidR="00C972E5" w:rsidRPr="009754F4">
              <w:rPr>
                <w:i/>
                <w:iCs/>
              </w:rPr>
              <w:t>for year</w:t>
            </w:r>
          </w:p>
        </w:tc>
        <w:tc>
          <w:tcPr>
            <w:tcW w:w="336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8" w:space="0" w:color="auto"/>
            </w:tcBorders>
            <w:noWrap/>
            <w:vAlign w:val="bottom"/>
            <w:hideMark/>
          </w:tcPr>
          <w:p w14:paraId="7BDB6428" w14:textId="0D902D12" w:rsidR="00C972E5" w:rsidRPr="00F466F2" w:rsidRDefault="00C02D07" w:rsidP="00B30518">
            <w:pPr>
              <w:pStyle w:val="Normal-pool-Table"/>
              <w:rPr>
                <w:i/>
                <w:iCs/>
              </w:rPr>
            </w:pPr>
            <w:r w:rsidRPr="00F466F2">
              <w:rPr>
                <w:i/>
                <w:iCs/>
              </w:rPr>
              <w:t>Addit</w:t>
            </w:r>
            <w:r w:rsidR="003221E1" w:rsidRPr="00F466F2">
              <w:rPr>
                <w:i/>
                <w:iCs/>
              </w:rPr>
              <w:t>i</w:t>
            </w:r>
            <w:r w:rsidRPr="00F466F2">
              <w:rPr>
                <w:i/>
                <w:iCs/>
              </w:rPr>
              <w:t xml:space="preserve">onal </w:t>
            </w:r>
            <w:r w:rsidR="003221E1" w:rsidRPr="00F466F2">
              <w:rPr>
                <w:i/>
                <w:iCs/>
              </w:rPr>
              <w:t>n</w:t>
            </w:r>
            <w:r w:rsidR="00C972E5" w:rsidRPr="00F466F2">
              <w:rPr>
                <w:i/>
                <w:iCs/>
              </w:rPr>
              <w:t>otes</w:t>
            </w:r>
          </w:p>
        </w:tc>
      </w:tr>
      <w:tr w:rsidR="00C972E5" w:rsidRPr="00F466F2" w14:paraId="3D61020E" w14:textId="77777777" w:rsidTr="00F4676A">
        <w:trPr>
          <w:trHeight w:val="57"/>
          <w:jc w:val="right"/>
        </w:trPr>
        <w:tc>
          <w:tcPr>
            <w:tcW w:w="661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953D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  <w:r w:rsidRPr="00F466F2">
              <w:rPr>
                <w:b/>
                <w:bCs/>
                <w:color w:val="000000"/>
              </w:rPr>
              <w:t>2025</w:t>
            </w:r>
          </w:p>
        </w:tc>
        <w:tc>
          <w:tcPr>
            <w:tcW w:w="145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0FD82" w14:textId="0AD8EA52" w:rsidR="00C972E5" w:rsidRPr="00F466F2" w:rsidRDefault="00C972E5" w:rsidP="005C328C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SAP Steering Committee</w:t>
            </w:r>
          </w:p>
        </w:tc>
        <w:tc>
          <w:tcPr>
            <w:tcW w:w="1724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A2E7A" w14:textId="504C4125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York, U</w:t>
            </w:r>
            <w:r w:rsidR="00973C3F">
              <w:rPr>
                <w:color w:val="000000"/>
              </w:rPr>
              <w:t>nited Kingdom of Great Britain and Northern Ireland</w:t>
            </w:r>
          </w:p>
        </w:tc>
        <w:tc>
          <w:tcPr>
            <w:tcW w:w="153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5FEBF" w14:textId="186BFFCF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 xml:space="preserve">16 </w:t>
            </w:r>
            <w:r w:rsidR="00213C51">
              <w:rPr>
                <w:color w:val="000000"/>
              </w:rPr>
              <w:t>and</w:t>
            </w:r>
            <w:r w:rsidRPr="00F466F2">
              <w:rPr>
                <w:color w:val="000000"/>
              </w:rPr>
              <w:t xml:space="preserve"> 17 April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CC1D" w14:textId="689301B9" w:rsidR="00C972E5" w:rsidRPr="00F466F2" w:rsidRDefault="000C48F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rFonts w:eastAsia="MS Mincho"/>
              </w:rPr>
              <w:t>–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4F81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A89C" w14:textId="32B9B72A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316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434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2A9C" w14:textId="77777777" w:rsidR="00C972E5" w:rsidRPr="00F466F2" w:rsidRDefault="00C972E5" w:rsidP="00375471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6%</w:t>
            </w:r>
          </w:p>
        </w:tc>
        <w:tc>
          <w:tcPr>
            <w:tcW w:w="3362" w:type="dxa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AB8D85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 xml:space="preserve">Meeting hosted </w:t>
            </w:r>
            <w:r w:rsidRPr="00F529BA">
              <w:rPr>
                <w:color w:val="000000"/>
              </w:rPr>
              <w:t>by Swiss Federal Laboratories for Materials Science and Technology (EMPA) at no cost</w:t>
            </w:r>
          </w:p>
        </w:tc>
      </w:tr>
      <w:tr w:rsidR="00C972E5" w:rsidRPr="00F466F2" w14:paraId="3BADE851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ABA7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DF3F7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EEAP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543D0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Bari, Italy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770C9" w14:textId="24F5D904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29 August</w:t>
            </w:r>
            <w:r w:rsidR="00B972E5" w:rsidRPr="00F466F2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 xml:space="preserve"> 5</w:t>
            </w:r>
            <w:r w:rsidR="00B972E5" w:rsidRPr="00F466F2">
              <w:rPr>
                <w:color w:val="000000"/>
              </w:rPr>
              <w:t> </w:t>
            </w:r>
            <w:r w:rsidRPr="00F466F2">
              <w:rPr>
                <w:color w:val="000000"/>
              </w:rPr>
              <w:t>September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89EA" w14:textId="1F1D7374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5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A702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CB8C3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90428" w14:textId="77777777" w:rsidR="00C972E5" w:rsidRPr="00F466F2" w:rsidRDefault="00C972E5" w:rsidP="00375471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092842" w14:textId="57B1774E" w:rsidR="000C48F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4 non-A5 tr</w:t>
            </w:r>
            <w:r w:rsidR="00F6327A">
              <w:rPr>
                <w:color w:val="000000"/>
              </w:rPr>
              <w:t>ips</w:t>
            </w:r>
            <w:r w:rsidRPr="00F466F2">
              <w:rPr>
                <w:color w:val="000000"/>
              </w:rPr>
              <w:t xml:space="preserve"> covered by </w:t>
            </w:r>
            <w:r w:rsidR="00A745DC" w:rsidRPr="00F466F2">
              <w:rPr>
                <w:color w:val="000000"/>
              </w:rPr>
              <w:t xml:space="preserve">other sources </w:t>
            </w:r>
            <w:r w:rsidR="002D0C41" w:rsidRPr="00F466F2">
              <w:rPr>
                <w:color w:val="000000"/>
              </w:rPr>
              <w:t>(</w:t>
            </w:r>
            <w:r w:rsidR="00A745DC" w:rsidRPr="00F466F2">
              <w:rPr>
                <w:color w:val="000000"/>
              </w:rPr>
              <w:t>e.g.</w:t>
            </w:r>
            <w:r w:rsidR="005D3095">
              <w:rPr>
                <w:color w:val="000000"/>
              </w:rPr>
              <w:t> </w:t>
            </w:r>
            <w:r w:rsidR="00B972E5" w:rsidRPr="00F466F2">
              <w:rPr>
                <w:color w:val="000000"/>
              </w:rPr>
              <w:t>EU</w:t>
            </w:r>
            <w:r w:rsidR="00B972E5" w:rsidRPr="00F466F2">
              <w:rPr>
                <w:color w:val="000000"/>
              </w:rPr>
              <w:noBreakHyphen/>
            </w:r>
            <w:r w:rsidRPr="00F466F2">
              <w:rPr>
                <w:color w:val="000000"/>
              </w:rPr>
              <w:t>funded project</w:t>
            </w:r>
            <w:r w:rsidR="002D0C41" w:rsidRPr="00F466F2">
              <w:rPr>
                <w:color w:val="000000"/>
              </w:rPr>
              <w:t>)</w:t>
            </w:r>
          </w:p>
          <w:p w14:paraId="40313AEA" w14:textId="46333F1D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 staff member from the Secretariat participated in the meeting</w:t>
            </w:r>
          </w:p>
        </w:tc>
      </w:tr>
      <w:tr w:rsidR="00C972E5" w:rsidRPr="00F466F2" w14:paraId="0D15A38D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45F1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5F237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TEAP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DC47" w14:textId="4E3ACA0B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London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487C2" w14:textId="4065F89D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28 April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>2 May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D526" w14:textId="57F7247C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12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EB11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7EA55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57BCB" w14:textId="77777777" w:rsidR="00C972E5" w:rsidRPr="00F466F2" w:rsidRDefault="00C972E5" w:rsidP="00375471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6B0E70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 staff member from the Secretariat participated in the meeting</w:t>
            </w:r>
          </w:p>
        </w:tc>
      </w:tr>
      <w:tr w:rsidR="00C972E5" w:rsidRPr="00F466F2" w14:paraId="7B457F94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08EE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3487C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FTOC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09576" w14:textId="22FF791A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London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2B698" w14:textId="3DD59AA9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 xml:space="preserve">24 </w:t>
            </w:r>
            <w:r w:rsidR="00213C51">
              <w:rPr>
                <w:color w:val="000000"/>
              </w:rPr>
              <w:t>and</w:t>
            </w:r>
            <w:r w:rsidRPr="00F466F2">
              <w:rPr>
                <w:color w:val="000000"/>
              </w:rPr>
              <w:t xml:space="preserve"> 25 April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C02E" w14:textId="259FDFB5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2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922E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4D715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C41E1" w14:textId="77777777" w:rsidR="00C972E5" w:rsidRPr="00F466F2" w:rsidRDefault="00C972E5" w:rsidP="00375471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383B3E" w14:textId="1C6AA3AF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Meeting held at IMO at no</w:t>
            </w:r>
            <w:r w:rsidR="00F6327A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cost except for catering</w:t>
            </w:r>
          </w:p>
        </w:tc>
      </w:tr>
      <w:tr w:rsidR="00C972E5" w:rsidRPr="00F466F2" w14:paraId="350C04F5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A9A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6B6E9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FSTOC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3CEA2" w14:textId="42162519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London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AC2FE" w14:textId="669A1695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31 March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>4 April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74F35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824B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12926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46F97" w14:textId="77777777" w:rsidR="00C972E5" w:rsidRPr="00F466F2" w:rsidRDefault="00C972E5" w:rsidP="00375471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C9FD6C" w14:textId="40613E8D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Meeting held at IMO at no</w:t>
            </w:r>
            <w:r w:rsidR="00F6327A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cost except for catering</w:t>
            </w:r>
          </w:p>
        </w:tc>
      </w:tr>
      <w:tr w:rsidR="00C972E5" w:rsidRPr="00F466F2" w14:paraId="5C253B2D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F3FC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AE13D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MCTOC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FC111" w14:textId="6DA97AB1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London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E9632" w14:textId="19D4BF7B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23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>25 April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4E104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4307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D1E96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B3F6D" w14:textId="77777777" w:rsidR="00C972E5" w:rsidRPr="00F466F2" w:rsidRDefault="00C972E5" w:rsidP="00375471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1D17C2" w14:textId="11C289CF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Meeting held at IMO at no</w:t>
            </w:r>
            <w:r w:rsidR="00F6327A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cost except for catering</w:t>
            </w:r>
          </w:p>
        </w:tc>
      </w:tr>
      <w:tr w:rsidR="00C972E5" w:rsidRPr="00F466F2" w14:paraId="7B391B10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150D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0562F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MBTOC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72756" w14:textId="7A0201EF" w:rsidR="00C972E5" w:rsidRPr="00F466F2" w:rsidRDefault="00C972E5" w:rsidP="00E352B6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 xml:space="preserve">Auckland, </w:t>
            </w:r>
            <w:r w:rsidR="009557C9">
              <w:rPr>
                <w:color w:val="000000"/>
              </w:rPr>
              <w:br/>
            </w:r>
            <w:r w:rsidRPr="00F466F2">
              <w:rPr>
                <w:color w:val="000000"/>
              </w:rPr>
              <w:t>New Zealand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CD50C" w14:textId="6F2D7F8C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25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>28 March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2026" w14:textId="52C31E2F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2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3623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59883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88B1F" w14:textId="77777777" w:rsidR="00C972E5" w:rsidRPr="00F466F2" w:rsidRDefault="00C972E5" w:rsidP="00375471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CDDA36" w14:textId="3F830449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 non-A5 tr</w:t>
            </w:r>
            <w:r w:rsidR="00F6327A">
              <w:rPr>
                <w:color w:val="000000"/>
              </w:rPr>
              <w:t>ip</w:t>
            </w:r>
            <w:r w:rsidRPr="00F466F2">
              <w:rPr>
                <w:color w:val="000000"/>
              </w:rPr>
              <w:t xml:space="preserve"> covered by EU-funded project</w:t>
            </w:r>
          </w:p>
        </w:tc>
      </w:tr>
      <w:tr w:rsidR="000C48F5" w:rsidRPr="00F466F2" w14:paraId="3B0293AA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1FA9" w14:textId="77777777" w:rsidR="000C48F5" w:rsidRPr="00F466F2" w:rsidRDefault="000C48F5" w:rsidP="000C48F5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B7122" w14:textId="77777777" w:rsidR="000C48F5" w:rsidRPr="00F466F2" w:rsidRDefault="000C48F5" w:rsidP="000C48F5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RTOC (1)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FFDEB" w14:textId="20484A0D" w:rsidR="000C48F5" w:rsidRPr="00F466F2" w:rsidRDefault="000C48F5" w:rsidP="000C48F5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S</w:t>
            </w:r>
            <w:r w:rsidR="00973C3F">
              <w:rPr>
                <w:color w:val="000000"/>
              </w:rPr>
              <w:t>ø</w:t>
            </w:r>
            <w:r w:rsidRPr="00F466F2">
              <w:rPr>
                <w:color w:val="000000"/>
              </w:rPr>
              <w:t>nderborg, Denmark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CEEAC" w14:textId="0A23F60E" w:rsidR="000C48F5" w:rsidRPr="00F466F2" w:rsidRDefault="000C48F5" w:rsidP="000C48F5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8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 xml:space="preserve">11 April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0F35" w14:textId="6CC9E3CC" w:rsidR="000C48F5" w:rsidRPr="00F466F2" w:rsidRDefault="000C48F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rFonts w:eastAsia="MS Mincho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2C1B" w14:textId="77777777" w:rsidR="000C48F5" w:rsidRPr="00F466F2" w:rsidRDefault="000C48F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17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20F6E" w14:textId="77777777" w:rsidR="000C48F5" w:rsidRPr="00F466F2" w:rsidRDefault="000C48F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6C01B" w14:textId="77777777" w:rsidR="000C48F5" w:rsidRPr="00F466F2" w:rsidRDefault="000C48F5" w:rsidP="00375471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D4C125" w14:textId="77777777" w:rsidR="000C48F5" w:rsidRPr="00F466F2" w:rsidRDefault="000C48F5" w:rsidP="000C48F5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Meeting held at Danfoss at no cost</w:t>
            </w:r>
          </w:p>
        </w:tc>
      </w:tr>
      <w:tr w:rsidR="000C48F5" w:rsidRPr="00F466F2" w14:paraId="1D4E4016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B7D2" w14:textId="77777777" w:rsidR="000C48F5" w:rsidRPr="00F466F2" w:rsidRDefault="000C48F5" w:rsidP="000C48F5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3F60B" w14:textId="77777777" w:rsidR="000C48F5" w:rsidRPr="00F466F2" w:rsidRDefault="000C48F5" w:rsidP="000C48F5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RTOC (2)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2B620" w14:textId="77777777" w:rsidR="000C48F5" w:rsidRPr="00F466F2" w:rsidRDefault="000C48F5" w:rsidP="000C48F5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Guangzhou, China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1B0F4" w14:textId="20A33308" w:rsidR="000C48F5" w:rsidRPr="00F466F2" w:rsidRDefault="000C48F5" w:rsidP="000C48F5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28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>30 October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7DD9" w14:textId="460F0FAC" w:rsidR="000C48F5" w:rsidRPr="00F466F2" w:rsidRDefault="000C48F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rFonts w:eastAsia="MS Mincho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B564" w14:textId="77777777" w:rsidR="000C48F5" w:rsidRPr="00F466F2" w:rsidRDefault="000C48F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182B7" w14:textId="77777777" w:rsidR="000C48F5" w:rsidRPr="00F466F2" w:rsidRDefault="000C48F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06199" w14:textId="77777777" w:rsidR="000C48F5" w:rsidRPr="00F466F2" w:rsidRDefault="000C48F5" w:rsidP="00375471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5D107C" w14:textId="2FE9795F" w:rsidR="000C48F5" w:rsidRPr="00F466F2" w:rsidRDefault="000C48F5" w:rsidP="000C48F5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Meeting hosted by M</w:t>
            </w:r>
            <w:r w:rsidR="00F529BA">
              <w:rPr>
                <w:color w:val="000000"/>
              </w:rPr>
              <w:t>idea</w:t>
            </w:r>
            <w:r w:rsidRPr="00F466F2">
              <w:rPr>
                <w:color w:val="000000"/>
              </w:rPr>
              <w:t xml:space="preserve"> at no cost</w:t>
            </w:r>
          </w:p>
        </w:tc>
      </w:tr>
      <w:tr w:rsidR="000C48F5" w:rsidRPr="00F466F2" w14:paraId="366A1F0B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5A11" w14:textId="77777777" w:rsidR="000C48F5" w:rsidRPr="00F466F2" w:rsidRDefault="000C48F5" w:rsidP="000C48F5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8E5B7" w14:textId="5F517AFA" w:rsidR="000C48F5" w:rsidRPr="00F466F2" w:rsidRDefault="000C48F5" w:rsidP="000C48F5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 xml:space="preserve">TEAP Working Group </w:t>
            </w:r>
          </w:p>
          <w:p w14:paraId="5B75225B" w14:textId="1FC14026" w:rsidR="000C48F5" w:rsidRPr="00F466F2" w:rsidRDefault="000C48F5" w:rsidP="000C48F5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(XXXV/20)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3D147" w14:textId="2AE20595" w:rsidR="000C48F5" w:rsidRPr="00F466F2" w:rsidRDefault="000C48F5" w:rsidP="000C48F5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London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070EE" w14:textId="3BFCF753" w:rsidR="000C48F5" w:rsidRPr="00F466F2" w:rsidRDefault="000C48F5" w:rsidP="000C48F5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25</w:t>
            </w:r>
            <w:r w:rsidR="00213C51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Apr</w:t>
            </w:r>
            <w:r w:rsidR="00213C51">
              <w:rPr>
                <w:color w:val="000000"/>
              </w:rPr>
              <w:t>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0FA9" w14:textId="033D5A8C" w:rsidR="000C48F5" w:rsidRPr="00F466F2" w:rsidRDefault="000C48F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rFonts w:eastAsia="MS Mincho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9EE2" w14:textId="77777777" w:rsidR="000C48F5" w:rsidRPr="00F466F2" w:rsidRDefault="000C48F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E31CB" w14:textId="77777777" w:rsidR="000C48F5" w:rsidRPr="00F466F2" w:rsidRDefault="000C48F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935F4" w14:textId="77777777" w:rsidR="000C48F5" w:rsidRPr="00F466F2" w:rsidRDefault="000C48F5" w:rsidP="00375471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679920" w14:textId="66EDDDBB" w:rsidR="000C48F5" w:rsidRPr="00F466F2" w:rsidRDefault="000C48F5" w:rsidP="000C48F5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Meeting held at IMO at no-cost except for catering</w:t>
            </w:r>
          </w:p>
        </w:tc>
      </w:tr>
      <w:tr w:rsidR="00C972E5" w:rsidRPr="00F466F2" w14:paraId="7CDD7703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A83D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EB53" w14:textId="1096540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7ADB6" w14:textId="72A90EF4" w:rsidR="00C972E5" w:rsidRPr="00F466F2" w:rsidRDefault="00C972E5" w:rsidP="00B30518">
            <w:pPr>
              <w:pStyle w:val="Normal-pool-Table"/>
              <w:rPr>
                <w:b/>
                <w:bCs/>
                <w:color w:val="000000" w:themeColor="text1"/>
              </w:rPr>
            </w:pPr>
            <w:r w:rsidRPr="00F466F2">
              <w:rPr>
                <w:b/>
                <w:bCs/>
                <w:color w:val="000000" w:themeColor="text1"/>
              </w:rPr>
              <w:t>Subtotal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001CD" w14:textId="45F614A3" w:rsidR="00C972E5" w:rsidRPr="00F466F2" w:rsidRDefault="00C972E5" w:rsidP="00B30518">
            <w:pPr>
              <w:pStyle w:val="Normal-pool-Table"/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D17E" w14:textId="6B3F6F09" w:rsidR="00C972E5" w:rsidRPr="00F466F2" w:rsidRDefault="00C972E5" w:rsidP="00B972E5">
            <w:pPr>
              <w:pStyle w:val="Normal-pool-Table"/>
              <w:jc w:val="right"/>
              <w:rPr>
                <w:b/>
                <w:bCs/>
                <w:color w:val="000000" w:themeColor="text1"/>
              </w:rPr>
            </w:pPr>
            <w:r w:rsidRPr="00F466F2">
              <w:rPr>
                <w:b/>
                <w:bCs/>
                <w:color w:val="000000" w:themeColor="text1"/>
              </w:rPr>
              <w:t>22</w:t>
            </w:r>
            <w:r w:rsidR="000C48F5" w:rsidRPr="00F466F2">
              <w:rPr>
                <w:b/>
                <w:bCs/>
                <w:color w:val="000000" w:themeColor="text1"/>
              </w:rPr>
              <w:t xml:space="preserve"> </w:t>
            </w:r>
            <w:r w:rsidRPr="00F466F2">
              <w:rPr>
                <w:b/>
                <w:bCs/>
                <w:color w:val="000000" w:themeColor="text1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9536" w14:textId="27E50C04" w:rsidR="00C972E5" w:rsidRPr="00F466F2" w:rsidRDefault="00C972E5" w:rsidP="00B972E5">
            <w:pPr>
              <w:pStyle w:val="Normal-pool-Table"/>
              <w:jc w:val="right"/>
              <w:rPr>
                <w:b/>
                <w:bCs/>
                <w:color w:val="000000" w:themeColor="text1"/>
              </w:rPr>
            </w:pPr>
            <w:r w:rsidRPr="00F466F2">
              <w:rPr>
                <w:b/>
                <w:bCs/>
                <w:color w:val="000000" w:themeColor="text1"/>
              </w:rPr>
              <w:t xml:space="preserve">78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F936" w14:textId="474B30D3" w:rsidR="00C972E5" w:rsidRPr="00F466F2" w:rsidRDefault="00C972E5" w:rsidP="00B972E5">
            <w:pPr>
              <w:pStyle w:val="Normal-pool-Table"/>
              <w:jc w:val="right"/>
              <w:rPr>
                <w:b/>
                <w:bCs/>
                <w:color w:val="000000" w:themeColor="text1"/>
              </w:rPr>
            </w:pPr>
            <w:r w:rsidRPr="00F466F2">
              <w:rPr>
                <w:b/>
                <w:bCs/>
                <w:color w:val="000000" w:themeColor="text1"/>
              </w:rPr>
              <w:t>316</w:t>
            </w:r>
            <w:r w:rsidR="000C48F5" w:rsidRPr="00F466F2">
              <w:rPr>
                <w:b/>
                <w:bCs/>
                <w:color w:val="000000" w:themeColor="text1"/>
              </w:rPr>
              <w:t xml:space="preserve"> </w:t>
            </w:r>
            <w:r w:rsidRPr="00F466F2">
              <w:rPr>
                <w:b/>
                <w:bCs/>
                <w:color w:val="000000" w:themeColor="text1"/>
              </w:rPr>
              <w:t>434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B2FC2" w14:textId="77777777" w:rsidR="00C972E5" w:rsidRPr="00F466F2" w:rsidRDefault="00C972E5" w:rsidP="00375471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E40696" w14:textId="03DA17C1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</w:tr>
      <w:tr w:rsidR="00C972E5" w:rsidRPr="00F466F2" w14:paraId="74BFD491" w14:textId="77777777" w:rsidTr="00F4676A">
        <w:trPr>
          <w:trHeight w:val="57"/>
          <w:jc w:val="right"/>
        </w:trPr>
        <w:tc>
          <w:tcPr>
            <w:tcW w:w="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BC14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  <w:r w:rsidRPr="00F466F2">
              <w:rPr>
                <w:b/>
                <w:bCs/>
                <w:color w:val="000000"/>
              </w:rPr>
              <w:t>2024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B2D32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EEAP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1C083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Lammi, Finland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34A44" w14:textId="5AAFA4BE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14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>19 September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E307" w14:textId="34D52531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9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5298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5CE6" w14:textId="0F81BF86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179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175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A891" w14:textId="77777777" w:rsidR="00C972E5" w:rsidRPr="00F466F2" w:rsidRDefault="00C972E5" w:rsidP="00375471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4%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BAEB61" w14:textId="1F5001D7" w:rsidR="000C48F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4 non-A5 tr</w:t>
            </w:r>
            <w:r w:rsidR="00F6327A">
              <w:rPr>
                <w:color w:val="000000"/>
              </w:rPr>
              <w:t>ips</w:t>
            </w:r>
            <w:r w:rsidRPr="00F466F2">
              <w:rPr>
                <w:color w:val="000000"/>
              </w:rPr>
              <w:t xml:space="preserve"> covered by </w:t>
            </w:r>
            <w:r w:rsidR="002D0C41" w:rsidRPr="00F466F2">
              <w:rPr>
                <w:color w:val="000000"/>
              </w:rPr>
              <w:t>other sources (e.g.</w:t>
            </w:r>
            <w:r w:rsidR="005D3095">
              <w:rPr>
                <w:color w:val="000000"/>
              </w:rPr>
              <w:t> </w:t>
            </w:r>
            <w:r w:rsidR="00B972E5" w:rsidRPr="00F466F2">
              <w:rPr>
                <w:color w:val="000000"/>
              </w:rPr>
              <w:t>EU</w:t>
            </w:r>
            <w:r w:rsidR="00B972E5" w:rsidRPr="00F466F2">
              <w:rPr>
                <w:color w:val="000000"/>
              </w:rPr>
              <w:noBreakHyphen/>
            </w:r>
            <w:r w:rsidRPr="00F466F2">
              <w:rPr>
                <w:color w:val="000000"/>
              </w:rPr>
              <w:t>funded project</w:t>
            </w:r>
            <w:r w:rsidR="002D0C41" w:rsidRPr="00F466F2">
              <w:rPr>
                <w:color w:val="000000"/>
              </w:rPr>
              <w:t>)</w:t>
            </w:r>
          </w:p>
          <w:p w14:paraId="167A8152" w14:textId="0BE9E209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 xml:space="preserve">1 </w:t>
            </w:r>
            <w:r w:rsidR="00F6327A" w:rsidRPr="00F466F2">
              <w:rPr>
                <w:color w:val="000000"/>
              </w:rPr>
              <w:t xml:space="preserve">staff member from the Secretariat </w:t>
            </w:r>
            <w:r w:rsidRPr="00F466F2">
              <w:rPr>
                <w:color w:val="000000"/>
              </w:rPr>
              <w:t>participated in the meeting</w:t>
            </w:r>
          </w:p>
        </w:tc>
      </w:tr>
      <w:tr w:rsidR="00C972E5" w:rsidRPr="00F466F2" w14:paraId="68732885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BE33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FB0BA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TEAP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8F56" w14:textId="26912EEA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Rome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69FD2" w14:textId="2AC190F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29 April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>3 May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235D" w14:textId="6CFCE9F8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4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8C17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E1802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BF3C5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43ADE6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 staff member from the Secretariat participated in the meeting</w:t>
            </w:r>
          </w:p>
        </w:tc>
      </w:tr>
      <w:tr w:rsidR="00C972E5" w:rsidRPr="00F466F2" w14:paraId="7E585176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5999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80FE9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FTOC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72281" w14:textId="5EE311EB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Brussels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385EF" w14:textId="48335B6F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 xml:space="preserve">25 </w:t>
            </w:r>
            <w:r w:rsidR="00213C51">
              <w:rPr>
                <w:color w:val="000000"/>
              </w:rPr>
              <w:t>and</w:t>
            </w:r>
            <w:r w:rsidRPr="00F466F2">
              <w:rPr>
                <w:color w:val="000000"/>
              </w:rPr>
              <w:t xml:space="preserve"> 26 April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D7DA" w14:textId="71A5E9BB" w:rsidR="00C972E5" w:rsidRPr="00F466F2" w:rsidRDefault="000C48F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rFonts w:eastAsia="MS Mincho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783F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FEF9E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83512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28E7FB" w14:textId="528D94A1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 xml:space="preserve">Meeting held at </w:t>
            </w:r>
            <w:r w:rsidRPr="00F529BA">
              <w:rPr>
                <w:color w:val="000000"/>
              </w:rPr>
              <w:t>European Diisocyanate and Polyol Producers Association (ISOPA)</w:t>
            </w:r>
            <w:r w:rsidR="00276058" w:rsidRPr="00F529BA">
              <w:rPr>
                <w:color w:val="000000"/>
              </w:rPr>
              <w:t xml:space="preserve"> at</w:t>
            </w:r>
            <w:r w:rsidR="00276058" w:rsidRPr="00F466F2">
              <w:rPr>
                <w:color w:val="000000"/>
              </w:rPr>
              <w:t xml:space="preserve"> no cost</w:t>
            </w:r>
            <w:r w:rsidR="008E2B60">
              <w:rPr>
                <w:color w:val="000000"/>
              </w:rPr>
              <w:t>; c</w:t>
            </w:r>
            <w:r w:rsidRPr="00F466F2">
              <w:rPr>
                <w:color w:val="000000"/>
              </w:rPr>
              <w:t xml:space="preserve">atering paid </w:t>
            </w:r>
            <w:r w:rsidR="008E2B60">
              <w:rPr>
                <w:color w:val="000000"/>
              </w:rPr>
              <w:t xml:space="preserve">for </w:t>
            </w:r>
            <w:r w:rsidRPr="00F466F2">
              <w:rPr>
                <w:color w:val="000000"/>
              </w:rPr>
              <w:t xml:space="preserve">by </w:t>
            </w:r>
            <w:r w:rsidR="00CF48A0" w:rsidRPr="00F466F2">
              <w:rPr>
                <w:color w:val="000000"/>
              </w:rPr>
              <w:t>a co-chair</w:t>
            </w:r>
          </w:p>
        </w:tc>
      </w:tr>
      <w:tr w:rsidR="00C972E5" w:rsidRPr="00F466F2" w14:paraId="528B209C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0E6F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887D2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FTOC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78C8" w14:textId="1C8BD1D0" w:rsidR="00C972E5" w:rsidRPr="00973C3F" w:rsidRDefault="00C972E5" w:rsidP="00B30518">
            <w:pPr>
              <w:pStyle w:val="Normal-pool-Table"/>
              <w:rPr>
                <w:color w:val="000000"/>
              </w:rPr>
            </w:pPr>
            <w:r w:rsidRPr="00973C3F">
              <w:rPr>
                <w:color w:val="000000"/>
              </w:rPr>
              <w:t>Atlanta</w:t>
            </w:r>
            <w:r w:rsidRPr="00360094">
              <w:rPr>
                <w:color w:val="000000"/>
              </w:rPr>
              <w:t>, U</w:t>
            </w:r>
            <w:r w:rsidR="00973C3F" w:rsidRPr="00360094">
              <w:rPr>
                <w:color w:val="000000"/>
              </w:rPr>
              <w:t>nited States of America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93CF0" w14:textId="3AFCCC90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 xml:space="preserve">3 </w:t>
            </w:r>
            <w:r w:rsidR="00213C51">
              <w:rPr>
                <w:color w:val="000000"/>
              </w:rPr>
              <w:t>and</w:t>
            </w:r>
            <w:r w:rsidRPr="00F466F2">
              <w:rPr>
                <w:color w:val="000000"/>
              </w:rPr>
              <w:t xml:space="preserve"> 4 October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3AA70" w14:textId="643CCC4C" w:rsidR="00C972E5" w:rsidRPr="00F466F2" w:rsidRDefault="000C48F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rFonts w:eastAsia="MS Mincho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7011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E0CCC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DD908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BE98A" w14:textId="3A5707F6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 xml:space="preserve">Meeting held at Residence Inn by </w:t>
            </w:r>
            <w:r w:rsidR="005D3095">
              <w:rPr>
                <w:color w:val="000000"/>
              </w:rPr>
              <w:t>Marriott</w:t>
            </w:r>
            <w:r w:rsidR="005D3095">
              <w:rPr>
                <w:color w:val="000000"/>
              </w:rPr>
              <w:noBreakHyphen/>
            </w:r>
            <w:r w:rsidRPr="00F466F2">
              <w:rPr>
                <w:color w:val="000000"/>
              </w:rPr>
              <w:t>Atlanta Downtown</w:t>
            </w:r>
            <w:r w:rsidR="00276058" w:rsidRPr="00F466F2">
              <w:rPr>
                <w:color w:val="000000"/>
              </w:rPr>
              <w:t xml:space="preserve"> at no cost</w:t>
            </w:r>
            <w:r w:rsidR="00F529BA">
              <w:rPr>
                <w:color w:val="000000"/>
              </w:rPr>
              <w:t>; c</w:t>
            </w:r>
            <w:r w:rsidRPr="00F466F2">
              <w:rPr>
                <w:color w:val="000000"/>
              </w:rPr>
              <w:t>atering paid</w:t>
            </w:r>
            <w:r w:rsidR="00F529BA">
              <w:rPr>
                <w:color w:val="000000"/>
              </w:rPr>
              <w:t xml:space="preserve"> for</w:t>
            </w:r>
            <w:r w:rsidRPr="00F466F2">
              <w:rPr>
                <w:color w:val="000000"/>
              </w:rPr>
              <w:t xml:space="preserve"> by </w:t>
            </w:r>
            <w:r w:rsidR="00CF48A0" w:rsidRPr="00F466F2">
              <w:rPr>
                <w:color w:val="000000"/>
              </w:rPr>
              <w:t>a co</w:t>
            </w:r>
            <w:r w:rsidR="00C638C9">
              <w:rPr>
                <w:color w:val="000000"/>
              </w:rPr>
              <w:t>-</w:t>
            </w:r>
            <w:r w:rsidR="00CF48A0" w:rsidRPr="00F466F2">
              <w:rPr>
                <w:color w:val="000000"/>
              </w:rPr>
              <w:t>chair</w:t>
            </w:r>
            <w:r w:rsidR="00B072F4" w:rsidRPr="00F466F2">
              <w:rPr>
                <w:color w:val="000000"/>
              </w:rPr>
              <w:t xml:space="preserve"> </w:t>
            </w:r>
          </w:p>
        </w:tc>
      </w:tr>
      <w:tr w:rsidR="00C972E5" w:rsidRPr="00F466F2" w14:paraId="4228B9F4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D378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3716B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FSTOC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2F302" w14:textId="37D93937" w:rsidR="00C972E5" w:rsidRPr="00973C3F" w:rsidRDefault="00C972E5" w:rsidP="00B30518">
            <w:pPr>
              <w:pStyle w:val="Normal-pool-Table"/>
              <w:rPr>
                <w:color w:val="000000"/>
              </w:rPr>
            </w:pPr>
            <w:r w:rsidRPr="00973C3F">
              <w:rPr>
                <w:color w:val="000000"/>
              </w:rPr>
              <w:t>Bangkok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1651A" w14:textId="2374CC72" w:rsidR="00C972E5" w:rsidRPr="00F466F2" w:rsidRDefault="00C972E5" w:rsidP="00C86E2E">
            <w:pPr>
              <w:pStyle w:val="Normal-pool-Table"/>
              <w:ind w:right="-113"/>
              <w:rPr>
                <w:color w:val="000000"/>
              </w:rPr>
            </w:pPr>
            <w:r w:rsidRPr="00F466F2">
              <w:rPr>
                <w:color w:val="000000"/>
              </w:rPr>
              <w:t>24 February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>1 March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53F7" w14:textId="64988706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3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E314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14086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0861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8F57D1" w14:textId="52D4069B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 non-A5 tr</w:t>
            </w:r>
            <w:r w:rsidR="00F6327A">
              <w:rPr>
                <w:color w:val="000000"/>
              </w:rPr>
              <w:t>ip</w:t>
            </w:r>
            <w:r w:rsidRPr="00F466F2">
              <w:rPr>
                <w:color w:val="000000"/>
              </w:rPr>
              <w:t xml:space="preserve"> covered by </w:t>
            </w:r>
            <w:r w:rsidR="008871AC" w:rsidRPr="00F466F2">
              <w:rPr>
                <w:color w:val="000000"/>
              </w:rPr>
              <w:t>other sources (e.g.</w:t>
            </w:r>
            <w:r w:rsidR="005D3095">
              <w:rPr>
                <w:color w:val="000000"/>
              </w:rPr>
              <w:t> </w:t>
            </w:r>
            <w:r w:rsidR="00B972E5" w:rsidRPr="00F466F2">
              <w:rPr>
                <w:color w:val="000000"/>
              </w:rPr>
              <w:t>EU</w:t>
            </w:r>
            <w:r w:rsidR="00B972E5" w:rsidRPr="00F466F2">
              <w:rPr>
                <w:color w:val="000000"/>
              </w:rPr>
              <w:noBreakHyphen/>
            </w:r>
            <w:r w:rsidRPr="00F466F2">
              <w:rPr>
                <w:color w:val="000000"/>
              </w:rPr>
              <w:t>funded project</w:t>
            </w:r>
            <w:r w:rsidR="008871AC" w:rsidRPr="00F466F2">
              <w:rPr>
                <w:color w:val="000000"/>
              </w:rPr>
              <w:t>)</w:t>
            </w:r>
          </w:p>
        </w:tc>
      </w:tr>
      <w:tr w:rsidR="00C972E5" w:rsidRPr="00F466F2" w14:paraId="27445059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94FE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A9576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MCTOC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4AAC1" w14:textId="2B0E564E" w:rsidR="00C972E5" w:rsidRPr="00973C3F" w:rsidRDefault="00C972E5" w:rsidP="00B30518">
            <w:pPr>
              <w:pStyle w:val="Normal-pool-Table"/>
              <w:rPr>
                <w:color w:val="000000"/>
              </w:rPr>
            </w:pPr>
            <w:r w:rsidRPr="00973C3F">
              <w:rPr>
                <w:color w:val="000000"/>
              </w:rPr>
              <w:t>Paris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7949E" w14:textId="6011BAB0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15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>17 April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3776" w14:textId="7B8F9B32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56FA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675A1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BA644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A63B77" w14:textId="15A47CE4" w:rsidR="00C972E5" w:rsidRPr="00F466F2" w:rsidRDefault="00560871" w:rsidP="00B30518">
            <w:pPr>
              <w:pStyle w:val="Normal-pool-Table"/>
              <w:rPr>
                <w:color w:val="000000"/>
              </w:rPr>
            </w:pPr>
            <w:r>
              <w:rPr>
                <w:color w:val="000000"/>
              </w:rPr>
              <w:t xml:space="preserve">Meeting held </w:t>
            </w:r>
            <w:r w:rsidRPr="00F529BA">
              <w:rPr>
                <w:color w:val="000000"/>
              </w:rPr>
              <w:t xml:space="preserve">at UNEP </w:t>
            </w:r>
            <w:r w:rsidR="00F529BA">
              <w:rPr>
                <w:color w:val="000000"/>
              </w:rPr>
              <w:t>o</w:t>
            </w:r>
            <w:r w:rsidRPr="00F529BA">
              <w:rPr>
                <w:color w:val="000000"/>
              </w:rPr>
              <w:t>ffice</w:t>
            </w:r>
            <w:r>
              <w:rPr>
                <w:color w:val="000000"/>
              </w:rPr>
              <w:t xml:space="preserve"> in Paris at no cost</w:t>
            </w:r>
            <w:r w:rsidR="00191E0D">
              <w:rPr>
                <w:color w:val="000000"/>
              </w:rPr>
              <w:t xml:space="preserve"> except for catering</w:t>
            </w:r>
          </w:p>
        </w:tc>
      </w:tr>
      <w:tr w:rsidR="00C972E5" w:rsidRPr="00F466F2" w14:paraId="13878C40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3EFA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BABBA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MBTOC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7CD2C" w14:textId="47771C4B" w:rsidR="00C972E5" w:rsidRPr="00360094" w:rsidRDefault="00C972E5" w:rsidP="00B30518">
            <w:pPr>
              <w:pStyle w:val="Normal-pool-Table"/>
              <w:rPr>
                <w:color w:val="000000"/>
              </w:rPr>
            </w:pPr>
            <w:r w:rsidRPr="00360094">
              <w:rPr>
                <w:color w:val="000000"/>
              </w:rPr>
              <w:t>Ho Chi Minh</w:t>
            </w:r>
            <w:r w:rsidR="00973C3F" w:rsidRPr="00360094">
              <w:rPr>
                <w:color w:val="000000"/>
              </w:rPr>
              <w:t xml:space="preserve"> City</w:t>
            </w:r>
            <w:r w:rsidRPr="00360094">
              <w:rPr>
                <w:color w:val="000000"/>
              </w:rPr>
              <w:t>, Viet Nam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6F037" w14:textId="6257E7FB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11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 xml:space="preserve">14 March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6917" w14:textId="3A45C709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2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5B9E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D8215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4369F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10472F" w14:textId="616B6804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2 non-A5 tr</w:t>
            </w:r>
            <w:r w:rsidR="00F6327A">
              <w:rPr>
                <w:color w:val="000000"/>
              </w:rPr>
              <w:t>ips</w:t>
            </w:r>
            <w:r w:rsidRPr="00F466F2">
              <w:rPr>
                <w:color w:val="000000"/>
              </w:rPr>
              <w:t xml:space="preserve"> covered by </w:t>
            </w:r>
            <w:r w:rsidR="008871AC" w:rsidRPr="00F466F2">
              <w:rPr>
                <w:color w:val="000000"/>
              </w:rPr>
              <w:t>other sources (e.g.</w:t>
            </w:r>
            <w:r w:rsidR="005D3095">
              <w:rPr>
                <w:color w:val="000000"/>
              </w:rPr>
              <w:t> </w:t>
            </w:r>
            <w:r w:rsidR="00B972E5" w:rsidRPr="00F466F2">
              <w:rPr>
                <w:color w:val="000000"/>
              </w:rPr>
              <w:t>EU</w:t>
            </w:r>
            <w:r w:rsidR="00B972E5" w:rsidRPr="00F466F2">
              <w:rPr>
                <w:color w:val="000000"/>
              </w:rPr>
              <w:noBreakHyphen/>
            </w:r>
            <w:r w:rsidRPr="00F466F2">
              <w:rPr>
                <w:color w:val="000000"/>
              </w:rPr>
              <w:t>funded project</w:t>
            </w:r>
            <w:r w:rsidR="008871AC" w:rsidRPr="00F466F2">
              <w:rPr>
                <w:color w:val="000000"/>
              </w:rPr>
              <w:t>)</w:t>
            </w:r>
          </w:p>
        </w:tc>
      </w:tr>
      <w:tr w:rsidR="00C972E5" w:rsidRPr="00F466F2" w14:paraId="04086119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333D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689A6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RTOC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B5AA8" w14:textId="77777777" w:rsidR="00C972E5" w:rsidRPr="00360094" w:rsidRDefault="00C972E5" w:rsidP="00B30518">
            <w:pPr>
              <w:pStyle w:val="Normal-pool-Table"/>
              <w:rPr>
                <w:color w:val="000000"/>
              </w:rPr>
            </w:pPr>
            <w:r w:rsidRPr="00360094">
              <w:rPr>
                <w:color w:val="000000"/>
              </w:rPr>
              <w:t>Bali, Indonesia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19F18" w14:textId="70824781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22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 xml:space="preserve">24 April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412B" w14:textId="304F60F9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6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31</w:t>
            </w:r>
            <w:r w:rsidR="00026449">
              <w:rPr>
                <w:color w:val="000000"/>
              </w:rPr>
              <w:t xml:space="preserve">TEAP </w:t>
            </w:r>
            <w:r w:rsidRPr="00F466F2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0C93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17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54A48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F6EB1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F66188" w14:textId="2C2C13A9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</w:tr>
      <w:tr w:rsidR="00C972E5" w:rsidRPr="00F466F2" w14:paraId="2BADFAC8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A285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4A920" w14:textId="4375ECFD" w:rsidR="00C972E5" w:rsidRPr="00F466F2" w:rsidRDefault="00026449" w:rsidP="00B30518">
            <w:pPr>
              <w:pStyle w:val="Normal-pool-Table"/>
              <w:rPr>
                <w:color w:val="000000"/>
              </w:rPr>
            </w:pPr>
            <w:r>
              <w:rPr>
                <w:color w:val="000000"/>
              </w:rPr>
              <w:t xml:space="preserve">TEAP </w:t>
            </w:r>
            <w:r w:rsidR="004168A3" w:rsidRPr="00360094">
              <w:rPr>
                <w:color w:val="000000"/>
              </w:rPr>
              <w:t>life-cycle refrigerant management task force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8FE2E" w14:textId="1E116EF8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London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BDE1C" w14:textId="1DDAD765" w:rsidR="00C972E5" w:rsidRPr="00F466F2" w:rsidRDefault="00C972E5" w:rsidP="00C86E2E">
            <w:pPr>
              <w:pStyle w:val="Normal-pool-Table"/>
              <w:ind w:right="-113"/>
              <w:rPr>
                <w:color w:val="000000"/>
              </w:rPr>
            </w:pPr>
            <w:r w:rsidRPr="00F466F2">
              <w:rPr>
                <w:color w:val="000000"/>
              </w:rPr>
              <w:t xml:space="preserve">28 February </w:t>
            </w:r>
            <w:r w:rsidR="00213C51">
              <w:rPr>
                <w:color w:val="000000"/>
              </w:rPr>
              <w:t>and</w:t>
            </w:r>
            <w:r w:rsidRPr="00F466F2">
              <w:rPr>
                <w:color w:val="000000"/>
              </w:rPr>
              <w:t xml:space="preserve"> 1</w:t>
            </w:r>
            <w:r w:rsidR="005D3095">
              <w:rPr>
                <w:color w:val="000000"/>
              </w:rPr>
              <w:t> </w:t>
            </w:r>
            <w:r w:rsidRPr="00F466F2">
              <w:rPr>
                <w:color w:val="000000"/>
              </w:rPr>
              <w:t>March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C93E" w14:textId="0BC1605F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7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06AD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1C255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92C85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4DA489" w14:textId="79862318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</w:tr>
      <w:tr w:rsidR="00C972E5" w:rsidRPr="00F466F2" w14:paraId="5097193E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8A6B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D1AD1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A85A3" w14:textId="6F85F31D" w:rsidR="00C972E5" w:rsidRPr="00F466F2" w:rsidRDefault="00C972E5" w:rsidP="00B30518">
            <w:pPr>
              <w:pStyle w:val="Normal-pool-Table"/>
              <w:rPr>
                <w:b/>
                <w:bCs/>
              </w:rPr>
            </w:pPr>
            <w:r w:rsidRPr="00F466F2">
              <w:rPr>
                <w:b/>
                <w:bCs/>
              </w:rPr>
              <w:t>Subtotal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A385" w14:textId="44A63A31" w:rsidR="00C972E5" w:rsidRPr="00F466F2" w:rsidRDefault="00C972E5" w:rsidP="00B30518">
            <w:pPr>
              <w:pStyle w:val="Normal-pool-Table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EEEF9" w14:textId="79E37CCB" w:rsidR="00C972E5" w:rsidRPr="00F466F2" w:rsidRDefault="00C972E5" w:rsidP="00B972E5">
            <w:pPr>
              <w:pStyle w:val="Normal-pool-Table"/>
              <w:jc w:val="right"/>
              <w:rPr>
                <w:b/>
                <w:bCs/>
              </w:rPr>
            </w:pPr>
            <w:r w:rsidRPr="00F466F2">
              <w:rPr>
                <w:b/>
                <w:bCs/>
              </w:rPr>
              <w:t>34</w:t>
            </w:r>
            <w:r w:rsidR="000C48F5" w:rsidRPr="00F466F2">
              <w:rPr>
                <w:b/>
                <w:bCs/>
              </w:rPr>
              <w:t xml:space="preserve"> </w:t>
            </w:r>
            <w:r w:rsidRPr="00F466F2">
              <w:rPr>
                <w:b/>
                <w:bCs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28F23" w14:textId="5664F496" w:rsidR="00C972E5" w:rsidRPr="00F466F2" w:rsidRDefault="00C972E5" w:rsidP="00B972E5">
            <w:pPr>
              <w:pStyle w:val="Normal-pool-Table"/>
              <w:jc w:val="right"/>
              <w:rPr>
                <w:b/>
                <w:bCs/>
              </w:rPr>
            </w:pPr>
            <w:r w:rsidRPr="00F466F2">
              <w:rPr>
                <w:b/>
                <w:bCs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12E6" w14:textId="333C00D5" w:rsidR="00C972E5" w:rsidRPr="00F466F2" w:rsidRDefault="00C972E5" w:rsidP="00B972E5">
            <w:pPr>
              <w:pStyle w:val="Normal-pool-Table"/>
              <w:jc w:val="right"/>
              <w:rPr>
                <w:b/>
                <w:bCs/>
              </w:rPr>
            </w:pPr>
            <w:r w:rsidRPr="00F466F2">
              <w:rPr>
                <w:b/>
                <w:bCs/>
              </w:rPr>
              <w:t>179</w:t>
            </w:r>
            <w:r w:rsidR="000C48F5" w:rsidRPr="00F466F2">
              <w:rPr>
                <w:b/>
                <w:bCs/>
              </w:rPr>
              <w:t xml:space="preserve"> </w:t>
            </w:r>
            <w:r w:rsidRPr="00F466F2">
              <w:rPr>
                <w:b/>
                <w:bCs/>
              </w:rPr>
              <w:t>175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3CB96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D5FEA6" w14:textId="46DBE924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</w:tr>
      <w:tr w:rsidR="00C972E5" w:rsidRPr="00F466F2" w14:paraId="3FC43652" w14:textId="77777777" w:rsidTr="00F4676A">
        <w:trPr>
          <w:trHeight w:val="57"/>
          <w:jc w:val="right"/>
        </w:trPr>
        <w:tc>
          <w:tcPr>
            <w:tcW w:w="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51F0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  <w:r w:rsidRPr="00F466F2">
              <w:rPr>
                <w:b/>
                <w:bCs/>
                <w:color w:val="000000"/>
              </w:rPr>
              <w:t>2023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44C0A" w14:textId="424767CB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 xml:space="preserve">Synthesis </w:t>
            </w:r>
            <w:r w:rsidR="00026449">
              <w:rPr>
                <w:color w:val="000000"/>
              </w:rPr>
              <w:t>r</w:t>
            </w:r>
            <w:r w:rsidRPr="00F466F2">
              <w:rPr>
                <w:color w:val="000000"/>
              </w:rPr>
              <w:t xml:space="preserve">eport </w:t>
            </w:r>
            <w:r w:rsidR="001B3A21" w:rsidRPr="00F466F2">
              <w:rPr>
                <w:color w:val="000000"/>
              </w:rPr>
              <w:t>(</w:t>
            </w:r>
            <w:r w:rsidR="0007746E" w:rsidRPr="00F466F2">
              <w:rPr>
                <w:color w:val="000000"/>
              </w:rPr>
              <w:t>co-chairs</w:t>
            </w:r>
            <w:r w:rsidR="006C29F1" w:rsidRPr="00F466F2">
              <w:rPr>
                <w:color w:val="000000"/>
              </w:rPr>
              <w:t xml:space="preserve"> of panels)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5EC07" w14:textId="4865AEB6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London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CC4EC" w14:textId="7FEC6ADC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 xml:space="preserve">20 </w:t>
            </w:r>
            <w:r w:rsidR="00213C51">
              <w:rPr>
                <w:color w:val="000000"/>
              </w:rPr>
              <w:t>and</w:t>
            </w:r>
            <w:r w:rsidRPr="00F466F2">
              <w:rPr>
                <w:color w:val="000000"/>
              </w:rPr>
              <w:t xml:space="preserve"> 21 April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7FA8" w14:textId="0195AB02" w:rsidR="00C972E5" w:rsidRPr="00F466F2" w:rsidRDefault="000C48F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rFonts w:eastAsia="MS Mincho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157D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44DC" w14:textId="4862A69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276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294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8DDA" w14:textId="77777777" w:rsidR="00C972E5" w:rsidRPr="00F466F2" w:rsidRDefault="00C972E5" w:rsidP="00997D38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5%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515997" w14:textId="2BCC6598" w:rsidR="00D1366C" w:rsidRDefault="00D1366C" w:rsidP="00B30518">
            <w:pPr>
              <w:pStyle w:val="Normal-pool-Table"/>
              <w:rPr>
                <w:color w:val="000000"/>
              </w:rPr>
            </w:pPr>
            <w:r>
              <w:rPr>
                <w:color w:val="000000"/>
              </w:rPr>
              <w:t>Meeting held at IMO at no cost</w:t>
            </w:r>
            <w:r w:rsidR="00191E0D">
              <w:rPr>
                <w:color w:val="000000"/>
              </w:rPr>
              <w:t xml:space="preserve"> </w:t>
            </w:r>
          </w:p>
          <w:p w14:paraId="2AF2CD8C" w14:textId="7E730345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2 staff members from the Secretariat participated in the meeting</w:t>
            </w:r>
          </w:p>
        </w:tc>
      </w:tr>
      <w:tr w:rsidR="00C972E5" w:rsidRPr="00F466F2" w14:paraId="37DD4714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C60C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EA787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EEAP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DD8D5" w14:textId="5B6252CE" w:rsidR="00C972E5" w:rsidRPr="00973C3F" w:rsidRDefault="00C972E5" w:rsidP="00B30518">
            <w:pPr>
              <w:pStyle w:val="Normal-pool-Table"/>
              <w:rPr>
                <w:color w:val="000000"/>
              </w:rPr>
            </w:pPr>
            <w:r w:rsidRPr="00973C3F">
              <w:rPr>
                <w:color w:val="000000"/>
              </w:rPr>
              <w:t xml:space="preserve">Colorado, </w:t>
            </w:r>
            <w:r w:rsidR="00973C3F" w:rsidRPr="00360094">
              <w:rPr>
                <w:color w:val="000000"/>
              </w:rPr>
              <w:t>United States of America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447B5" w14:textId="660F99D3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18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>24 September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CCEA" w14:textId="078E04C9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3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DEAF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C9D3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E6CDC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45E1F9" w14:textId="7F8D308E" w:rsidR="000C48F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5 non-A5 tr</w:t>
            </w:r>
            <w:r w:rsidR="00F6327A">
              <w:rPr>
                <w:color w:val="000000"/>
              </w:rPr>
              <w:t>ips</w:t>
            </w:r>
            <w:r w:rsidRPr="00F466F2">
              <w:rPr>
                <w:color w:val="000000"/>
              </w:rPr>
              <w:t xml:space="preserve"> covered by </w:t>
            </w:r>
            <w:r w:rsidR="00244003" w:rsidRPr="00F466F2">
              <w:rPr>
                <w:color w:val="000000"/>
              </w:rPr>
              <w:t>other sources (e.g.</w:t>
            </w:r>
            <w:r w:rsidR="005D3095">
              <w:rPr>
                <w:color w:val="000000"/>
              </w:rPr>
              <w:t> </w:t>
            </w:r>
            <w:r w:rsidR="00B972E5" w:rsidRPr="00F466F2">
              <w:rPr>
                <w:color w:val="000000"/>
              </w:rPr>
              <w:t>EU</w:t>
            </w:r>
            <w:r w:rsidR="00B972E5" w:rsidRPr="00F466F2">
              <w:rPr>
                <w:color w:val="000000"/>
              </w:rPr>
              <w:noBreakHyphen/>
            </w:r>
            <w:r w:rsidRPr="00F466F2">
              <w:rPr>
                <w:color w:val="000000"/>
              </w:rPr>
              <w:t>funded project</w:t>
            </w:r>
            <w:r w:rsidR="00244003" w:rsidRPr="00F466F2">
              <w:rPr>
                <w:color w:val="000000"/>
              </w:rPr>
              <w:t>)</w:t>
            </w:r>
          </w:p>
          <w:p w14:paraId="29C2F928" w14:textId="7560811B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 staff member from the Secretariat participated in the meeting</w:t>
            </w:r>
          </w:p>
        </w:tc>
      </w:tr>
      <w:tr w:rsidR="00C972E5" w:rsidRPr="00F466F2" w14:paraId="0A178BF5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920C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BB0A5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TEAP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A56C" w14:textId="668CAFEB" w:rsidR="00C972E5" w:rsidRPr="00973C3F" w:rsidRDefault="00C972E5" w:rsidP="00B30518">
            <w:pPr>
              <w:pStyle w:val="Normal-pool-Table"/>
              <w:rPr>
                <w:color w:val="000000"/>
              </w:rPr>
            </w:pPr>
            <w:r w:rsidRPr="00973C3F">
              <w:rPr>
                <w:color w:val="000000"/>
              </w:rPr>
              <w:t>London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B0742" w14:textId="3E45BFC9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24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 xml:space="preserve">28 April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65E4" w14:textId="0D6F9A16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7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996B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9838C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87E6E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F72372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2 staff members from the Secretariat participated in the meeting</w:t>
            </w:r>
          </w:p>
        </w:tc>
      </w:tr>
      <w:tr w:rsidR="00C972E5" w:rsidRPr="00F466F2" w14:paraId="6157256A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EAAE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7E349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FSTOC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74BB4" w14:textId="14DB4DB3" w:rsidR="00C972E5" w:rsidRPr="00973C3F" w:rsidRDefault="00C972E5" w:rsidP="00B30518">
            <w:pPr>
              <w:pStyle w:val="Normal-pool-Table"/>
              <w:rPr>
                <w:color w:val="000000"/>
              </w:rPr>
            </w:pPr>
            <w:r w:rsidRPr="00973C3F">
              <w:rPr>
                <w:color w:val="000000"/>
              </w:rPr>
              <w:t>Cairo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FE63F" w14:textId="3C409109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6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 xml:space="preserve">9 March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DF05" w14:textId="45B353E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1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9E61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0C7BB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B1843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8EBF8B" w14:textId="1408EB4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 non-A5 tr</w:t>
            </w:r>
            <w:r w:rsidR="00F6327A">
              <w:rPr>
                <w:color w:val="000000"/>
              </w:rPr>
              <w:t>ip</w:t>
            </w:r>
            <w:r w:rsidRPr="00F466F2">
              <w:rPr>
                <w:color w:val="000000"/>
              </w:rPr>
              <w:t xml:space="preserve"> covered by </w:t>
            </w:r>
            <w:r w:rsidR="00AB0E4B" w:rsidRPr="00F466F2">
              <w:rPr>
                <w:color w:val="000000"/>
              </w:rPr>
              <w:t>other sources (e.g.</w:t>
            </w:r>
            <w:r w:rsidR="005D3095">
              <w:rPr>
                <w:color w:val="000000"/>
              </w:rPr>
              <w:t> </w:t>
            </w:r>
            <w:r w:rsidR="00B972E5" w:rsidRPr="00F466F2">
              <w:rPr>
                <w:color w:val="000000"/>
              </w:rPr>
              <w:t>EU</w:t>
            </w:r>
            <w:r w:rsidR="00B972E5" w:rsidRPr="00F466F2">
              <w:rPr>
                <w:color w:val="000000"/>
              </w:rPr>
              <w:noBreakHyphen/>
            </w:r>
            <w:r w:rsidRPr="00F466F2">
              <w:rPr>
                <w:color w:val="000000"/>
              </w:rPr>
              <w:t>funded project</w:t>
            </w:r>
            <w:r w:rsidR="00AB0E4B" w:rsidRPr="00F466F2">
              <w:rPr>
                <w:color w:val="000000"/>
              </w:rPr>
              <w:t>)</w:t>
            </w:r>
          </w:p>
        </w:tc>
      </w:tr>
      <w:tr w:rsidR="00C972E5" w:rsidRPr="00F466F2" w14:paraId="4AE0E57E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3F41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E8219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MCTOC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1B8A0" w14:textId="3536B093" w:rsidR="00C972E5" w:rsidRPr="00973C3F" w:rsidRDefault="00C972E5" w:rsidP="00B30518">
            <w:pPr>
              <w:pStyle w:val="Normal-pool-Table"/>
              <w:rPr>
                <w:color w:val="000000"/>
              </w:rPr>
            </w:pPr>
            <w:r w:rsidRPr="00973C3F">
              <w:rPr>
                <w:color w:val="000000"/>
              </w:rPr>
              <w:t>London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486CC" w14:textId="0E20D092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17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 xml:space="preserve">19 April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348C" w14:textId="35CB0658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C330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CEA98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0A11B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D18B7B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IMO hosted</w:t>
            </w:r>
          </w:p>
        </w:tc>
      </w:tr>
      <w:tr w:rsidR="00C972E5" w:rsidRPr="00F466F2" w14:paraId="72046540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FD9F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E9759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MBTOC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12253" w14:textId="1BEE2A5D" w:rsidR="00C972E5" w:rsidRPr="00973C3F" w:rsidRDefault="00C972E5" w:rsidP="00B30518">
            <w:pPr>
              <w:pStyle w:val="Normal-pool-Table"/>
              <w:rPr>
                <w:color w:val="000000"/>
              </w:rPr>
            </w:pPr>
            <w:r w:rsidRPr="00973C3F">
              <w:rPr>
                <w:color w:val="000000"/>
              </w:rPr>
              <w:t xml:space="preserve">Philadelphia, </w:t>
            </w:r>
            <w:r w:rsidR="00973C3F" w:rsidRPr="00360094">
              <w:rPr>
                <w:color w:val="000000"/>
              </w:rPr>
              <w:t>United States of America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EA0B2" w14:textId="1ADBE38A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13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 xml:space="preserve">17 March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9EA4" w14:textId="18EA257B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A21D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116A3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E5ED4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08CF45" w14:textId="46A31AB6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</w:tr>
      <w:tr w:rsidR="00C972E5" w:rsidRPr="00F466F2" w14:paraId="75318264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4AA0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4B80F" w14:textId="386781FF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 xml:space="preserve">RTOC </w:t>
            </w:r>
            <w:r w:rsidR="004168A3">
              <w:rPr>
                <w:color w:val="000000"/>
              </w:rPr>
              <w:t>c</w:t>
            </w:r>
            <w:r w:rsidRPr="00F466F2">
              <w:rPr>
                <w:color w:val="000000"/>
              </w:rPr>
              <w:t>o-</w:t>
            </w:r>
            <w:r w:rsidR="004168A3">
              <w:rPr>
                <w:color w:val="000000"/>
              </w:rPr>
              <w:t>c</w:t>
            </w:r>
            <w:r w:rsidRPr="00F466F2">
              <w:rPr>
                <w:color w:val="000000"/>
              </w:rPr>
              <w:t>hairs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612C7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Munich, Germany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B5BE6" w14:textId="75F2D93E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24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>26 January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46EC" w14:textId="6BA59854" w:rsidR="00C972E5" w:rsidRPr="00F466F2" w:rsidRDefault="000C48F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rFonts w:eastAsia="MS Mincho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8056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A2A59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780A1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6E9AB2" w14:textId="44F771D0" w:rsidR="00C972E5" w:rsidRPr="00F466F2" w:rsidRDefault="009E49BF" w:rsidP="00B30518">
            <w:pPr>
              <w:pStyle w:val="Normal-pool-Table"/>
              <w:rPr>
                <w:color w:val="000000"/>
              </w:rPr>
            </w:pPr>
            <w:r>
              <w:rPr>
                <w:color w:val="000000"/>
              </w:rPr>
              <w:t xml:space="preserve">The </w:t>
            </w:r>
            <w:r w:rsidR="004168A3">
              <w:rPr>
                <w:color w:val="000000"/>
              </w:rPr>
              <w:t>c</w:t>
            </w:r>
            <w:r>
              <w:rPr>
                <w:color w:val="000000"/>
              </w:rPr>
              <w:t>o-</w:t>
            </w:r>
            <w:r w:rsidR="004168A3">
              <w:rPr>
                <w:color w:val="000000"/>
              </w:rPr>
              <w:t>c</w:t>
            </w:r>
            <w:r>
              <w:rPr>
                <w:color w:val="000000"/>
              </w:rPr>
              <w:t xml:space="preserve">hairs met </w:t>
            </w:r>
            <w:r w:rsidR="00F529BA">
              <w:rPr>
                <w:color w:val="000000"/>
              </w:rPr>
              <w:t>at</w:t>
            </w:r>
            <w:r>
              <w:rPr>
                <w:color w:val="000000"/>
              </w:rPr>
              <w:t xml:space="preserve"> the hotel they were staying</w:t>
            </w:r>
            <w:r w:rsidR="004C744E">
              <w:rPr>
                <w:color w:val="000000"/>
              </w:rPr>
              <w:t xml:space="preserve"> </w:t>
            </w:r>
            <w:r w:rsidR="00F529BA">
              <w:rPr>
                <w:color w:val="000000"/>
              </w:rPr>
              <w:t>at; hence</w:t>
            </w:r>
            <w:r w:rsidR="004168A3">
              <w:rPr>
                <w:color w:val="000000"/>
              </w:rPr>
              <w:t xml:space="preserve"> </w:t>
            </w:r>
            <w:r w:rsidR="004C744E">
              <w:rPr>
                <w:color w:val="000000"/>
              </w:rPr>
              <w:t>no venue cost</w:t>
            </w:r>
          </w:p>
        </w:tc>
      </w:tr>
      <w:tr w:rsidR="00C972E5" w:rsidRPr="00F466F2" w14:paraId="7627959C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2D8B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3E0AD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RTOC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F02A5" w14:textId="63D61399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Paris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55DD0" w14:textId="26BAC906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26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>28 August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E7A7" w14:textId="72B899EF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5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CB81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18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F0BE7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85018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E584E1" w14:textId="0BC4824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</w:tr>
      <w:tr w:rsidR="00C972E5" w:rsidRPr="00F466F2" w14:paraId="73A9AA20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74D6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616A1" w14:textId="3B6612DB" w:rsidR="00C972E5" w:rsidRPr="00F466F2" w:rsidRDefault="00524441" w:rsidP="00B30518">
            <w:pPr>
              <w:pStyle w:val="Normal-pool-Table"/>
              <w:rPr>
                <w:color w:val="000000"/>
              </w:rPr>
            </w:pPr>
            <w:r>
              <w:rPr>
                <w:color w:val="000000"/>
              </w:rPr>
              <w:t>TEAP RTF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ECCA5" w14:textId="55EE3BB1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Montreal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DAB95" w14:textId="2F74D0DD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11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>15 February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6492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0F07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C5F27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B2C51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3FEE67" w14:textId="28AC39B4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</w:tr>
      <w:tr w:rsidR="00C972E5" w:rsidRPr="00F466F2" w14:paraId="7297D77B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7D1E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CCC86" w14:textId="24580EAB" w:rsidR="00C972E5" w:rsidRPr="00F466F2" w:rsidRDefault="00524441" w:rsidP="00B30518">
            <w:pPr>
              <w:pStyle w:val="Normal-pool-Table"/>
              <w:rPr>
                <w:color w:val="000000"/>
              </w:rPr>
            </w:pPr>
            <w:r>
              <w:rPr>
                <w:color w:val="000000"/>
              </w:rPr>
              <w:t xml:space="preserve">TEAP </w:t>
            </w:r>
            <w:r w:rsidR="00C972E5" w:rsidRPr="00F466F2">
              <w:rPr>
                <w:color w:val="000000"/>
              </w:rPr>
              <w:t>RTF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F2EB5" w14:textId="2F7D86C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Bangkok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FC3AC" w14:textId="7DA8479F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18</w:t>
            </w:r>
            <w:r w:rsidR="00213C51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Jul</w:t>
            </w:r>
            <w:r w:rsidR="00213C51">
              <w:rPr>
                <w:color w:val="000000"/>
              </w:rPr>
              <w:t>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893C" w14:textId="48A1DECD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7DEB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65FE9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A48AF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932FA6" w14:textId="5F32B6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</w:tr>
      <w:tr w:rsidR="00C972E5" w:rsidRPr="00F466F2" w14:paraId="574688DC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8444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904D7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B614E" w14:textId="3BD09BF8" w:rsidR="00C972E5" w:rsidRPr="00F466F2" w:rsidRDefault="00C972E5" w:rsidP="00B30518">
            <w:pPr>
              <w:pStyle w:val="Normal-pool-Table"/>
              <w:rPr>
                <w:b/>
                <w:bCs/>
              </w:rPr>
            </w:pPr>
            <w:r w:rsidRPr="00F466F2">
              <w:rPr>
                <w:b/>
                <w:bCs/>
              </w:rPr>
              <w:t>Subtotal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0C5D5" w14:textId="77777777" w:rsidR="00C972E5" w:rsidRPr="00F466F2" w:rsidRDefault="00C972E5" w:rsidP="00B30518">
            <w:pPr>
              <w:pStyle w:val="Normal-pool-Table"/>
              <w:rPr>
                <w:b/>
                <w:bCs/>
              </w:rPr>
            </w:pPr>
            <w:r w:rsidRPr="00F466F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1D59" w14:textId="6F55BB6E" w:rsidR="00C972E5" w:rsidRPr="00F466F2" w:rsidRDefault="00C972E5" w:rsidP="00B972E5">
            <w:pPr>
              <w:pStyle w:val="Normal-pool-Table"/>
              <w:jc w:val="right"/>
              <w:rPr>
                <w:b/>
                <w:bCs/>
              </w:rPr>
            </w:pPr>
            <w:r w:rsidRPr="00F466F2">
              <w:rPr>
                <w:b/>
                <w:bCs/>
              </w:rPr>
              <w:t>19</w:t>
            </w:r>
            <w:r w:rsidR="000C48F5" w:rsidRPr="00F466F2">
              <w:rPr>
                <w:b/>
                <w:bCs/>
              </w:rPr>
              <w:t xml:space="preserve"> </w:t>
            </w:r>
            <w:r w:rsidRPr="00F466F2">
              <w:rPr>
                <w:b/>
                <w:bCs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B62D" w14:textId="5F4E2AAB" w:rsidR="00C972E5" w:rsidRPr="00F466F2" w:rsidRDefault="00C972E5" w:rsidP="00B972E5">
            <w:pPr>
              <w:pStyle w:val="Normal-pool-Table"/>
              <w:jc w:val="right"/>
              <w:rPr>
                <w:b/>
                <w:bCs/>
              </w:rPr>
            </w:pPr>
            <w:r w:rsidRPr="00F466F2">
              <w:rPr>
                <w:b/>
                <w:bCs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A3D5" w14:textId="67E0CEA7" w:rsidR="00C972E5" w:rsidRPr="00F466F2" w:rsidRDefault="00C972E5" w:rsidP="00B972E5">
            <w:pPr>
              <w:pStyle w:val="Normal-pool-Table"/>
              <w:jc w:val="right"/>
              <w:rPr>
                <w:b/>
                <w:bCs/>
              </w:rPr>
            </w:pPr>
            <w:r w:rsidRPr="00F466F2">
              <w:rPr>
                <w:b/>
                <w:bCs/>
              </w:rPr>
              <w:t>276</w:t>
            </w:r>
            <w:r w:rsidR="000C48F5" w:rsidRPr="00F466F2">
              <w:rPr>
                <w:b/>
                <w:bCs/>
              </w:rPr>
              <w:t xml:space="preserve"> </w:t>
            </w:r>
            <w:r w:rsidRPr="00F466F2">
              <w:rPr>
                <w:b/>
                <w:bCs/>
              </w:rPr>
              <w:t>294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AE0CC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DEB15A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 </w:t>
            </w:r>
          </w:p>
        </w:tc>
      </w:tr>
      <w:tr w:rsidR="00C972E5" w:rsidRPr="00F466F2" w14:paraId="75A48EF1" w14:textId="77777777" w:rsidTr="00F4676A">
        <w:trPr>
          <w:trHeight w:val="57"/>
          <w:jc w:val="right"/>
        </w:trPr>
        <w:tc>
          <w:tcPr>
            <w:tcW w:w="6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7FD3E7C" w14:textId="77777777" w:rsidR="00C972E5" w:rsidRPr="00F466F2" w:rsidRDefault="00C972E5" w:rsidP="00B30518">
            <w:pPr>
              <w:pStyle w:val="Normal-pool-Table"/>
              <w:rPr>
                <w:b/>
                <w:bCs/>
                <w:color w:val="000000"/>
              </w:rPr>
            </w:pPr>
            <w:r w:rsidRPr="00F466F2">
              <w:rPr>
                <w:b/>
                <w:bCs/>
                <w:color w:val="000000"/>
              </w:rPr>
              <w:t>2022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2EE5E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SAP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F6563" w14:textId="4CFC40A6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Geneva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16D9D" w14:textId="04490C0E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25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>29 July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1A65" w14:textId="556E3B20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18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5FEC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A24B" w14:textId="1CDBF461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161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038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5C714FB" w14:textId="77777777" w:rsidR="00C972E5" w:rsidRPr="00F466F2" w:rsidRDefault="00C972E5" w:rsidP="00375471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4%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C87CD1" w14:textId="01603035" w:rsidR="00B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 non-A5 tr</w:t>
            </w:r>
            <w:r w:rsidR="00F6327A">
              <w:rPr>
                <w:color w:val="000000"/>
              </w:rPr>
              <w:t>ip</w:t>
            </w:r>
            <w:r w:rsidRPr="00F466F2">
              <w:rPr>
                <w:color w:val="000000"/>
              </w:rPr>
              <w:t xml:space="preserve"> covered by </w:t>
            </w:r>
            <w:r w:rsidR="00942991" w:rsidRPr="00F466F2">
              <w:rPr>
                <w:color w:val="000000"/>
              </w:rPr>
              <w:t>other sources (e.g.</w:t>
            </w:r>
            <w:r w:rsidR="00085ABD">
              <w:rPr>
                <w:color w:val="000000"/>
              </w:rPr>
              <w:t> </w:t>
            </w:r>
            <w:r w:rsidR="00B972E5" w:rsidRPr="00F466F2">
              <w:rPr>
                <w:color w:val="000000"/>
              </w:rPr>
              <w:t>EU</w:t>
            </w:r>
            <w:r w:rsidR="00B972E5" w:rsidRPr="00F466F2">
              <w:rPr>
                <w:color w:val="000000"/>
              </w:rPr>
              <w:noBreakHyphen/>
            </w:r>
            <w:r w:rsidRPr="00F466F2">
              <w:rPr>
                <w:color w:val="000000"/>
              </w:rPr>
              <w:t>funded project</w:t>
            </w:r>
            <w:r w:rsidR="00942991" w:rsidRPr="00F466F2">
              <w:rPr>
                <w:color w:val="000000"/>
              </w:rPr>
              <w:t>)</w:t>
            </w:r>
          </w:p>
          <w:p w14:paraId="117CA3CC" w14:textId="12FADBA1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2 staff members from the Secretariat participated in the meeting</w:t>
            </w:r>
          </w:p>
        </w:tc>
      </w:tr>
      <w:tr w:rsidR="00C972E5" w:rsidRPr="00F466F2" w14:paraId="0EEDDAAA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50C987B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273F0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EEAP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67C15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Kalmar, Sweden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2E675" w14:textId="622620CB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19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>27 September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CC28" w14:textId="1E723EBA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9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D01A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770C7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79BE5B61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9E57B3" w14:textId="6BC4E6C8" w:rsidR="00B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2 non-A5 tr</w:t>
            </w:r>
            <w:r w:rsidR="00F6327A">
              <w:rPr>
                <w:color w:val="000000"/>
              </w:rPr>
              <w:t>ips</w:t>
            </w:r>
            <w:r w:rsidRPr="00F466F2">
              <w:rPr>
                <w:color w:val="000000"/>
              </w:rPr>
              <w:t xml:space="preserve"> covered by </w:t>
            </w:r>
            <w:r w:rsidR="007C72AA" w:rsidRPr="00F466F2">
              <w:rPr>
                <w:color w:val="000000"/>
              </w:rPr>
              <w:t>other sources (e.g.</w:t>
            </w:r>
            <w:r w:rsidR="00B972E5" w:rsidRPr="00F466F2">
              <w:rPr>
                <w:color w:val="000000"/>
              </w:rPr>
              <w:t> EU</w:t>
            </w:r>
            <w:r w:rsidR="00B972E5" w:rsidRPr="00F466F2">
              <w:rPr>
                <w:color w:val="000000"/>
              </w:rPr>
              <w:noBreakHyphen/>
            </w:r>
            <w:r w:rsidRPr="00F466F2">
              <w:rPr>
                <w:color w:val="000000"/>
              </w:rPr>
              <w:t>funded project</w:t>
            </w:r>
            <w:r w:rsidR="007C72AA" w:rsidRPr="00F466F2">
              <w:rPr>
                <w:color w:val="000000"/>
              </w:rPr>
              <w:t>)</w:t>
            </w:r>
          </w:p>
          <w:p w14:paraId="16C49752" w14:textId="776B11FF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 staff member from the Secretariat participated in the meeting</w:t>
            </w:r>
          </w:p>
        </w:tc>
      </w:tr>
      <w:tr w:rsidR="00C972E5" w:rsidRPr="00F466F2" w14:paraId="2B44AB13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5EA763C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CAC5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TEAP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D9B6B" w14:textId="7BD6868E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London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02605" w14:textId="6FF4F82F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3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 xml:space="preserve">7 May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78F7" w14:textId="0BFC0829" w:rsidR="00C972E5" w:rsidRPr="00F466F2" w:rsidRDefault="0002420D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rFonts w:eastAsia="MS Mincho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6BD4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58486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7759E0B8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0D511" w14:textId="23E213FE" w:rsidR="00FC085B" w:rsidRDefault="00FC085B" w:rsidP="00B30518">
            <w:pPr>
              <w:pStyle w:val="Normal-pool-Table"/>
              <w:rPr>
                <w:color w:val="000000"/>
              </w:rPr>
            </w:pPr>
            <w:r>
              <w:rPr>
                <w:color w:val="000000"/>
              </w:rPr>
              <w:t xml:space="preserve">Meeting </w:t>
            </w:r>
            <w:r w:rsidR="0060263E">
              <w:rPr>
                <w:color w:val="000000"/>
              </w:rPr>
              <w:t>costs covered by DEFRA</w:t>
            </w:r>
          </w:p>
          <w:p w14:paraId="4E0EDD17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 staff member from the Secretariat participated in the meeting</w:t>
            </w:r>
          </w:p>
        </w:tc>
      </w:tr>
      <w:tr w:rsidR="00C972E5" w:rsidRPr="00F466F2" w14:paraId="42F0C857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463CB14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26336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HTOC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4B0C9" w14:textId="3325C6EC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Stockholm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EE245" w14:textId="4B4D28CC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14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 xml:space="preserve">16 June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1CF9" w14:textId="7D74B1D5" w:rsidR="00C972E5" w:rsidRPr="00F466F2" w:rsidRDefault="0002420D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rFonts w:eastAsia="MS Mincho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673A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C1621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3869C5B5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A6BE17" w14:textId="77777777" w:rsidR="00CE537C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Meeting costs covered by host HTOC member</w:t>
            </w:r>
          </w:p>
          <w:p w14:paraId="4CD282CD" w14:textId="6A22E483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1 non-A5 tr</w:t>
            </w:r>
            <w:r w:rsidR="00F6327A">
              <w:rPr>
                <w:color w:val="000000"/>
              </w:rPr>
              <w:t>ip</w:t>
            </w:r>
            <w:r w:rsidRPr="00F466F2">
              <w:rPr>
                <w:color w:val="000000"/>
              </w:rPr>
              <w:t xml:space="preserve"> covered by </w:t>
            </w:r>
            <w:r w:rsidR="00CE537C" w:rsidRPr="00F466F2">
              <w:rPr>
                <w:color w:val="000000"/>
              </w:rPr>
              <w:t>other sources (e.g.</w:t>
            </w:r>
            <w:r w:rsidR="00506946">
              <w:rPr>
                <w:color w:val="000000"/>
              </w:rPr>
              <w:t> </w:t>
            </w:r>
            <w:r w:rsidR="00B972E5" w:rsidRPr="00F466F2">
              <w:rPr>
                <w:color w:val="000000"/>
              </w:rPr>
              <w:t>EU</w:t>
            </w:r>
            <w:r w:rsidR="00B972E5" w:rsidRPr="00F466F2">
              <w:rPr>
                <w:color w:val="000000"/>
              </w:rPr>
              <w:noBreakHyphen/>
            </w:r>
            <w:r w:rsidRPr="00F466F2">
              <w:rPr>
                <w:color w:val="000000"/>
              </w:rPr>
              <w:t>funded project</w:t>
            </w:r>
            <w:r w:rsidR="00CE537C" w:rsidRPr="00F466F2">
              <w:rPr>
                <w:color w:val="000000"/>
              </w:rPr>
              <w:t>)</w:t>
            </w:r>
          </w:p>
        </w:tc>
      </w:tr>
      <w:tr w:rsidR="00C972E5" w:rsidRPr="00F466F2" w14:paraId="4BD671B1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A429197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81B7B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RTOC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1E6B" w14:textId="57A55D9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Pari</w:t>
            </w:r>
            <w:r w:rsidR="00213C51">
              <w:rPr>
                <w:color w:val="000000"/>
              </w:rPr>
              <w:t>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2B573" w14:textId="7E044830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9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 xml:space="preserve">11 March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0106" w14:textId="6777A917" w:rsidR="00C972E5" w:rsidRPr="00F466F2" w:rsidRDefault="000C48F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rFonts w:eastAsia="MS Mincho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33F2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1B2EB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4EB99958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C92BF" w14:textId="05524D95" w:rsidR="00C972E5" w:rsidRPr="00F466F2" w:rsidRDefault="00BA50F1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 xml:space="preserve">Meeting held at </w:t>
            </w:r>
            <w:r w:rsidR="00C972E5" w:rsidRPr="00F466F2">
              <w:rPr>
                <w:color w:val="000000"/>
              </w:rPr>
              <w:t xml:space="preserve">UNEP </w:t>
            </w:r>
            <w:proofErr w:type="spellStart"/>
            <w:r w:rsidR="00C972E5" w:rsidRPr="00F466F2">
              <w:rPr>
                <w:color w:val="000000"/>
              </w:rPr>
              <w:t>OzonAction</w:t>
            </w:r>
            <w:proofErr w:type="spellEnd"/>
            <w:r w:rsidR="00C972E5" w:rsidRPr="00F466F2">
              <w:rPr>
                <w:color w:val="000000"/>
              </w:rPr>
              <w:t xml:space="preserve"> office </w:t>
            </w:r>
            <w:r w:rsidR="009B578A" w:rsidRPr="00F466F2">
              <w:rPr>
                <w:color w:val="000000"/>
              </w:rPr>
              <w:t xml:space="preserve">at </w:t>
            </w:r>
            <w:r w:rsidR="00B972E5" w:rsidRPr="00F466F2">
              <w:rPr>
                <w:color w:val="000000"/>
              </w:rPr>
              <w:t>no</w:t>
            </w:r>
            <w:r w:rsidR="00F6327A">
              <w:rPr>
                <w:color w:val="000000"/>
              </w:rPr>
              <w:t xml:space="preserve"> </w:t>
            </w:r>
            <w:r w:rsidR="009B578A" w:rsidRPr="00F466F2">
              <w:rPr>
                <w:color w:val="000000"/>
              </w:rPr>
              <w:t>cost</w:t>
            </w:r>
          </w:p>
        </w:tc>
      </w:tr>
      <w:tr w:rsidR="00C972E5" w:rsidRPr="00F466F2" w14:paraId="67D43D44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CD47800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C9CFF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RTOC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FCC5C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Luxor, Egypt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FCAA7" w14:textId="4176EF39" w:rsidR="00C972E5" w:rsidRPr="00F466F2" w:rsidRDefault="00C972E5" w:rsidP="00B30518">
            <w:pPr>
              <w:pStyle w:val="Normal-pool-Table"/>
              <w:rPr>
                <w:color w:val="000000"/>
              </w:rPr>
            </w:pPr>
            <w:r w:rsidRPr="00F466F2">
              <w:rPr>
                <w:color w:val="000000"/>
              </w:rPr>
              <w:t>8</w:t>
            </w:r>
            <w:r w:rsidR="00213C51">
              <w:rPr>
                <w:color w:val="000000"/>
              </w:rPr>
              <w:t>–</w:t>
            </w:r>
            <w:r w:rsidRPr="00F466F2">
              <w:rPr>
                <w:color w:val="000000"/>
              </w:rPr>
              <w:t>10 December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2B5B" w14:textId="56552B11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7</w:t>
            </w:r>
            <w:r w:rsidR="000C48F5" w:rsidRPr="00F466F2">
              <w:rPr>
                <w:color w:val="000000"/>
              </w:rPr>
              <w:t xml:space="preserve"> </w:t>
            </w:r>
            <w:r w:rsidRPr="00F466F2">
              <w:rPr>
                <w:color w:val="000000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0EDC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  <w:r w:rsidRPr="00F466F2">
              <w:rPr>
                <w:color w:val="000000"/>
              </w:rPr>
              <w:t>11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0EEBB" w14:textId="77777777" w:rsidR="00C972E5" w:rsidRPr="00F466F2" w:rsidRDefault="00C972E5" w:rsidP="00B972E5">
            <w:pPr>
              <w:pStyle w:val="Normal-pool-Table"/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4DF3497C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56F3D1" w14:textId="4A13B5D4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</w:tr>
      <w:tr w:rsidR="00C972E5" w:rsidRPr="00F466F2" w14:paraId="55E7451E" w14:textId="77777777" w:rsidTr="00F4676A">
        <w:trPr>
          <w:trHeight w:val="57"/>
          <w:jc w:val="right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hideMark/>
          </w:tcPr>
          <w:p w14:paraId="543F3736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hideMark/>
          </w:tcPr>
          <w:p w14:paraId="183606D5" w14:textId="3178F376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hideMark/>
          </w:tcPr>
          <w:p w14:paraId="6BB0E8A7" w14:textId="0AC429FD" w:rsidR="00C972E5" w:rsidRPr="00F466F2" w:rsidRDefault="00C972E5" w:rsidP="00B30518">
            <w:pPr>
              <w:pStyle w:val="Normal-pool-Table"/>
              <w:rPr>
                <w:b/>
                <w:bCs/>
              </w:rPr>
            </w:pPr>
            <w:r w:rsidRPr="00F466F2">
              <w:rPr>
                <w:b/>
                <w:bCs/>
              </w:rPr>
              <w:t>Subtotal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hideMark/>
          </w:tcPr>
          <w:p w14:paraId="7CDA2F3F" w14:textId="77777777" w:rsidR="00C972E5" w:rsidRPr="00F466F2" w:rsidRDefault="00C972E5" w:rsidP="00B30518">
            <w:pPr>
              <w:pStyle w:val="Normal-pool-Table"/>
              <w:rPr>
                <w:b/>
                <w:bCs/>
              </w:rPr>
            </w:pPr>
            <w:r w:rsidRPr="00F466F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bottom"/>
            <w:hideMark/>
          </w:tcPr>
          <w:p w14:paraId="59538955" w14:textId="7FE50B00" w:rsidR="00C972E5" w:rsidRPr="00F466F2" w:rsidRDefault="00C972E5" w:rsidP="00B972E5">
            <w:pPr>
              <w:pStyle w:val="Normal-pool-Table"/>
              <w:jc w:val="right"/>
              <w:rPr>
                <w:b/>
                <w:bCs/>
              </w:rPr>
            </w:pPr>
            <w:r w:rsidRPr="00F466F2">
              <w:rPr>
                <w:b/>
                <w:bCs/>
              </w:rPr>
              <w:t>36</w:t>
            </w:r>
            <w:r w:rsidR="000C48F5" w:rsidRPr="00F466F2">
              <w:rPr>
                <w:b/>
                <w:bCs/>
              </w:rPr>
              <w:t xml:space="preserve"> </w:t>
            </w:r>
            <w:r w:rsidRPr="00F466F2">
              <w:rPr>
                <w:b/>
                <w:bCs/>
              </w:rPr>
              <w:t>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bottom"/>
            <w:hideMark/>
          </w:tcPr>
          <w:p w14:paraId="74C86F0C" w14:textId="086D7DFC" w:rsidR="00C972E5" w:rsidRPr="00F466F2" w:rsidRDefault="00C972E5" w:rsidP="00B972E5">
            <w:pPr>
              <w:pStyle w:val="Normal-pool-Table"/>
              <w:jc w:val="right"/>
              <w:rPr>
                <w:b/>
                <w:bCs/>
              </w:rPr>
            </w:pPr>
            <w:r w:rsidRPr="00F466F2">
              <w:rPr>
                <w:b/>
                <w:bCs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bottom"/>
            <w:hideMark/>
          </w:tcPr>
          <w:p w14:paraId="48591226" w14:textId="288B76A7" w:rsidR="00C972E5" w:rsidRPr="00F466F2" w:rsidRDefault="00C972E5" w:rsidP="00B972E5">
            <w:pPr>
              <w:pStyle w:val="Normal-pool-Table"/>
              <w:jc w:val="right"/>
              <w:rPr>
                <w:b/>
                <w:bCs/>
              </w:rPr>
            </w:pPr>
            <w:r w:rsidRPr="00F466F2">
              <w:rPr>
                <w:b/>
                <w:bCs/>
              </w:rPr>
              <w:t>161</w:t>
            </w:r>
            <w:r w:rsidR="000C48F5" w:rsidRPr="00F466F2">
              <w:rPr>
                <w:b/>
                <w:bCs/>
              </w:rPr>
              <w:t xml:space="preserve"> </w:t>
            </w:r>
            <w:r w:rsidRPr="00F466F2">
              <w:rPr>
                <w:b/>
                <w:bCs/>
              </w:rPr>
              <w:t>038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bottom"/>
            <w:hideMark/>
          </w:tcPr>
          <w:p w14:paraId="1C1A2023" w14:textId="77777777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bottom"/>
            <w:hideMark/>
          </w:tcPr>
          <w:p w14:paraId="314F9A82" w14:textId="0F3C679B" w:rsidR="00C972E5" w:rsidRPr="00F466F2" w:rsidRDefault="00C972E5" w:rsidP="00B30518">
            <w:pPr>
              <w:pStyle w:val="Normal-pool-Table"/>
              <w:rPr>
                <w:color w:val="000000"/>
              </w:rPr>
            </w:pPr>
          </w:p>
        </w:tc>
      </w:tr>
    </w:tbl>
    <w:p w14:paraId="69F24CC7" w14:textId="5FD2C8AE" w:rsidR="00F6327A" w:rsidRPr="00781699" w:rsidRDefault="009557C9" w:rsidP="009557C9">
      <w:pPr>
        <w:pStyle w:val="Normal-pool"/>
        <w:tabs>
          <w:tab w:val="clear" w:pos="624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1814"/>
          <w:tab w:val="left" w:pos="2381"/>
          <w:tab w:val="left" w:pos="2948"/>
          <w:tab w:val="left" w:pos="3515"/>
          <w:tab w:val="left" w:pos="4082"/>
        </w:tabs>
        <w:spacing w:before="60"/>
        <w:ind w:left="1247"/>
        <w:rPr>
          <w:rFonts w:eastAsiaTheme="minorHAnsi"/>
          <w:sz w:val="17"/>
          <w:szCs w:val="17"/>
        </w:rPr>
        <w:sectPr w:rsidR="00F6327A" w:rsidRPr="00781699" w:rsidSect="00B30518">
          <w:pgSz w:w="16839" w:h="11907" w:orient="landscape" w:code="9"/>
          <w:pgMar w:top="907" w:right="992" w:bottom="1418" w:left="1418" w:header="539" w:footer="975" w:gutter="0"/>
          <w:cols w:space="539"/>
          <w:docGrid w:linePitch="360"/>
        </w:sectPr>
      </w:pPr>
      <w:r w:rsidRPr="00781699">
        <w:rPr>
          <w:rFonts w:eastAsiaTheme="minorHAnsi"/>
          <w:sz w:val="17"/>
          <w:szCs w:val="17"/>
        </w:rPr>
        <w:tab/>
      </w:r>
      <w:r w:rsidR="00F6327A" w:rsidRPr="00F41A17">
        <w:rPr>
          <w:rFonts w:eastAsiaTheme="minorEastAsia"/>
          <w:i/>
          <w:iCs/>
          <w:sz w:val="17"/>
          <w:szCs w:val="17"/>
        </w:rPr>
        <w:t>Abbreviations</w:t>
      </w:r>
      <w:r w:rsidR="00F6327A" w:rsidRPr="00F41A17">
        <w:rPr>
          <w:rFonts w:eastAsiaTheme="minorEastAsia"/>
          <w:sz w:val="17"/>
          <w:szCs w:val="17"/>
        </w:rPr>
        <w:t xml:space="preserve">: A5 – from parties operating under paragraph 1 of Article 5; </w:t>
      </w:r>
      <w:r w:rsidR="00F529BA" w:rsidRPr="00F41A17">
        <w:rPr>
          <w:rFonts w:eastAsiaTheme="minorEastAsia"/>
          <w:sz w:val="17"/>
          <w:szCs w:val="17"/>
        </w:rPr>
        <w:t xml:space="preserve">DEFRA </w:t>
      </w:r>
      <w:r w:rsidR="00524441" w:rsidRPr="00F41A17">
        <w:rPr>
          <w:rFonts w:eastAsiaTheme="minorEastAsia"/>
          <w:sz w:val="17"/>
          <w:szCs w:val="17"/>
        </w:rPr>
        <w:t>–</w:t>
      </w:r>
      <w:r w:rsidR="00F529BA" w:rsidRPr="00F41A17">
        <w:rPr>
          <w:rFonts w:eastAsiaTheme="minorEastAsia"/>
          <w:sz w:val="17"/>
          <w:szCs w:val="17"/>
        </w:rPr>
        <w:t xml:space="preserve"> </w:t>
      </w:r>
      <w:r w:rsidR="00F529BA" w:rsidRPr="00781699">
        <w:rPr>
          <w:rFonts w:eastAsiaTheme="minorEastAsia"/>
          <w:sz w:val="17"/>
          <w:szCs w:val="17"/>
        </w:rPr>
        <w:t>Department</w:t>
      </w:r>
      <w:r w:rsidR="00524441" w:rsidRPr="00781699">
        <w:rPr>
          <w:rFonts w:eastAsiaTheme="minorEastAsia"/>
          <w:sz w:val="17"/>
          <w:szCs w:val="17"/>
        </w:rPr>
        <w:t xml:space="preserve"> </w:t>
      </w:r>
      <w:r w:rsidR="00F529BA" w:rsidRPr="00781699">
        <w:rPr>
          <w:rFonts w:eastAsiaTheme="minorEastAsia"/>
          <w:sz w:val="17"/>
          <w:szCs w:val="17"/>
        </w:rPr>
        <w:t>for Environment, Food and Rural Affairs</w:t>
      </w:r>
      <w:r w:rsidR="00F529BA" w:rsidRPr="00F41A17">
        <w:rPr>
          <w:rFonts w:eastAsiaTheme="minorEastAsia"/>
          <w:sz w:val="17"/>
          <w:szCs w:val="17"/>
        </w:rPr>
        <w:t xml:space="preserve">; </w:t>
      </w:r>
      <w:r w:rsidR="00E558EA" w:rsidRPr="00F41A17">
        <w:rPr>
          <w:rFonts w:eastAsiaTheme="minorEastAsia"/>
          <w:sz w:val="17"/>
          <w:szCs w:val="17"/>
        </w:rPr>
        <w:t>EEAP –</w:t>
      </w:r>
      <w:r w:rsidR="00E558EA" w:rsidRPr="00360094">
        <w:rPr>
          <w:rFonts w:eastAsiaTheme="minorEastAsia"/>
          <w:sz w:val="17"/>
          <w:szCs w:val="17"/>
        </w:rPr>
        <w:t xml:space="preserve"> Environmental Effects Assessment Panel;</w:t>
      </w:r>
      <w:r w:rsidR="00E558EA" w:rsidRPr="00F41A17">
        <w:rPr>
          <w:rFonts w:eastAsiaTheme="minorEastAsia"/>
          <w:sz w:val="17"/>
          <w:szCs w:val="17"/>
        </w:rPr>
        <w:t xml:space="preserve"> </w:t>
      </w:r>
      <w:r w:rsidR="00F6327A" w:rsidRPr="00F41A17">
        <w:rPr>
          <w:rFonts w:eastAsiaTheme="minorEastAsia"/>
          <w:sz w:val="17"/>
          <w:szCs w:val="17"/>
        </w:rPr>
        <w:t>EU – European Union</w:t>
      </w:r>
      <w:r w:rsidR="007C344A" w:rsidRPr="00F41A17">
        <w:rPr>
          <w:rFonts w:eastAsiaTheme="minorEastAsia"/>
          <w:sz w:val="17"/>
          <w:szCs w:val="17"/>
        </w:rPr>
        <w:t xml:space="preserve">; </w:t>
      </w:r>
      <w:r w:rsidR="00811115" w:rsidRPr="00F41A17">
        <w:rPr>
          <w:rFonts w:eastAsiaTheme="minorEastAsia"/>
          <w:sz w:val="17"/>
          <w:szCs w:val="17"/>
        </w:rPr>
        <w:t xml:space="preserve">FSTOC – </w:t>
      </w:r>
      <w:r w:rsidR="00811115" w:rsidRPr="00360094">
        <w:rPr>
          <w:rFonts w:eastAsiaTheme="minorEastAsia"/>
          <w:sz w:val="17"/>
          <w:szCs w:val="17"/>
        </w:rPr>
        <w:t xml:space="preserve">Fire Suppression Technical Options Committee; </w:t>
      </w:r>
      <w:r w:rsidR="00524441" w:rsidRPr="00360094">
        <w:rPr>
          <w:rFonts w:eastAsiaTheme="minorEastAsia"/>
          <w:sz w:val="17"/>
          <w:szCs w:val="17"/>
        </w:rPr>
        <w:t xml:space="preserve">FTOC </w:t>
      </w:r>
      <w:r w:rsidR="00524441" w:rsidRPr="00F41A17">
        <w:rPr>
          <w:rFonts w:eastAsiaTheme="minorEastAsia"/>
          <w:sz w:val="17"/>
          <w:szCs w:val="17"/>
        </w:rPr>
        <w:t>–</w:t>
      </w:r>
      <w:r w:rsidR="00524441" w:rsidRPr="00360094">
        <w:rPr>
          <w:rFonts w:eastAsiaTheme="minorEastAsia"/>
          <w:sz w:val="17"/>
          <w:szCs w:val="17"/>
        </w:rPr>
        <w:t xml:space="preserve"> Foams Technical Options Committee; </w:t>
      </w:r>
      <w:r w:rsidR="00811115" w:rsidRPr="00F41A17">
        <w:rPr>
          <w:rFonts w:eastAsiaTheme="minorEastAsia"/>
          <w:sz w:val="17"/>
          <w:szCs w:val="17"/>
        </w:rPr>
        <w:t xml:space="preserve">HTOC – Halons Technical Options Committee; </w:t>
      </w:r>
      <w:r w:rsidR="00F529BA" w:rsidRPr="00F41A17">
        <w:rPr>
          <w:rFonts w:eastAsiaTheme="minorEastAsia"/>
          <w:sz w:val="17"/>
          <w:szCs w:val="17"/>
        </w:rPr>
        <w:t xml:space="preserve">IMO – International Maritime Organization; </w:t>
      </w:r>
      <w:r w:rsidR="00811115" w:rsidRPr="00360094">
        <w:rPr>
          <w:rFonts w:eastAsiaTheme="minorEastAsia"/>
          <w:sz w:val="17"/>
          <w:szCs w:val="17"/>
        </w:rPr>
        <w:t>MBTOC – Methyl Bromide Technical Options Committee;</w:t>
      </w:r>
      <w:r w:rsidR="00C808B2" w:rsidRPr="00360094">
        <w:rPr>
          <w:rFonts w:eastAsiaTheme="minorEastAsia"/>
          <w:sz w:val="17"/>
          <w:szCs w:val="17"/>
        </w:rPr>
        <w:t xml:space="preserve"> MCTOC </w:t>
      </w:r>
      <w:r w:rsidR="00C808B2" w:rsidRPr="00F41A17">
        <w:rPr>
          <w:rFonts w:eastAsiaTheme="minorEastAsia"/>
          <w:sz w:val="17"/>
          <w:szCs w:val="17"/>
        </w:rPr>
        <w:t>–</w:t>
      </w:r>
      <w:r w:rsidR="00C808B2" w:rsidRPr="00360094">
        <w:rPr>
          <w:rFonts w:eastAsiaTheme="minorEastAsia"/>
          <w:sz w:val="17"/>
          <w:szCs w:val="17"/>
        </w:rPr>
        <w:t xml:space="preserve"> Medical and Chemicals Technical Options Committee;</w:t>
      </w:r>
      <w:r w:rsidR="00811115" w:rsidRPr="00360094">
        <w:rPr>
          <w:rFonts w:eastAsiaTheme="minorEastAsia"/>
          <w:sz w:val="17"/>
          <w:szCs w:val="17"/>
        </w:rPr>
        <w:t xml:space="preserve"> </w:t>
      </w:r>
      <w:r w:rsidR="00F529BA" w:rsidRPr="00F41A17">
        <w:rPr>
          <w:rFonts w:eastAsiaTheme="minorEastAsia"/>
          <w:sz w:val="17"/>
          <w:szCs w:val="17"/>
        </w:rPr>
        <w:t xml:space="preserve">non-A5 – from parties not operating under paragraph 1 of Article 5; </w:t>
      </w:r>
      <w:r w:rsidR="00524441" w:rsidRPr="00F41A17">
        <w:rPr>
          <w:rFonts w:eastAsiaTheme="minorEastAsia"/>
          <w:sz w:val="17"/>
          <w:szCs w:val="17"/>
        </w:rPr>
        <w:t xml:space="preserve">RTF – replenishment task force; </w:t>
      </w:r>
      <w:r w:rsidR="007C344A" w:rsidRPr="00F41A17">
        <w:rPr>
          <w:rFonts w:eastAsiaTheme="minorEastAsia"/>
          <w:sz w:val="17"/>
          <w:szCs w:val="17"/>
        </w:rPr>
        <w:t xml:space="preserve">RTOC – </w:t>
      </w:r>
      <w:r w:rsidR="007C344A" w:rsidRPr="00360094">
        <w:rPr>
          <w:rFonts w:eastAsiaTheme="minorEastAsia"/>
          <w:sz w:val="17"/>
          <w:szCs w:val="17"/>
        </w:rPr>
        <w:t>Refrigeration Technical Options Committee</w:t>
      </w:r>
      <w:r w:rsidR="00811115" w:rsidRPr="00360094">
        <w:rPr>
          <w:rFonts w:eastAsiaTheme="minorEastAsia"/>
          <w:sz w:val="17"/>
          <w:szCs w:val="17"/>
        </w:rPr>
        <w:t xml:space="preserve">; </w:t>
      </w:r>
      <w:r w:rsidR="00524441" w:rsidRPr="00360094">
        <w:rPr>
          <w:rFonts w:eastAsiaTheme="minorEastAsia"/>
          <w:sz w:val="17"/>
          <w:szCs w:val="17"/>
        </w:rPr>
        <w:t xml:space="preserve">SAP </w:t>
      </w:r>
      <w:r w:rsidR="00524441" w:rsidRPr="00781699">
        <w:rPr>
          <w:rFonts w:eastAsiaTheme="minorEastAsia"/>
          <w:sz w:val="17"/>
          <w:szCs w:val="17"/>
        </w:rPr>
        <w:t>–</w:t>
      </w:r>
      <w:r w:rsidR="00524441" w:rsidRPr="00360094">
        <w:rPr>
          <w:rFonts w:eastAsiaTheme="minorEastAsia"/>
          <w:sz w:val="17"/>
          <w:szCs w:val="17"/>
        </w:rPr>
        <w:t xml:space="preserve"> Scientific Assessment Panel; TEAP </w:t>
      </w:r>
      <w:r w:rsidR="00524441" w:rsidRPr="00781699">
        <w:rPr>
          <w:rFonts w:eastAsiaTheme="minorEastAsia"/>
          <w:sz w:val="17"/>
          <w:szCs w:val="17"/>
        </w:rPr>
        <w:t>–</w:t>
      </w:r>
      <w:r w:rsidR="00524441" w:rsidRPr="00360094">
        <w:rPr>
          <w:rFonts w:eastAsiaTheme="minorEastAsia"/>
          <w:sz w:val="17"/>
          <w:szCs w:val="17"/>
        </w:rPr>
        <w:t xml:space="preserve"> Technology and Economic Assessment Panel; </w:t>
      </w:r>
      <w:r w:rsidR="00811115" w:rsidRPr="00360094">
        <w:rPr>
          <w:rFonts w:eastAsiaTheme="minorEastAsia"/>
          <w:sz w:val="17"/>
          <w:szCs w:val="17"/>
        </w:rPr>
        <w:t>UNEP – United Nations Environment Programme</w:t>
      </w:r>
      <w:r w:rsidR="00F6327A" w:rsidRPr="00F41A17">
        <w:rPr>
          <w:rFonts w:eastAsiaTheme="minorEastAsia"/>
          <w:sz w:val="17"/>
          <w:szCs w:val="17"/>
        </w:rPr>
        <w:t>.</w:t>
      </w:r>
    </w:p>
    <w:p w14:paraId="6AD5FB60" w14:textId="4F01F7CF" w:rsidR="00EE5383" w:rsidRPr="002036D9" w:rsidRDefault="00693979" w:rsidP="00B972E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HAnsi"/>
        </w:rPr>
      </w:pPr>
      <w:r w:rsidRPr="002036D9">
        <w:rPr>
          <w:rFonts w:eastAsiaTheme="minorHAnsi"/>
        </w:rPr>
        <w:lastRenderedPageBreak/>
        <w:t xml:space="preserve">In addition to </w:t>
      </w:r>
      <w:r w:rsidR="00C8526B" w:rsidRPr="002036D9">
        <w:rPr>
          <w:rFonts w:eastAsiaTheme="minorHAnsi"/>
        </w:rPr>
        <w:t xml:space="preserve">their own meetings, </w:t>
      </w:r>
      <w:r w:rsidR="00317AEA" w:rsidRPr="002036D9">
        <w:rPr>
          <w:rFonts w:eastAsiaTheme="minorHAnsi"/>
        </w:rPr>
        <w:t>c</w:t>
      </w:r>
      <w:r w:rsidR="00C8526B" w:rsidRPr="002036D9">
        <w:rPr>
          <w:rFonts w:eastAsiaTheme="minorHAnsi"/>
        </w:rPr>
        <w:t>o-</w:t>
      </w:r>
      <w:r w:rsidR="00317AEA" w:rsidRPr="002036D9">
        <w:rPr>
          <w:rFonts w:eastAsiaTheme="minorHAnsi"/>
        </w:rPr>
        <w:t>c</w:t>
      </w:r>
      <w:r w:rsidR="00C8526B" w:rsidRPr="002036D9">
        <w:rPr>
          <w:rFonts w:eastAsiaTheme="minorHAnsi"/>
        </w:rPr>
        <w:t xml:space="preserve">hairs </w:t>
      </w:r>
      <w:r w:rsidR="004168A3">
        <w:rPr>
          <w:rFonts w:eastAsiaTheme="minorHAnsi"/>
        </w:rPr>
        <w:t xml:space="preserve">of assessment panels </w:t>
      </w:r>
      <w:r w:rsidR="00C8526B" w:rsidRPr="002036D9">
        <w:rPr>
          <w:rFonts w:eastAsiaTheme="minorHAnsi"/>
        </w:rPr>
        <w:t xml:space="preserve">participate in </w:t>
      </w:r>
      <w:r w:rsidR="004F5725" w:rsidRPr="002036D9">
        <w:rPr>
          <w:rFonts w:eastAsiaTheme="minorHAnsi"/>
        </w:rPr>
        <w:t xml:space="preserve">meetings of </w:t>
      </w:r>
      <w:r w:rsidR="00C8526B" w:rsidRPr="002036D9">
        <w:rPr>
          <w:rFonts w:eastAsiaTheme="minorHAnsi"/>
        </w:rPr>
        <w:t xml:space="preserve">the </w:t>
      </w:r>
      <w:r w:rsidR="00586B16" w:rsidRPr="002036D9">
        <w:rPr>
          <w:rFonts w:eastAsiaTheme="minorHAnsi"/>
        </w:rPr>
        <w:t>Open-ended Working Group</w:t>
      </w:r>
      <w:r w:rsidR="0074487A" w:rsidRPr="002036D9">
        <w:rPr>
          <w:rFonts w:eastAsiaTheme="minorHAnsi"/>
        </w:rPr>
        <w:t xml:space="preserve"> </w:t>
      </w:r>
      <w:r w:rsidR="00586B16" w:rsidRPr="002036D9">
        <w:rPr>
          <w:rFonts w:eastAsiaTheme="minorHAnsi"/>
        </w:rPr>
        <w:t xml:space="preserve">and </w:t>
      </w:r>
      <w:r w:rsidR="00C327E3" w:rsidRPr="002036D9">
        <w:rPr>
          <w:rFonts w:eastAsiaTheme="minorHAnsi"/>
        </w:rPr>
        <w:t>in</w:t>
      </w:r>
      <w:r w:rsidR="00586B16" w:rsidRPr="002036D9">
        <w:rPr>
          <w:rFonts w:eastAsiaTheme="minorHAnsi"/>
        </w:rPr>
        <w:t xml:space="preserve"> Meetings of the Parties</w:t>
      </w:r>
      <w:r w:rsidR="00D97F20" w:rsidRPr="002036D9">
        <w:rPr>
          <w:rFonts w:eastAsiaTheme="minorHAnsi"/>
        </w:rPr>
        <w:t xml:space="preserve">. </w:t>
      </w:r>
      <w:r w:rsidR="003240A9" w:rsidRPr="002036D9">
        <w:rPr>
          <w:rFonts w:eastAsiaTheme="minorHAnsi"/>
        </w:rPr>
        <w:t xml:space="preserve">When necessary, </w:t>
      </w:r>
      <w:r w:rsidR="008B39EA" w:rsidRPr="002036D9">
        <w:rPr>
          <w:rFonts w:eastAsiaTheme="minorHAnsi"/>
        </w:rPr>
        <w:t xml:space="preserve">other </w:t>
      </w:r>
      <w:r w:rsidR="003240A9" w:rsidRPr="002036D9">
        <w:rPr>
          <w:rFonts w:eastAsiaTheme="minorHAnsi"/>
        </w:rPr>
        <w:t xml:space="preserve">essential </w:t>
      </w:r>
      <w:r w:rsidR="00FE413F" w:rsidRPr="0076582E">
        <w:rPr>
          <w:rFonts w:eastAsiaTheme="minorHAnsi"/>
        </w:rPr>
        <w:t xml:space="preserve">panel and TOC </w:t>
      </w:r>
      <w:r w:rsidR="003240A9" w:rsidRPr="002036D9">
        <w:rPr>
          <w:rFonts w:eastAsiaTheme="minorHAnsi"/>
        </w:rPr>
        <w:t>experts</w:t>
      </w:r>
      <w:r w:rsidR="006C0C82" w:rsidRPr="002036D9">
        <w:rPr>
          <w:rFonts w:eastAsiaTheme="minorHAnsi"/>
        </w:rPr>
        <w:t xml:space="preserve"> </w:t>
      </w:r>
      <w:r w:rsidR="003240A9" w:rsidRPr="002036D9">
        <w:rPr>
          <w:rFonts w:eastAsiaTheme="minorHAnsi"/>
        </w:rPr>
        <w:t xml:space="preserve">from Article 5 countries may </w:t>
      </w:r>
      <w:r w:rsidR="00FE413F" w:rsidRPr="0076582E">
        <w:rPr>
          <w:rFonts w:eastAsiaTheme="minorHAnsi"/>
        </w:rPr>
        <w:t>receive</w:t>
      </w:r>
      <w:r w:rsidR="003240A9" w:rsidRPr="002036D9">
        <w:rPr>
          <w:rFonts w:eastAsiaTheme="minorHAnsi"/>
        </w:rPr>
        <w:t xml:space="preserve"> fund</w:t>
      </w:r>
      <w:r w:rsidR="00FE413F" w:rsidRPr="0076582E">
        <w:rPr>
          <w:rFonts w:eastAsiaTheme="minorHAnsi"/>
        </w:rPr>
        <w:t>ing</w:t>
      </w:r>
      <w:r w:rsidR="003240A9" w:rsidRPr="002036D9">
        <w:rPr>
          <w:rFonts w:eastAsiaTheme="minorHAnsi"/>
        </w:rPr>
        <w:t xml:space="preserve"> to participate </w:t>
      </w:r>
      <w:proofErr w:type="gramStart"/>
      <w:r w:rsidR="00FE413F" w:rsidRPr="0076582E">
        <w:rPr>
          <w:rFonts w:eastAsiaTheme="minorHAnsi"/>
        </w:rPr>
        <w:t xml:space="preserve">in order </w:t>
      </w:r>
      <w:r w:rsidR="00FE679A" w:rsidRPr="002036D9">
        <w:rPr>
          <w:rFonts w:eastAsiaTheme="minorHAnsi"/>
        </w:rPr>
        <w:t>to</w:t>
      </w:r>
      <w:proofErr w:type="gramEnd"/>
      <w:r w:rsidR="00FE679A" w:rsidRPr="002036D9">
        <w:rPr>
          <w:rFonts w:eastAsiaTheme="minorHAnsi"/>
        </w:rPr>
        <w:t xml:space="preserve"> cover </w:t>
      </w:r>
      <w:r w:rsidR="00583E08" w:rsidRPr="002036D9">
        <w:rPr>
          <w:rFonts w:eastAsiaTheme="minorHAnsi"/>
        </w:rPr>
        <w:t xml:space="preserve">specific issues addressed </w:t>
      </w:r>
      <w:r w:rsidR="00FE413F" w:rsidRPr="0076582E">
        <w:rPr>
          <w:rFonts w:eastAsiaTheme="minorHAnsi"/>
        </w:rPr>
        <w:t>at</w:t>
      </w:r>
      <w:r w:rsidR="00583E08" w:rsidRPr="002036D9">
        <w:rPr>
          <w:rFonts w:eastAsiaTheme="minorHAnsi"/>
        </w:rPr>
        <w:t xml:space="preserve"> those meetings.</w:t>
      </w:r>
      <w:r w:rsidR="00D97F20" w:rsidRPr="002036D9">
        <w:rPr>
          <w:rFonts w:eastAsiaTheme="minorHAnsi"/>
        </w:rPr>
        <w:t xml:space="preserve"> In the year of </w:t>
      </w:r>
      <w:r w:rsidR="00FE413F" w:rsidRPr="0076582E">
        <w:rPr>
          <w:rFonts w:eastAsiaTheme="minorHAnsi"/>
        </w:rPr>
        <w:t>a</w:t>
      </w:r>
      <w:r w:rsidR="00D97F20" w:rsidRPr="002036D9">
        <w:rPr>
          <w:rFonts w:eastAsiaTheme="minorHAnsi"/>
        </w:rPr>
        <w:t xml:space="preserve"> meeting of the Conference of the Parties </w:t>
      </w:r>
      <w:r w:rsidR="004F6173" w:rsidRPr="002036D9">
        <w:rPr>
          <w:rFonts w:eastAsiaTheme="minorHAnsi"/>
        </w:rPr>
        <w:t xml:space="preserve">to the Vienna Convention </w:t>
      </w:r>
      <w:r w:rsidR="00FF7B22" w:rsidRPr="0076582E">
        <w:rPr>
          <w:rFonts w:eastAsiaTheme="minorHAnsi"/>
        </w:rPr>
        <w:t>for the Protection of the Ozone Layer</w:t>
      </w:r>
      <w:r w:rsidR="00085B53" w:rsidRPr="002036D9">
        <w:rPr>
          <w:rFonts w:eastAsiaTheme="minorHAnsi"/>
        </w:rPr>
        <w:t>,</w:t>
      </w:r>
      <w:r w:rsidR="00003472" w:rsidRPr="002036D9">
        <w:rPr>
          <w:rFonts w:eastAsiaTheme="minorHAnsi"/>
        </w:rPr>
        <w:t xml:space="preserve"> </w:t>
      </w:r>
      <w:r w:rsidR="00FE413F" w:rsidRPr="0076582E">
        <w:rPr>
          <w:rFonts w:eastAsiaTheme="minorHAnsi"/>
        </w:rPr>
        <w:t>a</w:t>
      </w:r>
      <w:r w:rsidR="00D97F20" w:rsidRPr="002036D9">
        <w:rPr>
          <w:rFonts w:eastAsiaTheme="minorHAnsi"/>
        </w:rPr>
        <w:t xml:space="preserve"> </w:t>
      </w:r>
      <w:r w:rsidR="00723474" w:rsidRPr="002036D9">
        <w:rPr>
          <w:rFonts w:eastAsiaTheme="minorHAnsi"/>
        </w:rPr>
        <w:t xml:space="preserve">meeting of the </w:t>
      </w:r>
      <w:r w:rsidR="00D97F20" w:rsidRPr="002036D9">
        <w:rPr>
          <w:rFonts w:eastAsiaTheme="minorHAnsi"/>
        </w:rPr>
        <w:t xml:space="preserve">Ozone Research Managers </w:t>
      </w:r>
      <w:r w:rsidR="00443558" w:rsidRPr="002036D9">
        <w:rPr>
          <w:rFonts w:eastAsiaTheme="minorHAnsi"/>
        </w:rPr>
        <w:t xml:space="preserve">of the Parties to the Vienna Convention for the Protection of the Ozone Layer </w:t>
      </w:r>
      <w:r w:rsidR="00677BD7" w:rsidRPr="002036D9">
        <w:rPr>
          <w:rFonts w:eastAsiaTheme="minorHAnsi"/>
        </w:rPr>
        <w:t>takes place</w:t>
      </w:r>
      <w:r w:rsidR="00FE413F" w:rsidRPr="0076582E">
        <w:rPr>
          <w:rFonts w:eastAsiaTheme="minorHAnsi"/>
        </w:rPr>
        <w:t>. T</w:t>
      </w:r>
      <w:r w:rsidR="00677BD7" w:rsidRPr="002036D9">
        <w:rPr>
          <w:rFonts w:eastAsiaTheme="minorHAnsi"/>
        </w:rPr>
        <w:t xml:space="preserve">he </w:t>
      </w:r>
      <w:r w:rsidR="004168A3">
        <w:rPr>
          <w:rFonts w:eastAsiaTheme="minorHAnsi"/>
        </w:rPr>
        <w:t xml:space="preserve">panels’ </w:t>
      </w:r>
      <w:r w:rsidR="00443558" w:rsidRPr="002036D9">
        <w:rPr>
          <w:rFonts w:eastAsiaTheme="minorHAnsi"/>
        </w:rPr>
        <w:t>c</w:t>
      </w:r>
      <w:r w:rsidR="00677BD7" w:rsidRPr="002036D9">
        <w:rPr>
          <w:rFonts w:eastAsiaTheme="minorHAnsi"/>
        </w:rPr>
        <w:t>o-</w:t>
      </w:r>
      <w:r w:rsidR="00443558" w:rsidRPr="002036D9">
        <w:rPr>
          <w:rFonts w:eastAsiaTheme="minorHAnsi"/>
        </w:rPr>
        <w:t>c</w:t>
      </w:r>
      <w:r w:rsidR="00677BD7" w:rsidRPr="002036D9">
        <w:rPr>
          <w:rFonts w:eastAsiaTheme="minorHAnsi"/>
        </w:rPr>
        <w:t xml:space="preserve">hairs participate in </w:t>
      </w:r>
      <w:r w:rsidR="000C6792" w:rsidRPr="002036D9">
        <w:rPr>
          <w:rFonts w:eastAsiaTheme="minorHAnsi"/>
        </w:rPr>
        <w:t>meeting</w:t>
      </w:r>
      <w:r w:rsidR="005D2269" w:rsidRPr="002036D9">
        <w:rPr>
          <w:rFonts w:eastAsiaTheme="minorHAnsi"/>
        </w:rPr>
        <w:t xml:space="preserve">s </w:t>
      </w:r>
      <w:r w:rsidR="004168A3">
        <w:rPr>
          <w:rFonts w:eastAsiaTheme="minorHAnsi"/>
        </w:rPr>
        <w:t xml:space="preserve">of the Ozone Research Managers </w:t>
      </w:r>
      <w:r w:rsidR="003E7F81" w:rsidRPr="002036D9">
        <w:rPr>
          <w:rFonts w:eastAsiaTheme="minorHAnsi"/>
        </w:rPr>
        <w:t xml:space="preserve">when </w:t>
      </w:r>
      <w:r w:rsidR="00FE413F" w:rsidRPr="0076582E">
        <w:rPr>
          <w:rFonts w:eastAsiaTheme="minorHAnsi"/>
        </w:rPr>
        <w:t xml:space="preserve">that is deemed </w:t>
      </w:r>
      <w:r w:rsidR="003E7F81" w:rsidRPr="002036D9">
        <w:rPr>
          <w:rFonts w:eastAsiaTheme="minorHAnsi"/>
        </w:rPr>
        <w:t>relevant</w:t>
      </w:r>
      <w:r w:rsidR="00FE413F" w:rsidRPr="0076582E">
        <w:rPr>
          <w:rFonts w:eastAsiaTheme="minorHAnsi"/>
        </w:rPr>
        <w:t>,</w:t>
      </w:r>
      <w:r w:rsidR="003E7F81" w:rsidRPr="002036D9">
        <w:rPr>
          <w:rFonts w:eastAsiaTheme="minorHAnsi"/>
        </w:rPr>
        <w:t xml:space="preserve"> and </w:t>
      </w:r>
      <w:r w:rsidR="00821A01" w:rsidRPr="002036D9">
        <w:rPr>
          <w:rFonts w:eastAsiaTheme="minorHAnsi"/>
        </w:rPr>
        <w:t xml:space="preserve">pursuant to </w:t>
      </w:r>
      <w:r w:rsidR="00FA342D" w:rsidRPr="002036D9">
        <w:rPr>
          <w:rFonts w:eastAsiaTheme="minorHAnsi"/>
        </w:rPr>
        <w:t xml:space="preserve">decision </w:t>
      </w:r>
      <w:r w:rsidR="00275994" w:rsidRPr="002036D9">
        <w:rPr>
          <w:rFonts w:eastAsiaTheme="minorHAnsi"/>
        </w:rPr>
        <w:t>VI/2</w:t>
      </w:r>
      <w:r w:rsidR="00FE413F" w:rsidRPr="0076582E">
        <w:rPr>
          <w:rFonts w:eastAsiaTheme="minorHAnsi"/>
        </w:rPr>
        <w:t xml:space="preserve"> of the Conference of the Parties</w:t>
      </w:r>
      <w:r w:rsidR="00275994" w:rsidRPr="002036D9">
        <w:rPr>
          <w:rFonts w:eastAsiaTheme="minorHAnsi"/>
        </w:rPr>
        <w:t>.</w:t>
      </w:r>
      <w:r w:rsidR="000C6792" w:rsidRPr="002036D9">
        <w:rPr>
          <w:rFonts w:eastAsiaTheme="minorHAnsi"/>
        </w:rPr>
        <w:t xml:space="preserve"> </w:t>
      </w:r>
      <w:r w:rsidR="00923993" w:rsidRPr="002036D9">
        <w:rPr>
          <w:rFonts w:eastAsiaTheme="minorHAnsi"/>
        </w:rPr>
        <w:t xml:space="preserve">In a </w:t>
      </w:r>
      <w:r w:rsidR="00FE413F" w:rsidRPr="0076582E">
        <w:rPr>
          <w:rFonts w:eastAsiaTheme="minorHAnsi"/>
        </w:rPr>
        <w:t xml:space="preserve">year in which the Multilateral Fund </w:t>
      </w:r>
      <w:r w:rsidR="002036D9" w:rsidRPr="002036D9">
        <w:rPr>
          <w:rFonts w:eastAsiaTheme="minorHAnsi"/>
        </w:rPr>
        <w:t>for</w:t>
      </w:r>
      <w:r w:rsidR="002036D9" w:rsidRPr="002036D9">
        <w:t xml:space="preserve"> </w:t>
      </w:r>
      <w:r w:rsidR="002036D9" w:rsidRPr="002036D9">
        <w:rPr>
          <w:rFonts w:eastAsiaTheme="minorHAnsi"/>
        </w:rPr>
        <w:t xml:space="preserve">the Implementation of the Montreal Protocol </w:t>
      </w:r>
      <w:r w:rsidR="002036D9" w:rsidRPr="0076582E">
        <w:rPr>
          <w:rFonts w:eastAsiaTheme="minorHAnsi"/>
        </w:rPr>
        <w:t>is due for replenishment</w:t>
      </w:r>
      <w:r w:rsidR="00923993" w:rsidRPr="002036D9">
        <w:rPr>
          <w:rFonts w:eastAsiaTheme="minorHAnsi"/>
        </w:rPr>
        <w:t xml:space="preserve">, </w:t>
      </w:r>
      <w:r w:rsidR="00287DF9" w:rsidRPr="002036D9">
        <w:rPr>
          <w:rFonts w:eastAsiaTheme="minorHAnsi"/>
        </w:rPr>
        <w:t>some co-chairs</w:t>
      </w:r>
      <w:r w:rsidR="00FE413F" w:rsidRPr="0076582E">
        <w:rPr>
          <w:rFonts w:eastAsiaTheme="minorHAnsi"/>
        </w:rPr>
        <w:t xml:space="preserve"> and/or </w:t>
      </w:r>
      <w:r w:rsidR="00287DF9" w:rsidRPr="002036D9">
        <w:rPr>
          <w:rFonts w:eastAsiaTheme="minorHAnsi"/>
        </w:rPr>
        <w:t xml:space="preserve">members of </w:t>
      </w:r>
      <w:r w:rsidR="00923993" w:rsidRPr="002036D9">
        <w:rPr>
          <w:rFonts w:eastAsiaTheme="minorHAnsi"/>
        </w:rPr>
        <w:t xml:space="preserve">the </w:t>
      </w:r>
      <w:r w:rsidR="00026449">
        <w:rPr>
          <w:rFonts w:eastAsiaTheme="minorHAnsi"/>
        </w:rPr>
        <w:t xml:space="preserve">TEAP </w:t>
      </w:r>
      <w:r w:rsidR="00923993" w:rsidRPr="002036D9">
        <w:rPr>
          <w:rFonts w:eastAsiaTheme="minorHAnsi"/>
        </w:rPr>
        <w:t xml:space="preserve">replenishment task force may attend the meeting(s) of the Executive Committee of the Multilateral Fund. </w:t>
      </w:r>
      <w:r w:rsidR="000C6792" w:rsidRPr="002036D9">
        <w:rPr>
          <w:rFonts w:eastAsiaTheme="minorHAnsi"/>
        </w:rPr>
        <w:t xml:space="preserve">Table </w:t>
      </w:r>
      <w:r w:rsidR="00BB30A7" w:rsidRPr="002036D9">
        <w:rPr>
          <w:rFonts w:eastAsiaTheme="minorHAnsi"/>
        </w:rPr>
        <w:t xml:space="preserve">4 provides </w:t>
      </w:r>
      <w:r w:rsidR="0074487A" w:rsidRPr="002036D9">
        <w:rPr>
          <w:rFonts w:eastAsiaTheme="minorHAnsi"/>
        </w:rPr>
        <w:t xml:space="preserve">information on the participation of </w:t>
      </w:r>
      <w:r w:rsidR="00816B73" w:rsidRPr="002036D9">
        <w:rPr>
          <w:rFonts w:eastAsiaTheme="minorHAnsi"/>
        </w:rPr>
        <w:t>a</w:t>
      </w:r>
      <w:r w:rsidR="0074487A" w:rsidRPr="002036D9">
        <w:rPr>
          <w:rFonts w:eastAsiaTheme="minorHAnsi"/>
        </w:rPr>
        <w:t xml:space="preserve">ssessment </w:t>
      </w:r>
      <w:r w:rsidR="00816B73" w:rsidRPr="002036D9">
        <w:rPr>
          <w:rFonts w:eastAsiaTheme="minorHAnsi"/>
        </w:rPr>
        <w:t>panel</w:t>
      </w:r>
      <w:r w:rsidR="0074487A" w:rsidRPr="002036D9">
        <w:rPr>
          <w:rFonts w:eastAsiaTheme="minorHAnsi"/>
        </w:rPr>
        <w:t xml:space="preserve"> </w:t>
      </w:r>
      <w:r w:rsidR="004921DE" w:rsidRPr="002036D9">
        <w:rPr>
          <w:rFonts w:eastAsiaTheme="minorHAnsi"/>
        </w:rPr>
        <w:t>c</w:t>
      </w:r>
      <w:r w:rsidR="0074487A" w:rsidRPr="002036D9">
        <w:rPr>
          <w:rFonts w:eastAsiaTheme="minorHAnsi"/>
        </w:rPr>
        <w:t>o-</w:t>
      </w:r>
      <w:r w:rsidR="004921DE" w:rsidRPr="002036D9">
        <w:rPr>
          <w:rFonts w:eastAsiaTheme="minorHAnsi"/>
        </w:rPr>
        <w:t>c</w:t>
      </w:r>
      <w:r w:rsidR="0074487A" w:rsidRPr="002036D9">
        <w:rPr>
          <w:rFonts w:eastAsiaTheme="minorHAnsi"/>
        </w:rPr>
        <w:t xml:space="preserve">hairs and essential experts in </w:t>
      </w:r>
      <w:r w:rsidR="002036D9" w:rsidRPr="0076582E">
        <w:rPr>
          <w:rFonts w:eastAsiaTheme="minorHAnsi"/>
        </w:rPr>
        <w:t>Open-ended Working Group</w:t>
      </w:r>
      <w:r w:rsidR="000F4E0A" w:rsidRPr="002036D9">
        <w:rPr>
          <w:rFonts w:eastAsiaTheme="minorHAnsi"/>
        </w:rPr>
        <w:t xml:space="preserve"> meetings, M</w:t>
      </w:r>
      <w:r w:rsidR="002036D9" w:rsidRPr="0076582E">
        <w:rPr>
          <w:rFonts w:eastAsiaTheme="minorHAnsi"/>
        </w:rPr>
        <w:t>eetings of the Parties</w:t>
      </w:r>
      <w:r w:rsidR="00EF0067" w:rsidRPr="002036D9">
        <w:rPr>
          <w:rFonts w:eastAsiaTheme="minorHAnsi"/>
        </w:rPr>
        <w:t xml:space="preserve">, </w:t>
      </w:r>
      <w:r w:rsidR="002036D9" w:rsidRPr="0076582E">
        <w:rPr>
          <w:rFonts w:eastAsiaTheme="minorHAnsi"/>
        </w:rPr>
        <w:t>and meetings of the Ozone Research Managers</w:t>
      </w:r>
      <w:r w:rsidR="00EF0067" w:rsidRPr="002036D9">
        <w:rPr>
          <w:rFonts w:eastAsiaTheme="minorHAnsi"/>
        </w:rPr>
        <w:t xml:space="preserve"> and </w:t>
      </w:r>
      <w:r w:rsidR="002036D9" w:rsidRPr="0076582E">
        <w:rPr>
          <w:rFonts w:eastAsiaTheme="minorHAnsi"/>
        </w:rPr>
        <w:t>of the Executive Committee of the Multilateral Fund during the period</w:t>
      </w:r>
      <w:r w:rsidR="00BB30A7" w:rsidRPr="002036D9">
        <w:rPr>
          <w:rFonts w:eastAsiaTheme="minorHAnsi"/>
        </w:rPr>
        <w:t xml:space="preserve"> 2022</w:t>
      </w:r>
      <w:r w:rsidR="004921DE" w:rsidRPr="002036D9">
        <w:rPr>
          <w:rFonts w:eastAsiaTheme="minorHAnsi"/>
        </w:rPr>
        <w:t>–</w:t>
      </w:r>
      <w:r w:rsidR="00BB30A7" w:rsidRPr="002036D9">
        <w:rPr>
          <w:rFonts w:eastAsiaTheme="minorHAnsi"/>
        </w:rPr>
        <w:t>2025</w:t>
      </w:r>
      <w:r w:rsidR="000F4E0A" w:rsidRPr="002036D9">
        <w:rPr>
          <w:rFonts w:eastAsiaTheme="minorHAnsi"/>
        </w:rPr>
        <w:t>.</w:t>
      </w:r>
    </w:p>
    <w:p w14:paraId="3AA14CF0" w14:textId="171638F2" w:rsidR="005755C4" w:rsidRPr="00F466F2" w:rsidRDefault="000F4E0A" w:rsidP="00AC7851">
      <w:pPr>
        <w:pStyle w:val="Titletable"/>
        <w:spacing w:before="240"/>
        <w:rPr>
          <w:rFonts w:eastAsiaTheme="minorHAnsi"/>
        </w:rPr>
      </w:pPr>
      <w:r w:rsidRPr="002036D9">
        <w:rPr>
          <w:rFonts w:eastAsiaTheme="minorHAnsi"/>
          <w:b w:val="0"/>
          <w:bCs w:val="0"/>
        </w:rPr>
        <w:t>Table 4</w:t>
      </w:r>
      <w:r w:rsidR="00B972E5" w:rsidRPr="00F466F2">
        <w:rPr>
          <w:rFonts w:eastAsiaTheme="minorHAnsi"/>
          <w:b w:val="0"/>
          <w:bCs w:val="0"/>
        </w:rPr>
        <w:t xml:space="preserve"> </w:t>
      </w:r>
      <w:r w:rsidR="004F118B" w:rsidRPr="00F466F2">
        <w:rPr>
          <w:rFonts w:eastAsiaTheme="minorHAnsi"/>
          <w:b w:val="0"/>
          <w:bCs w:val="0"/>
        </w:rPr>
        <w:br/>
      </w:r>
      <w:r w:rsidR="00F52D9A" w:rsidRPr="00F466F2">
        <w:rPr>
          <w:rFonts w:eastAsiaTheme="minorHAnsi"/>
        </w:rPr>
        <w:t xml:space="preserve">Costs </w:t>
      </w:r>
      <w:r w:rsidR="00310134">
        <w:rPr>
          <w:rFonts w:eastAsiaTheme="minorHAnsi"/>
        </w:rPr>
        <w:t>incurred for the</w:t>
      </w:r>
      <w:r w:rsidR="00F52D9A" w:rsidRPr="00F466F2">
        <w:rPr>
          <w:rFonts w:eastAsiaTheme="minorHAnsi"/>
        </w:rPr>
        <w:t xml:space="preserve"> </w:t>
      </w:r>
      <w:r w:rsidR="00F52D9A" w:rsidRPr="00CD6C5E">
        <w:rPr>
          <w:rFonts w:eastAsiaTheme="minorHAnsi"/>
        </w:rPr>
        <w:t>participation of co-chairs</w:t>
      </w:r>
      <w:r w:rsidR="00F52D9A" w:rsidRPr="00F466F2">
        <w:rPr>
          <w:rFonts w:eastAsiaTheme="minorHAnsi"/>
        </w:rPr>
        <w:t xml:space="preserve"> and essential experts </w:t>
      </w:r>
      <w:r w:rsidR="00CD6C5E">
        <w:rPr>
          <w:rFonts w:eastAsiaTheme="minorHAnsi"/>
        </w:rPr>
        <w:t xml:space="preserve">from Article 5 countries </w:t>
      </w:r>
      <w:r w:rsidR="00F52D9A" w:rsidRPr="00F466F2">
        <w:rPr>
          <w:rFonts w:eastAsiaTheme="minorHAnsi"/>
        </w:rPr>
        <w:t xml:space="preserve">in meetings of the </w:t>
      </w:r>
      <w:r w:rsidR="00E93A4C" w:rsidRPr="00F466F2">
        <w:rPr>
          <w:rFonts w:eastAsiaTheme="minorHAnsi"/>
        </w:rPr>
        <w:t>Open</w:t>
      </w:r>
      <w:r w:rsidR="00E93A4C" w:rsidRPr="00F466F2">
        <w:rPr>
          <w:rFonts w:eastAsiaTheme="minorHAnsi"/>
        </w:rPr>
        <w:noBreakHyphen/>
      </w:r>
      <w:r w:rsidR="00F52D9A" w:rsidRPr="00F466F2">
        <w:rPr>
          <w:rFonts w:eastAsiaTheme="minorHAnsi"/>
        </w:rPr>
        <w:t>ended Working Group</w:t>
      </w:r>
      <w:r w:rsidR="00310134">
        <w:rPr>
          <w:rFonts w:eastAsiaTheme="minorHAnsi"/>
        </w:rPr>
        <w:t xml:space="preserve"> and</w:t>
      </w:r>
      <w:r w:rsidR="00F52D9A" w:rsidRPr="00F466F2">
        <w:rPr>
          <w:rFonts w:eastAsiaTheme="minorHAnsi"/>
        </w:rPr>
        <w:t xml:space="preserve"> </w:t>
      </w:r>
      <w:r w:rsidR="00310134">
        <w:rPr>
          <w:rFonts w:eastAsiaTheme="minorHAnsi"/>
        </w:rPr>
        <w:t xml:space="preserve">the </w:t>
      </w:r>
      <w:r w:rsidR="00BC66AA" w:rsidRPr="00F466F2">
        <w:rPr>
          <w:rFonts w:eastAsiaTheme="minorHAnsi"/>
        </w:rPr>
        <w:t xml:space="preserve">Ozone Research Managers and </w:t>
      </w:r>
      <w:r w:rsidR="00310134">
        <w:rPr>
          <w:rFonts w:eastAsiaTheme="minorHAnsi"/>
        </w:rPr>
        <w:t>in</w:t>
      </w:r>
      <w:r w:rsidR="00BC66AA" w:rsidRPr="00F466F2">
        <w:rPr>
          <w:rFonts w:eastAsiaTheme="minorHAnsi"/>
        </w:rPr>
        <w:t xml:space="preserve"> </w:t>
      </w:r>
      <w:r w:rsidR="00F52D9A" w:rsidRPr="00F466F2">
        <w:rPr>
          <w:rFonts w:eastAsiaTheme="minorHAnsi"/>
        </w:rPr>
        <w:t xml:space="preserve">Meetings of the Parties </w:t>
      </w:r>
      <w:r w:rsidR="00310134">
        <w:rPr>
          <w:rFonts w:eastAsiaTheme="minorHAnsi"/>
        </w:rPr>
        <w:t>during the period</w:t>
      </w:r>
      <w:r w:rsidR="00412B7B" w:rsidRPr="00F466F2">
        <w:rPr>
          <w:rFonts w:eastAsiaTheme="minorHAnsi"/>
        </w:rPr>
        <w:t xml:space="preserve"> 2022</w:t>
      </w:r>
      <w:r w:rsidR="00A023DD" w:rsidRPr="00F466F2">
        <w:rPr>
          <w:rFonts w:eastAsiaTheme="minorHAnsi"/>
        </w:rPr>
        <w:t>–</w:t>
      </w:r>
      <w:r w:rsidR="00412B7B" w:rsidRPr="00F466F2">
        <w:rPr>
          <w:rFonts w:eastAsiaTheme="minorHAnsi"/>
        </w:rPr>
        <w:t>2025</w:t>
      </w:r>
    </w:p>
    <w:tbl>
      <w:tblPr>
        <w:tblW w:w="5000" w:type="pct"/>
        <w:jc w:val="right"/>
        <w:tblLook w:val="04A0" w:firstRow="1" w:lastRow="0" w:firstColumn="1" w:lastColumn="0" w:noHBand="0" w:noVBand="1"/>
      </w:tblPr>
      <w:tblGrid>
        <w:gridCol w:w="577"/>
        <w:gridCol w:w="1408"/>
        <w:gridCol w:w="992"/>
        <w:gridCol w:w="1418"/>
        <w:gridCol w:w="1417"/>
        <w:gridCol w:w="1276"/>
        <w:gridCol w:w="2409"/>
      </w:tblGrid>
      <w:tr w:rsidR="0080560F" w:rsidRPr="00BC31E0" w14:paraId="548E2455" w14:textId="77777777" w:rsidTr="00BC31E0">
        <w:trPr>
          <w:trHeight w:val="57"/>
          <w:jc w:val="right"/>
        </w:trPr>
        <w:tc>
          <w:tcPr>
            <w:tcW w:w="577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6EDF6B81" w14:textId="77777777" w:rsidR="0080560F" w:rsidRPr="00BC31E0" w:rsidRDefault="0080560F" w:rsidP="00BC31E0">
            <w:pPr>
              <w:pStyle w:val="Normal-pool-Table"/>
              <w:rPr>
                <w:i/>
                <w:iCs/>
              </w:rPr>
            </w:pPr>
            <w:r w:rsidRPr="00BC31E0">
              <w:rPr>
                <w:i/>
                <w:iCs/>
              </w:rPr>
              <w:t>Year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0C2C21F0" w14:textId="77777777" w:rsidR="0080560F" w:rsidRPr="00BC31E0" w:rsidRDefault="0080560F" w:rsidP="00BC31E0">
            <w:pPr>
              <w:pStyle w:val="Normal-pool-Table"/>
              <w:rPr>
                <w:i/>
                <w:iCs/>
              </w:rPr>
            </w:pPr>
            <w:r w:rsidRPr="00BC31E0">
              <w:rPr>
                <w:i/>
                <w:iCs/>
              </w:rPr>
              <w:t>Meeting details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141EA139" w14:textId="77777777" w:rsidR="0080560F" w:rsidRPr="00BC31E0" w:rsidRDefault="0080560F" w:rsidP="00BC31E0">
            <w:pPr>
              <w:pStyle w:val="Normal-pool-Table"/>
              <w:rPr>
                <w:i/>
                <w:iCs/>
              </w:rPr>
            </w:pPr>
            <w:r w:rsidRPr="00BC31E0">
              <w:rPr>
                <w:i/>
                <w:iCs/>
              </w:rPr>
              <w:t>Venue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bottom"/>
            <w:hideMark/>
          </w:tcPr>
          <w:p w14:paraId="761BC18C" w14:textId="02462A11" w:rsidR="0080560F" w:rsidRPr="00BC31E0" w:rsidRDefault="0080560F" w:rsidP="00BC31E0">
            <w:pPr>
              <w:pStyle w:val="Normal-pool-Table"/>
              <w:rPr>
                <w:i/>
                <w:iCs/>
              </w:rPr>
            </w:pPr>
            <w:r w:rsidRPr="00BC31E0">
              <w:rPr>
                <w:i/>
                <w:iCs/>
              </w:rPr>
              <w:t xml:space="preserve">Dates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bottom"/>
            <w:hideMark/>
          </w:tcPr>
          <w:p w14:paraId="3B3E608F" w14:textId="2EE031AE" w:rsidR="0080560F" w:rsidRPr="00BC31E0" w:rsidRDefault="00EA4D38" w:rsidP="00BC31E0">
            <w:pPr>
              <w:pStyle w:val="Normal-pool-Table"/>
              <w:rPr>
                <w:i/>
                <w:iCs/>
              </w:rPr>
            </w:pPr>
            <w:r w:rsidRPr="00BC31E0">
              <w:rPr>
                <w:i/>
                <w:iCs/>
              </w:rPr>
              <w:t>Participants</w:t>
            </w:r>
            <w:r w:rsidR="0080560F" w:rsidRPr="00BC31E0">
              <w:rPr>
                <w:i/>
                <w:iCs/>
              </w:rPr>
              <w:t xml:space="preserve"> </w:t>
            </w:r>
            <w:r w:rsidRPr="00BC31E0">
              <w:rPr>
                <w:i/>
                <w:iCs/>
              </w:rPr>
              <w:t>from A5 parties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bottom"/>
            <w:hideMark/>
          </w:tcPr>
          <w:p w14:paraId="630B1C9F" w14:textId="69DEB660" w:rsidR="0080560F" w:rsidRPr="00BC31E0" w:rsidRDefault="0080560F" w:rsidP="00BC31E0">
            <w:pPr>
              <w:pStyle w:val="Normal-pool-Table"/>
              <w:rPr>
                <w:i/>
                <w:iCs/>
              </w:rPr>
            </w:pPr>
            <w:r w:rsidRPr="00BC31E0">
              <w:rPr>
                <w:i/>
                <w:iCs/>
              </w:rPr>
              <w:t>Travel costs for year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48B14AC4" w14:textId="77777777" w:rsidR="0080560F" w:rsidRPr="00BC31E0" w:rsidRDefault="0080560F" w:rsidP="00BC31E0">
            <w:pPr>
              <w:pStyle w:val="Normal-pool-Table"/>
              <w:rPr>
                <w:i/>
                <w:iCs/>
              </w:rPr>
            </w:pPr>
            <w:r w:rsidRPr="00BC31E0">
              <w:rPr>
                <w:i/>
                <w:iCs/>
              </w:rPr>
              <w:t>Notes</w:t>
            </w:r>
          </w:p>
        </w:tc>
      </w:tr>
      <w:tr w:rsidR="0080560F" w:rsidRPr="00BC31E0" w14:paraId="1D235D31" w14:textId="77777777" w:rsidTr="00BC31E0">
        <w:trPr>
          <w:trHeight w:val="57"/>
          <w:jc w:val="right"/>
        </w:trPr>
        <w:tc>
          <w:tcPr>
            <w:tcW w:w="577" w:type="dxa"/>
            <w:vMerge w:val="restart"/>
            <w:tcBorders>
              <w:top w:val="single" w:sz="12" w:space="0" w:color="auto"/>
            </w:tcBorders>
            <w:noWrap/>
            <w:hideMark/>
          </w:tcPr>
          <w:p w14:paraId="6C14B6A1" w14:textId="77777777" w:rsidR="0080560F" w:rsidRPr="00BC31E0" w:rsidRDefault="0080560F" w:rsidP="00BC31E0">
            <w:pPr>
              <w:pStyle w:val="Normal-pool-Table"/>
            </w:pPr>
            <w:r w:rsidRPr="00BC31E0">
              <w:t>2025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noWrap/>
            <w:hideMark/>
          </w:tcPr>
          <w:p w14:paraId="71AF31F3" w14:textId="77777777" w:rsidR="0080560F" w:rsidRPr="00BC31E0" w:rsidRDefault="0080560F" w:rsidP="00BC31E0">
            <w:pPr>
              <w:pStyle w:val="Normal-pool-Table"/>
            </w:pPr>
            <w:r w:rsidRPr="00BC31E0">
              <w:t>OEWG47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  <w:hideMark/>
          </w:tcPr>
          <w:p w14:paraId="691C3408" w14:textId="20077CBC" w:rsidR="0080560F" w:rsidRPr="00BC31E0" w:rsidRDefault="0080560F" w:rsidP="00BC31E0">
            <w:pPr>
              <w:pStyle w:val="Normal-pool-Table"/>
            </w:pPr>
            <w:r w:rsidRPr="00BC31E0">
              <w:t>Bangkok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noWrap/>
            <w:hideMark/>
          </w:tcPr>
          <w:p w14:paraId="7A050160" w14:textId="5A48F570" w:rsidR="0080560F" w:rsidRPr="00BC31E0" w:rsidRDefault="0080560F" w:rsidP="00BC31E0">
            <w:pPr>
              <w:pStyle w:val="Normal-pool-Table"/>
            </w:pPr>
            <w:r w:rsidRPr="00BC31E0">
              <w:t>7</w:t>
            </w:r>
            <w:r w:rsidR="00310134" w:rsidRPr="00BC31E0">
              <w:t>–</w:t>
            </w:r>
            <w:r w:rsidRPr="00BC31E0">
              <w:t>11 July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noWrap/>
            <w:hideMark/>
          </w:tcPr>
          <w:p w14:paraId="44036991" w14:textId="77777777" w:rsidR="0080560F" w:rsidRPr="00BC31E0" w:rsidRDefault="0080560F" w:rsidP="00BC31E0">
            <w:pPr>
              <w:pStyle w:val="Normal-pool-Table"/>
            </w:pPr>
            <w:r w:rsidRPr="00BC31E0">
              <w:t>9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hideMark/>
          </w:tcPr>
          <w:p w14:paraId="51F5B458" w14:textId="14B47DAC" w:rsidR="0080560F" w:rsidRPr="00BC31E0" w:rsidRDefault="0080560F" w:rsidP="00BC31E0">
            <w:pPr>
              <w:pStyle w:val="Normal-pool-Table"/>
            </w:pPr>
            <w:r w:rsidRPr="00BC31E0">
              <w:t>35</w:t>
            </w:r>
            <w:r w:rsidR="002D21C5" w:rsidRPr="00BC31E0">
              <w:t xml:space="preserve"> </w:t>
            </w:r>
            <w:r w:rsidRPr="00BC31E0">
              <w:t>350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hideMark/>
          </w:tcPr>
          <w:p w14:paraId="5E3B1F0F" w14:textId="3BFCABEB" w:rsidR="0080560F" w:rsidRPr="00BC31E0" w:rsidRDefault="0080560F" w:rsidP="00BC31E0">
            <w:pPr>
              <w:pStyle w:val="Normal-pool-Table"/>
            </w:pPr>
            <w:r w:rsidRPr="00BC31E0">
              <w:t>2 non-A5 tr</w:t>
            </w:r>
            <w:r w:rsidR="00F6327A" w:rsidRPr="00BC31E0">
              <w:t>ips</w:t>
            </w:r>
            <w:r w:rsidRPr="00BC31E0">
              <w:t xml:space="preserve"> covered by </w:t>
            </w:r>
            <w:r w:rsidR="008D4404" w:rsidRPr="00BC31E0">
              <w:t xml:space="preserve">other sources (e.g. </w:t>
            </w:r>
            <w:r w:rsidR="00131B99" w:rsidRPr="00BC31E0">
              <w:t>EU</w:t>
            </w:r>
            <w:r w:rsidR="00131B99" w:rsidRPr="00BC31E0">
              <w:noBreakHyphen/>
            </w:r>
            <w:r w:rsidRPr="00BC31E0">
              <w:t>funded project</w:t>
            </w:r>
            <w:r w:rsidR="008D4404" w:rsidRPr="00BC31E0">
              <w:t>)</w:t>
            </w:r>
          </w:p>
        </w:tc>
      </w:tr>
      <w:tr w:rsidR="0080560F" w:rsidRPr="00BC31E0" w14:paraId="226CA614" w14:textId="77777777" w:rsidTr="00BC31E0">
        <w:trPr>
          <w:trHeight w:val="57"/>
          <w:jc w:val="right"/>
        </w:trPr>
        <w:tc>
          <w:tcPr>
            <w:tcW w:w="577" w:type="dxa"/>
            <w:vMerge/>
            <w:hideMark/>
          </w:tcPr>
          <w:p w14:paraId="70BAD300" w14:textId="77777777" w:rsidR="0080560F" w:rsidRPr="00BC31E0" w:rsidRDefault="0080560F" w:rsidP="00BC31E0">
            <w:pPr>
              <w:pStyle w:val="Normal-pool-Table"/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noWrap/>
            <w:hideMark/>
          </w:tcPr>
          <w:p w14:paraId="4A3D9BAA" w14:textId="26D5699C" w:rsidR="0080560F" w:rsidRPr="00BC31E0" w:rsidRDefault="0080560F" w:rsidP="00BC31E0">
            <w:pPr>
              <w:pStyle w:val="Normal-pool-Table"/>
            </w:pPr>
            <w:r w:rsidRPr="00BC31E0">
              <w:t>MOP37*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38899B8E" w14:textId="675C353A" w:rsidR="0080560F" w:rsidRPr="00BC31E0" w:rsidRDefault="0080560F" w:rsidP="00BC31E0">
            <w:pPr>
              <w:pStyle w:val="Normal-pool-Table"/>
            </w:pPr>
            <w:r w:rsidRPr="00BC31E0">
              <w:t>Nairobi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1221656A" w14:textId="5772F0A0" w:rsidR="0080560F" w:rsidRPr="00BC31E0" w:rsidRDefault="0080560F" w:rsidP="00BC31E0">
            <w:pPr>
              <w:pStyle w:val="Normal-pool-Table"/>
            </w:pPr>
            <w:r w:rsidRPr="00BC31E0">
              <w:t>3</w:t>
            </w:r>
            <w:r w:rsidR="00310134" w:rsidRPr="00BC31E0">
              <w:t>–</w:t>
            </w:r>
            <w:r w:rsidRPr="00BC31E0">
              <w:t>7 November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71FA7D87" w14:textId="77777777" w:rsidR="0080560F" w:rsidRPr="00BC31E0" w:rsidRDefault="0080560F" w:rsidP="00BC31E0">
            <w:pPr>
              <w:pStyle w:val="Normal-pool-Table"/>
            </w:pPr>
            <w:r w:rsidRPr="00BC31E0"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31AE87EC" w14:textId="1AC4AADF" w:rsidR="0080560F" w:rsidRPr="00BC31E0" w:rsidRDefault="0080560F" w:rsidP="00BC31E0">
            <w:pPr>
              <w:pStyle w:val="Normal-pool-Table"/>
            </w:pPr>
            <w:r w:rsidRPr="00BC31E0">
              <w:t>27</w:t>
            </w:r>
            <w:r w:rsidR="002D21C5" w:rsidRPr="00BC31E0">
              <w:t xml:space="preserve"> </w:t>
            </w:r>
            <w:r w:rsidRPr="00BC31E0">
              <w:t>752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hideMark/>
          </w:tcPr>
          <w:p w14:paraId="39418A8A" w14:textId="6F85FBF2" w:rsidR="0080560F" w:rsidRPr="00BC31E0" w:rsidRDefault="0080560F" w:rsidP="00BC31E0">
            <w:pPr>
              <w:pStyle w:val="Normal-pool-Table"/>
            </w:pPr>
            <w:r w:rsidRPr="00BC31E0">
              <w:t xml:space="preserve">2 non-A5 </w:t>
            </w:r>
            <w:r w:rsidR="00F6327A" w:rsidRPr="00BC31E0">
              <w:t>trips</w:t>
            </w:r>
            <w:r w:rsidRPr="00BC31E0">
              <w:t xml:space="preserve"> covered by </w:t>
            </w:r>
            <w:r w:rsidR="008D4404" w:rsidRPr="00BC31E0">
              <w:t xml:space="preserve">other sources (e.g. </w:t>
            </w:r>
            <w:r w:rsidR="00CE14A9" w:rsidRPr="00BC31E0">
              <w:t>EU</w:t>
            </w:r>
            <w:r w:rsidR="00CE14A9" w:rsidRPr="00BC31E0">
              <w:noBreakHyphen/>
            </w:r>
            <w:r w:rsidR="008D4404" w:rsidRPr="00BC31E0">
              <w:t>funded project)</w:t>
            </w:r>
          </w:p>
        </w:tc>
      </w:tr>
      <w:tr w:rsidR="0080560F" w:rsidRPr="00BC31E0" w14:paraId="5D5C8B8D" w14:textId="77777777" w:rsidTr="00BC31E0">
        <w:trPr>
          <w:trHeight w:val="57"/>
          <w:jc w:val="right"/>
        </w:trPr>
        <w:tc>
          <w:tcPr>
            <w:tcW w:w="577" w:type="dxa"/>
            <w:vMerge/>
            <w:tcBorders>
              <w:bottom w:val="single" w:sz="4" w:space="0" w:color="000000"/>
            </w:tcBorders>
            <w:hideMark/>
          </w:tcPr>
          <w:p w14:paraId="3D2C0DDB" w14:textId="77777777" w:rsidR="0080560F" w:rsidRPr="00BC31E0" w:rsidRDefault="0080560F" w:rsidP="00BC31E0">
            <w:pPr>
              <w:pStyle w:val="Normal-pool-Table"/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000000"/>
            </w:tcBorders>
            <w:noWrap/>
            <w:hideMark/>
          </w:tcPr>
          <w:p w14:paraId="5E1C5410" w14:textId="06DBCCB9" w:rsidR="0080560F" w:rsidRPr="00BC31E0" w:rsidRDefault="0080560F" w:rsidP="00BC31E0">
            <w:pPr>
              <w:pStyle w:val="Normal-pool-Table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noWrap/>
            <w:hideMark/>
          </w:tcPr>
          <w:p w14:paraId="7FD1CAEA" w14:textId="021F5A3F" w:rsidR="0080560F" w:rsidRPr="00BC31E0" w:rsidRDefault="0080560F" w:rsidP="00BC31E0">
            <w:pPr>
              <w:pStyle w:val="Normal-pool-Table"/>
            </w:pPr>
            <w:r w:rsidRPr="00BC31E0">
              <w:t>Subtotal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noWrap/>
            <w:hideMark/>
          </w:tcPr>
          <w:p w14:paraId="2E6282CC" w14:textId="06A48B4E" w:rsidR="0080560F" w:rsidRPr="00BC31E0" w:rsidRDefault="0080560F" w:rsidP="00BC31E0">
            <w:pPr>
              <w:pStyle w:val="Normal-pool-Table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noWrap/>
            <w:hideMark/>
          </w:tcPr>
          <w:p w14:paraId="0CB2C968" w14:textId="086A6F96" w:rsidR="0080560F" w:rsidRPr="00BC31E0" w:rsidRDefault="0080560F" w:rsidP="00BC31E0">
            <w:pPr>
              <w:pStyle w:val="Normal-pool-Table"/>
            </w:pPr>
            <w:r w:rsidRPr="00BC31E0"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noWrap/>
            <w:hideMark/>
          </w:tcPr>
          <w:p w14:paraId="41E53FB9" w14:textId="16DB546F" w:rsidR="0080560F" w:rsidRPr="00BC31E0" w:rsidRDefault="0080560F" w:rsidP="00BC31E0">
            <w:pPr>
              <w:pStyle w:val="Normal-pool-Table"/>
            </w:pPr>
            <w:r w:rsidRPr="00BC31E0">
              <w:t>63</w:t>
            </w:r>
            <w:r w:rsidR="002D21C5" w:rsidRPr="00BC31E0">
              <w:t xml:space="preserve"> </w:t>
            </w:r>
            <w:r w:rsidRPr="00BC31E0">
              <w:t>102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/>
            </w:tcBorders>
            <w:hideMark/>
          </w:tcPr>
          <w:p w14:paraId="798779E7" w14:textId="77777777" w:rsidR="0080560F" w:rsidRPr="00BC31E0" w:rsidRDefault="0080560F" w:rsidP="00BC31E0">
            <w:pPr>
              <w:pStyle w:val="Normal-pool-Table"/>
            </w:pPr>
            <w:r w:rsidRPr="00BC31E0">
              <w:t> </w:t>
            </w:r>
          </w:p>
        </w:tc>
      </w:tr>
      <w:tr w:rsidR="0080560F" w:rsidRPr="00BC31E0" w14:paraId="5B1F8AE1" w14:textId="77777777" w:rsidTr="00BC31E0">
        <w:trPr>
          <w:trHeight w:val="57"/>
          <w:jc w:val="right"/>
        </w:trPr>
        <w:tc>
          <w:tcPr>
            <w:tcW w:w="57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  <w:hideMark/>
          </w:tcPr>
          <w:p w14:paraId="42628B25" w14:textId="77777777" w:rsidR="0080560F" w:rsidRPr="00BC31E0" w:rsidRDefault="0080560F" w:rsidP="00BC31E0">
            <w:pPr>
              <w:pStyle w:val="Normal-pool-Table"/>
            </w:pPr>
            <w:r w:rsidRPr="00BC31E0">
              <w:t>2024</w:t>
            </w:r>
          </w:p>
        </w:tc>
        <w:tc>
          <w:tcPr>
            <w:tcW w:w="1408" w:type="dxa"/>
            <w:tcBorders>
              <w:top w:val="single" w:sz="4" w:space="0" w:color="000000"/>
            </w:tcBorders>
            <w:noWrap/>
            <w:hideMark/>
          </w:tcPr>
          <w:p w14:paraId="5980EBFF" w14:textId="77777777" w:rsidR="0080560F" w:rsidRPr="00BC31E0" w:rsidRDefault="0080560F" w:rsidP="00BC31E0">
            <w:pPr>
              <w:pStyle w:val="Normal-pool-Table"/>
            </w:pPr>
            <w:r w:rsidRPr="00BC31E0">
              <w:t>ORM12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noWrap/>
            <w:hideMark/>
          </w:tcPr>
          <w:p w14:paraId="41EA8282" w14:textId="07D5C296" w:rsidR="0080560F" w:rsidRPr="00BC31E0" w:rsidRDefault="0080560F" w:rsidP="00BC31E0">
            <w:pPr>
              <w:pStyle w:val="Normal-pool-Table"/>
            </w:pPr>
            <w:r w:rsidRPr="00BC31E0">
              <w:t>Geneva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noWrap/>
            <w:hideMark/>
          </w:tcPr>
          <w:p w14:paraId="5C9D8C24" w14:textId="2E96A19A" w:rsidR="0080560F" w:rsidRPr="00BC31E0" w:rsidRDefault="0080560F" w:rsidP="00BC31E0">
            <w:pPr>
              <w:pStyle w:val="Normal-pool-Table"/>
            </w:pPr>
            <w:r w:rsidRPr="00BC31E0">
              <w:t>24</w:t>
            </w:r>
            <w:r w:rsidR="00310134" w:rsidRPr="00BC31E0">
              <w:t>–</w:t>
            </w:r>
            <w:r w:rsidRPr="00BC31E0">
              <w:t xml:space="preserve">26 April 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noWrap/>
            <w:hideMark/>
          </w:tcPr>
          <w:p w14:paraId="261E4C7D" w14:textId="28C0C35F" w:rsidR="0080560F" w:rsidRPr="00BC31E0" w:rsidRDefault="00542926" w:rsidP="00BC31E0">
            <w:pPr>
              <w:pStyle w:val="Normal-pool-Table"/>
            </w:pPr>
            <w:r w:rsidRPr="00BC31E0">
              <w:t>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noWrap/>
            <w:hideMark/>
          </w:tcPr>
          <w:p w14:paraId="73691705" w14:textId="5BAF0CCA" w:rsidR="0080560F" w:rsidRPr="00BC31E0" w:rsidRDefault="0080560F" w:rsidP="00BC31E0">
            <w:pPr>
              <w:pStyle w:val="Normal-pool-Table"/>
            </w:pPr>
            <w:r w:rsidRPr="00BC31E0">
              <w:t>3</w:t>
            </w:r>
            <w:r w:rsidR="002D21C5" w:rsidRPr="00BC31E0">
              <w:t xml:space="preserve"> </w:t>
            </w:r>
            <w:r w:rsidRPr="00BC31E0">
              <w:t>795</w:t>
            </w:r>
          </w:p>
        </w:tc>
        <w:tc>
          <w:tcPr>
            <w:tcW w:w="2409" w:type="dxa"/>
            <w:tcBorders>
              <w:top w:val="single" w:sz="4" w:space="0" w:color="000000"/>
            </w:tcBorders>
            <w:hideMark/>
          </w:tcPr>
          <w:p w14:paraId="5743B264" w14:textId="63C268C0" w:rsidR="0080560F" w:rsidRPr="00BC31E0" w:rsidRDefault="0080560F" w:rsidP="00BC31E0">
            <w:pPr>
              <w:pStyle w:val="Normal-pool-Table"/>
            </w:pPr>
            <w:r w:rsidRPr="00BC31E0">
              <w:t xml:space="preserve">3 non-A5 </w:t>
            </w:r>
            <w:r w:rsidR="00F6327A" w:rsidRPr="00BC31E0">
              <w:t>trips</w:t>
            </w:r>
            <w:r w:rsidRPr="00BC31E0">
              <w:t xml:space="preserve"> covered by </w:t>
            </w:r>
            <w:r w:rsidR="008D4404" w:rsidRPr="00BC31E0">
              <w:t xml:space="preserve">other sources (e.g. </w:t>
            </w:r>
            <w:r w:rsidR="00CE14A9" w:rsidRPr="00BC31E0">
              <w:t>EU</w:t>
            </w:r>
            <w:r w:rsidR="00CE14A9" w:rsidRPr="00BC31E0">
              <w:noBreakHyphen/>
            </w:r>
            <w:r w:rsidR="008D4404" w:rsidRPr="00BC31E0">
              <w:t>funded project)</w:t>
            </w:r>
          </w:p>
        </w:tc>
      </w:tr>
      <w:tr w:rsidR="0080560F" w:rsidRPr="00BC31E0" w14:paraId="5F742517" w14:textId="77777777" w:rsidTr="00BC31E0">
        <w:trPr>
          <w:trHeight w:val="57"/>
          <w:jc w:val="right"/>
        </w:trPr>
        <w:tc>
          <w:tcPr>
            <w:tcW w:w="577" w:type="dxa"/>
            <w:vMerge/>
            <w:tcBorders>
              <w:top w:val="single" w:sz="4" w:space="0" w:color="000000"/>
            </w:tcBorders>
            <w:hideMark/>
          </w:tcPr>
          <w:p w14:paraId="641FD0CC" w14:textId="77777777" w:rsidR="0080560F" w:rsidRPr="00BC31E0" w:rsidRDefault="0080560F" w:rsidP="00BC31E0">
            <w:pPr>
              <w:pStyle w:val="Normal-pool-Table"/>
            </w:pPr>
          </w:p>
        </w:tc>
        <w:tc>
          <w:tcPr>
            <w:tcW w:w="1408" w:type="dxa"/>
            <w:noWrap/>
            <w:hideMark/>
          </w:tcPr>
          <w:p w14:paraId="339A1400" w14:textId="77777777" w:rsidR="0080560F" w:rsidRPr="00BC31E0" w:rsidRDefault="0080560F" w:rsidP="00BC31E0">
            <w:pPr>
              <w:pStyle w:val="Normal-pool-Table"/>
            </w:pPr>
            <w:r w:rsidRPr="00BC31E0">
              <w:t>OEWG46</w:t>
            </w:r>
          </w:p>
        </w:tc>
        <w:tc>
          <w:tcPr>
            <w:tcW w:w="992" w:type="dxa"/>
            <w:noWrap/>
            <w:hideMark/>
          </w:tcPr>
          <w:p w14:paraId="38FE2170" w14:textId="34397A36" w:rsidR="0080560F" w:rsidRPr="00BC31E0" w:rsidRDefault="0080560F" w:rsidP="00BC31E0">
            <w:pPr>
              <w:pStyle w:val="Normal-pool-Table"/>
            </w:pPr>
            <w:r w:rsidRPr="00BC31E0">
              <w:t>Montreal</w:t>
            </w:r>
          </w:p>
        </w:tc>
        <w:tc>
          <w:tcPr>
            <w:tcW w:w="1418" w:type="dxa"/>
            <w:noWrap/>
            <w:hideMark/>
          </w:tcPr>
          <w:p w14:paraId="08558C93" w14:textId="1C122D5B" w:rsidR="0080560F" w:rsidRPr="00BC31E0" w:rsidRDefault="0080560F" w:rsidP="00BC31E0">
            <w:pPr>
              <w:pStyle w:val="Normal-pool-Table"/>
            </w:pPr>
            <w:r w:rsidRPr="00BC31E0">
              <w:t>8</w:t>
            </w:r>
            <w:r w:rsidR="00310134" w:rsidRPr="00BC31E0">
              <w:t>–</w:t>
            </w:r>
            <w:r w:rsidRPr="00BC31E0">
              <w:t xml:space="preserve">12 July </w:t>
            </w:r>
          </w:p>
        </w:tc>
        <w:tc>
          <w:tcPr>
            <w:tcW w:w="1417" w:type="dxa"/>
            <w:noWrap/>
            <w:hideMark/>
          </w:tcPr>
          <w:p w14:paraId="44F7D288" w14:textId="77777777" w:rsidR="0080560F" w:rsidRPr="00BC31E0" w:rsidRDefault="0080560F" w:rsidP="00BC31E0">
            <w:pPr>
              <w:pStyle w:val="Normal-pool-Table"/>
            </w:pPr>
            <w:r w:rsidRPr="00BC31E0">
              <w:t>12</w:t>
            </w:r>
          </w:p>
        </w:tc>
        <w:tc>
          <w:tcPr>
            <w:tcW w:w="1276" w:type="dxa"/>
            <w:noWrap/>
            <w:hideMark/>
          </w:tcPr>
          <w:p w14:paraId="72548DEF" w14:textId="59029DCA" w:rsidR="0080560F" w:rsidRPr="00BC31E0" w:rsidRDefault="0080560F" w:rsidP="00BC31E0">
            <w:pPr>
              <w:pStyle w:val="Normal-pool-Table"/>
            </w:pPr>
            <w:r w:rsidRPr="00BC31E0">
              <w:t>58</w:t>
            </w:r>
            <w:r w:rsidR="002D21C5" w:rsidRPr="00BC31E0">
              <w:t xml:space="preserve"> </w:t>
            </w:r>
            <w:r w:rsidRPr="00BC31E0">
              <w:t>495</w:t>
            </w:r>
          </w:p>
        </w:tc>
        <w:tc>
          <w:tcPr>
            <w:tcW w:w="2409" w:type="dxa"/>
            <w:hideMark/>
          </w:tcPr>
          <w:p w14:paraId="1D79A9CF" w14:textId="0062B755" w:rsidR="0080560F" w:rsidRPr="00BC31E0" w:rsidRDefault="0080560F" w:rsidP="00BC31E0">
            <w:pPr>
              <w:pStyle w:val="Normal-pool-Table"/>
            </w:pPr>
            <w:r w:rsidRPr="00BC31E0">
              <w:t xml:space="preserve">1 non-A5 </w:t>
            </w:r>
            <w:r w:rsidR="00F6327A" w:rsidRPr="00BC31E0">
              <w:t>trip</w:t>
            </w:r>
            <w:r w:rsidRPr="00BC31E0">
              <w:t xml:space="preserve"> covered by </w:t>
            </w:r>
            <w:r w:rsidR="008D4404" w:rsidRPr="00BC31E0">
              <w:t xml:space="preserve">other sources (e.g. </w:t>
            </w:r>
            <w:r w:rsidR="00CE14A9" w:rsidRPr="00BC31E0">
              <w:t>EU</w:t>
            </w:r>
            <w:r w:rsidR="00CE14A9" w:rsidRPr="00BC31E0">
              <w:noBreakHyphen/>
            </w:r>
            <w:r w:rsidR="008D4404" w:rsidRPr="00BC31E0">
              <w:t>funded project)</w:t>
            </w:r>
          </w:p>
        </w:tc>
      </w:tr>
      <w:tr w:rsidR="0080560F" w:rsidRPr="00BC31E0" w14:paraId="2E021967" w14:textId="77777777" w:rsidTr="00BC31E0">
        <w:trPr>
          <w:trHeight w:val="57"/>
          <w:jc w:val="right"/>
        </w:trPr>
        <w:tc>
          <w:tcPr>
            <w:tcW w:w="577" w:type="dxa"/>
            <w:vMerge/>
            <w:hideMark/>
          </w:tcPr>
          <w:p w14:paraId="05BFDAB8" w14:textId="77777777" w:rsidR="0080560F" w:rsidRPr="00BC31E0" w:rsidRDefault="0080560F" w:rsidP="00BC31E0">
            <w:pPr>
              <w:pStyle w:val="Normal-pool-Table"/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noWrap/>
            <w:hideMark/>
          </w:tcPr>
          <w:p w14:paraId="2E5DF092" w14:textId="77777777" w:rsidR="007C344A" w:rsidRPr="00BC31E0" w:rsidRDefault="0080560F" w:rsidP="00BC31E0">
            <w:pPr>
              <w:pStyle w:val="Normal-pool-Table"/>
            </w:pPr>
            <w:r w:rsidRPr="00BC31E0">
              <w:t>COP13/</w:t>
            </w:r>
          </w:p>
          <w:p w14:paraId="2C3685E2" w14:textId="7C60F32D" w:rsidR="0080560F" w:rsidRPr="00BC31E0" w:rsidRDefault="0080560F" w:rsidP="00BC31E0">
            <w:pPr>
              <w:pStyle w:val="Normal-pool-Table"/>
            </w:pPr>
            <w:r w:rsidRPr="00BC31E0">
              <w:t>MOP36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42BAFC0E" w14:textId="661FDEFD" w:rsidR="0080560F" w:rsidRPr="00BC31E0" w:rsidRDefault="0080560F" w:rsidP="00BC31E0">
            <w:pPr>
              <w:pStyle w:val="Normal-pool-Table"/>
            </w:pPr>
            <w:r w:rsidRPr="00BC31E0">
              <w:t>Bangkok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1A646D78" w14:textId="6FBA8911" w:rsidR="0080560F" w:rsidRPr="00BC31E0" w:rsidRDefault="0080560F" w:rsidP="00BC31E0">
            <w:pPr>
              <w:pStyle w:val="Normal-pool-Table"/>
            </w:pPr>
            <w:r w:rsidRPr="00BC31E0">
              <w:t>28 October</w:t>
            </w:r>
            <w:r w:rsidR="004A3671" w:rsidRPr="00BC31E0">
              <w:t>–</w:t>
            </w:r>
            <w:r w:rsidRPr="00BC31E0">
              <w:t xml:space="preserve"> 1</w:t>
            </w:r>
            <w:r w:rsidR="004A3671" w:rsidRPr="00BC31E0">
              <w:t> </w:t>
            </w:r>
            <w:r w:rsidRPr="00BC31E0">
              <w:t>November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362DCD6F" w14:textId="2A12B7EE" w:rsidR="0080560F" w:rsidRPr="00BC31E0" w:rsidRDefault="0080560F" w:rsidP="00BC31E0">
            <w:pPr>
              <w:pStyle w:val="Normal-pool-Table"/>
            </w:pPr>
            <w:r w:rsidRPr="00BC31E0">
              <w:t>1</w:t>
            </w:r>
            <w:r w:rsidR="00542926" w:rsidRPr="00BC31E0"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162EDEFD" w14:textId="23D21ED0" w:rsidR="0080560F" w:rsidRPr="00BC31E0" w:rsidRDefault="0080560F" w:rsidP="00BC31E0">
            <w:pPr>
              <w:pStyle w:val="Normal-pool-Table"/>
            </w:pPr>
            <w:r w:rsidRPr="00BC31E0">
              <w:t>48</w:t>
            </w:r>
            <w:r w:rsidR="002D21C5" w:rsidRPr="00BC31E0">
              <w:t xml:space="preserve"> </w:t>
            </w:r>
            <w:r w:rsidRPr="00BC31E0">
              <w:t>584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hideMark/>
          </w:tcPr>
          <w:p w14:paraId="269E9D37" w14:textId="622954C0" w:rsidR="0080560F" w:rsidRPr="00BC31E0" w:rsidRDefault="0080560F" w:rsidP="00BC31E0">
            <w:pPr>
              <w:pStyle w:val="Normal-pool-Table"/>
            </w:pPr>
            <w:r w:rsidRPr="00BC31E0">
              <w:t xml:space="preserve">2 non-A5 </w:t>
            </w:r>
            <w:r w:rsidR="00F6327A" w:rsidRPr="00BC31E0">
              <w:t>trips</w:t>
            </w:r>
            <w:r w:rsidRPr="00BC31E0">
              <w:t xml:space="preserve"> covered by </w:t>
            </w:r>
            <w:r w:rsidR="008D4404" w:rsidRPr="00BC31E0">
              <w:t xml:space="preserve">other sources (e.g. </w:t>
            </w:r>
            <w:r w:rsidR="00CE14A9" w:rsidRPr="00BC31E0">
              <w:t>EU</w:t>
            </w:r>
            <w:r w:rsidR="00CE14A9" w:rsidRPr="00BC31E0">
              <w:noBreakHyphen/>
            </w:r>
            <w:r w:rsidR="008D4404" w:rsidRPr="00BC31E0">
              <w:t>funded project)</w:t>
            </w:r>
          </w:p>
        </w:tc>
      </w:tr>
      <w:tr w:rsidR="0080560F" w:rsidRPr="00BC31E0" w14:paraId="2D936B84" w14:textId="77777777" w:rsidTr="00BC31E0">
        <w:trPr>
          <w:trHeight w:val="57"/>
          <w:jc w:val="right"/>
        </w:trPr>
        <w:tc>
          <w:tcPr>
            <w:tcW w:w="577" w:type="dxa"/>
            <w:vMerge/>
            <w:tcBorders>
              <w:bottom w:val="single" w:sz="4" w:space="0" w:color="000000"/>
            </w:tcBorders>
            <w:hideMark/>
          </w:tcPr>
          <w:p w14:paraId="219556C4" w14:textId="77777777" w:rsidR="0080560F" w:rsidRPr="00BC31E0" w:rsidRDefault="0080560F" w:rsidP="00BC31E0">
            <w:pPr>
              <w:pStyle w:val="Normal-pool-Table"/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000000"/>
            </w:tcBorders>
            <w:noWrap/>
            <w:hideMark/>
          </w:tcPr>
          <w:p w14:paraId="792E6894" w14:textId="51C79675" w:rsidR="0080560F" w:rsidRPr="00BC31E0" w:rsidRDefault="0080560F" w:rsidP="00BC31E0">
            <w:pPr>
              <w:pStyle w:val="Normal-pool-Table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noWrap/>
            <w:hideMark/>
          </w:tcPr>
          <w:p w14:paraId="046EEBA2" w14:textId="66A52217" w:rsidR="0080560F" w:rsidRPr="00BC31E0" w:rsidRDefault="0080560F" w:rsidP="00BC31E0">
            <w:pPr>
              <w:pStyle w:val="Normal-pool-Table"/>
            </w:pPr>
            <w:r w:rsidRPr="00BC31E0">
              <w:t>Subtotal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noWrap/>
            <w:hideMark/>
          </w:tcPr>
          <w:p w14:paraId="2E524EB0" w14:textId="704029F4" w:rsidR="0080560F" w:rsidRPr="00BC31E0" w:rsidRDefault="0080560F" w:rsidP="00BC31E0">
            <w:pPr>
              <w:pStyle w:val="Normal-pool-Table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noWrap/>
            <w:hideMark/>
          </w:tcPr>
          <w:p w14:paraId="1F0CF75B" w14:textId="3D38B8AF" w:rsidR="0080560F" w:rsidRPr="00BC31E0" w:rsidRDefault="00542926" w:rsidP="00BC31E0">
            <w:pPr>
              <w:pStyle w:val="Normal-pool-Table"/>
            </w:pPr>
            <w:r w:rsidRPr="00BC31E0">
              <w:t>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noWrap/>
            <w:hideMark/>
          </w:tcPr>
          <w:p w14:paraId="4F7A1D73" w14:textId="66C54C8A" w:rsidR="0080560F" w:rsidRPr="00BC31E0" w:rsidRDefault="0080560F" w:rsidP="00BC31E0">
            <w:pPr>
              <w:pStyle w:val="Normal-pool-Table"/>
            </w:pPr>
            <w:r w:rsidRPr="00BC31E0">
              <w:t>110</w:t>
            </w:r>
            <w:r w:rsidR="002D21C5" w:rsidRPr="00BC31E0">
              <w:t xml:space="preserve"> </w:t>
            </w:r>
            <w:r w:rsidRPr="00BC31E0">
              <w:t xml:space="preserve">875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/>
            </w:tcBorders>
            <w:hideMark/>
          </w:tcPr>
          <w:p w14:paraId="1B913B0F" w14:textId="08B8B9B8" w:rsidR="0080560F" w:rsidRPr="00BC31E0" w:rsidRDefault="0080560F" w:rsidP="00BC31E0">
            <w:pPr>
              <w:pStyle w:val="Normal-pool-Table"/>
            </w:pPr>
          </w:p>
        </w:tc>
      </w:tr>
      <w:tr w:rsidR="0080560F" w:rsidRPr="00BC31E0" w14:paraId="1D6EECD5" w14:textId="77777777" w:rsidTr="00BC31E0">
        <w:trPr>
          <w:trHeight w:val="57"/>
          <w:jc w:val="right"/>
        </w:trPr>
        <w:tc>
          <w:tcPr>
            <w:tcW w:w="577" w:type="dxa"/>
            <w:vMerge w:val="restart"/>
            <w:tcBorders>
              <w:top w:val="single" w:sz="4" w:space="0" w:color="000000"/>
            </w:tcBorders>
            <w:noWrap/>
            <w:hideMark/>
          </w:tcPr>
          <w:p w14:paraId="0B908238" w14:textId="77777777" w:rsidR="0080560F" w:rsidRPr="00BC31E0" w:rsidRDefault="0080560F" w:rsidP="00BC31E0">
            <w:pPr>
              <w:pStyle w:val="Normal-pool-Table"/>
            </w:pPr>
            <w:r w:rsidRPr="00BC31E0">
              <w:t>2023</w:t>
            </w:r>
          </w:p>
        </w:tc>
        <w:tc>
          <w:tcPr>
            <w:tcW w:w="1408" w:type="dxa"/>
            <w:tcBorders>
              <w:top w:val="single" w:sz="4" w:space="0" w:color="000000"/>
            </w:tcBorders>
            <w:noWrap/>
            <w:hideMark/>
          </w:tcPr>
          <w:p w14:paraId="41E05AF6" w14:textId="0EB4421B" w:rsidR="0080560F" w:rsidRPr="00BC31E0" w:rsidRDefault="0080560F" w:rsidP="00BC31E0">
            <w:pPr>
              <w:pStyle w:val="Normal-pool-Table"/>
            </w:pPr>
            <w:r w:rsidRPr="00BC31E0">
              <w:t>E</w:t>
            </w:r>
            <w:r w:rsidR="00CF18EC" w:rsidRPr="00BC31E0">
              <w:t>x</w:t>
            </w:r>
            <w:r w:rsidRPr="00BC31E0">
              <w:t>C</w:t>
            </w:r>
            <w:r w:rsidR="00CF18EC" w:rsidRPr="00BC31E0">
              <w:t>om</w:t>
            </w:r>
            <w:r w:rsidRPr="00BC31E0">
              <w:t>92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noWrap/>
            <w:hideMark/>
          </w:tcPr>
          <w:p w14:paraId="570E672F" w14:textId="6819AC1D" w:rsidR="0080560F" w:rsidRPr="00BC31E0" w:rsidRDefault="0080560F" w:rsidP="00BC31E0">
            <w:pPr>
              <w:pStyle w:val="Normal-pool-Table"/>
            </w:pPr>
            <w:r w:rsidRPr="00BC31E0">
              <w:t>Montreal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noWrap/>
            <w:hideMark/>
          </w:tcPr>
          <w:p w14:paraId="5E994B6A" w14:textId="02B3A180" w:rsidR="0080560F" w:rsidRPr="00BC31E0" w:rsidRDefault="0080560F" w:rsidP="00BC31E0">
            <w:pPr>
              <w:pStyle w:val="Normal-pool-Table"/>
            </w:pPr>
            <w:r w:rsidRPr="00BC31E0">
              <w:t>29 May</w:t>
            </w:r>
            <w:r w:rsidR="004A3671" w:rsidRPr="00BC31E0">
              <w:t>–</w:t>
            </w:r>
            <w:r w:rsidRPr="00BC31E0">
              <w:t>2</w:t>
            </w:r>
            <w:r w:rsidR="00AD7684" w:rsidRPr="00BC31E0">
              <w:t xml:space="preserve"> </w:t>
            </w:r>
            <w:r w:rsidRPr="00BC31E0">
              <w:t>June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noWrap/>
            <w:hideMark/>
          </w:tcPr>
          <w:p w14:paraId="25493C2A" w14:textId="77777777" w:rsidR="0080560F" w:rsidRPr="00BC31E0" w:rsidRDefault="0080560F" w:rsidP="00BC31E0">
            <w:pPr>
              <w:pStyle w:val="Normal-pool-Table"/>
            </w:pPr>
            <w:r w:rsidRPr="00BC31E0"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noWrap/>
            <w:hideMark/>
          </w:tcPr>
          <w:p w14:paraId="0595CF02" w14:textId="2563EE90" w:rsidR="0080560F" w:rsidRPr="00BC31E0" w:rsidRDefault="0080560F" w:rsidP="00BC31E0">
            <w:pPr>
              <w:pStyle w:val="Normal-pool-Table"/>
            </w:pPr>
            <w:r w:rsidRPr="00BC31E0">
              <w:t>6</w:t>
            </w:r>
            <w:r w:rsidR="002D21C5" w:rsidRPr="00BC31E0">
              <w:t xml:space="preserve"> </w:t>
            </w:r>
            <w:r w:rsidRPr="00BC31E0">
              <w:t>218</w:t>
            </w:r>
          </w:p>
        </w:tc>
        <w:tc>
          <w:tcPr>
            <w:tcW w:w="2409" w:type="dxa"/>
            <w:tcBorders>
              <w:top w:val="single" w:sz="4" w:space="0" w:color="000000"/>
            </w:tcBorders>
            <w:hideMark/>
          </w:tcPr>
          <w:p w14:paraId="4B0F1A40" w14:textId="435E829E" w:rsidR="0080560F" w:rsidRPr="00BC31E0" w:rsidRDefault="0080560F" w:rsidP="00BC31E0">
            <w:pPr>
              <w:pStyle w:val="Normal-pool-Table"/>
            </w:pPr>
          </w:p>
        </w:tc>
      </w:tr>
      <w:tr w:rsidR="0080560F" w:rsidRPr="00BC31E0" w14:paraId="4AE48EDF" w14:textId="77777777" w:rsidTr="00BC31E0">
        <w:trPr>
          <w:trHeight w:val="57"/>
          <w:jc w:val="right"/>
        </w:trPr>
        <w:tc>
          <w:tcPr>
            <w:tcW w:w="577" w:type="dxa"/>
            <w:vMerge/>
            <w:hideMark/>
          </w:tcPr>
          <w:p w14:paraId="43806A37" w14:textId="77777777" w:rsidR="0080560F" w:rsidRPr="00BC31E0" w:rsidRDefault="0080560F" w:rsidP="00BC31E0">
            <w:pPr>
              <w:pStyle w:val="Normal-pool-Table"/>
            </w:pPr>
          </w:p>
        </w:tc>
        <w:tc>
          <w:tcPr>
            <w:tcW w:w="1408" w:type="dxa"/>
            <w:noWrap/>
            <w:hideMark/>
          </w:tcPr>
          <w:p w14:paraId="30779AB8" w14:textId="77777777" w:rsidR="0080560F" w:rsidRPr="00BC31E0" w:rsidRDefault="0080560F" w:rsidP="00BC31E0">
            <w:pPr>
              <w:pStyle w:val="Normal-pool-Table"/>
            </w:pPr>
            <w:r w:rsidRPr="00BC31E0">
              <w:t>OEWG45</w:t>
            </w:r>
          </w:p>
        </w:tc>
        <w:tc>
          <w:tcPr>
            <w:tcW w:w="992" w:type="dxa"/>
            <w:noWrap/>
            <w:hideMark/>
          </w:tcPr>
          <w:p w14:paraId="77775D68" w14:textId="40474A98" w:rsidR="0080560F" w:rsidRPr="00BC31E0" w:rsidRDefault="0080560F" w:rsidP="00BC31E0">
            <w:pPr>
              <w:pStyle w:val="Normal-pool-Table"/>
            </w:pPr>
            <w:r w:rsidRPr="00BC31E0">
              <w:t>Bangkok</w:t>
            </w:r>
          </w:p>
        </w:tc>
        <w:tc>
          <w:tcPr>
            <w:tcW w:w="1418" w:type="dxa"/>
            <w:noWrap/>
            <w:hideMark/>
          </w:tcPr>
          <w:p w14:paraId="39475372" w14:textId="0A0591AD" w:rsidR="0080560F" w:rsidRPr="00BC31E0" w:rsidRDefault="0080560F" w:rsidP="00BC31E0">
            <w:pPr>
              <w:pStyle w:val="Normal-pool-Table"/>
            </w:pPr>
            <w:r w:rsidRPr="00BC31E0">
              <w:t>3</w:t>
            </w:r>
            <w:r w:rsidR="00310134" w:rsidRPr="00BC31E0">
              <w:t>–</w:t>
            </w:r>
            <w:r w:rsidRPr="00BC31E0">
              <w:t xml:space="preserve">7 July </w:t>
            </w:r>
          </w:p>
        </w:tc>
        <w:tc>
          <w:tcPr>
            <w:tcW w:w="1417" w:type="dxa"/>
            <w:noWrap/>
            <w:hideMark/>
          </w:tcPr>
          <w:p w14:paraId="73A95970" w14:textId="77777777" w:rsidR="0080560F" w:rsidRPr="00BC31E0" w:rsidRDefault="0080560F" w:rsidP="00BC31E0">
            <w:pPr>
              <w:pStyle w:val="Normal-pool-Table"/>
            </w:pPr>
            <w:r w:rsidRPr="00BC31E0">
              <w:t>10</w:t>
            </w:r>
          </w:p>
        </w:tc>
        <w:tc>
          <w:tcPr>
            <w:tcW w:w="1276" w:type="dxa"/>
            <w:noWrap/>
            <w:hideMark/>
          </w:tcPr>
          <w:p w14:paraId="42D92130" w14:textId="59045C08" w:rsidR="0080560F" w:rsidRPr="00BC31E0" w:rsidRDefault="0080560F" w:rsidP="00BC31E0">
            <w:pPr>
              <w:pStyle w:val="Normal-pool-Table"/>
            </w:pPr>
            <w:r w:rsidRPr="00BC31E0">
              <w:t>41</w:t>
            </w:r>
            <w:r w:rsidR="002D21C5" w:rsidRPr="00BC31E0">
              <w:t xml:space="preserve"> </w:t>
            </w:r>
            <w:r w:rsidRPr="00BC31E0">
              <w:t>307</w:t>
            </w:r>
          </w:p>
        </w:tc>
        <w:tc>
          <w:tcPr>
            <w:tcW w:w="2409" w:type="dxa"/>
            <w:hideMark/>
          </w:tcPr>
          <w:p w14:paraId="54BF531E" w14:textId="12B245E9" w:rsidR="0080560F" w:rsidRPr="00BC31E0" w:rsidRDefault="0080560F" w:rsidP="00BC31E0">
            <w:pPr>
              <w:pStyle w:val="Normal-pool-Table"/>
            </w:pPr>
            <w:r w:rsidRPr="00BC31E0">
              <w:t xml:space="preserve">2 non-A5 </w:t>
            </w:r>
            <w:r w:rsidR="00F6327A" w:rsidRPr="00BC31E0">
              <w:t>trips</w:t>
            </w:r>
            <w:r w:rsidRPr="00BC31E0">
              <w:t xml:space="preserve"> covered by </w:t>
            </w:r>
            <w:r w:rsidR="008D4404" w:rsidRPr="00BC31E0">
              <w:t xml:space="preserve">other sources (e.g. </w:t>
            </w:r>
            <w:r w:rsidR="00CE14A9" w:rsidRPr="00BC31E0">
              <w:t>EU</w:t>
            </w:r>
            <w:r w:rsidR="00CE14A9" w:rsidRPr="00BC31E0">
              <w:noBreakHyphen/>
            </w:r>
            <w:r w:rsidR="008D4404" w:rsidRPr="00BC31E0">
              <w:t>funded project)</w:t>
            </w:r>
          </w:p>
        </w:tc>
      </w:tr>
      <w:tr w:rsidR="0080560F" w:rsidRPr="00BC31E0" w14:paraId="5EA4A1CC" w14:textId="77777777" w:rsidTr="00BC31E0">
        <w:trPr>
          <w:trHeight w:val="57"/>
          <w:jc w:val="right"/>
        </w:trPr>
        <w:tc>
          <w:tcPr>
            <w:tcW w:w="577" w:type="dxa"/>
            <w:vMerge/>
            <w:hideMark/>
          </w:tcPr>
          <w:p w14:paraId="3D49ED35" w14:textId="77777777" w:rsidR="0080560F" w:rsidRPr="00BC31E0" w:rsidRDefault="0080560F" w:rsidP="00BC31E0">
            <w:pPr>
              <w:pStyle w:val="Normal-pool-Table"/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noWrap/>
            <w:hideMark/>
          </w:tcPr>
          <w:p w14:paraId="581DEF2E" w14:textId="77777777" w:rsidR="0080560F" w:rsidRPr="00BC31E0" w:rsidRDefault="0080560F" w:rsidP="00BC31E0">
            <w:pPr>
              <w:pStyle w:val="Normal-pool-Table"/>
            </w:pPr>
            <w:r w:rsidRPr="00BC31E0">
              <w:t>MOP35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0F6DAB41" w14:textId="5C30A7A0" w:rsidR="0080560F" w:rsidRPr="00BC31E0" w:rsidRDefault="0080560F" w:rsidP="00BC31E0">
            <w:pPr>
              <w:pStyle w:val="Normal-pool-Table"/>
            </w:pPr>
            <w:r w:rsidRPr="00BC31E0">
              <w:t>Nairobi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7D4F9388" w14:textId="519B96DE" w:rsidR="0080560F" w:rsidRPr="00BC31E0" w:rsidRDefault="0080560F" w:rsidP="00BC31E0">
            <w:pPr>
              <w:pStyle w:val="Normal-pool-Table"/>
            </w:pPr>
            <w:r w:rsidRPr="00BC31E0">
              <w:t>23</w:t>
            </w:r>
            <w:r w:rsidR="00310134" w:rsidRPr="00BC31E0">
              <w:t>–</w:t>
            </w:r>
            <w:r w:rsidRPr="00BC31E0">
              <w:t>27 October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3B7DB0E7" w14:textId="77777777" w:rsidR="0080560F" w:rsidRPr="00BC31E0" w:rsidRDefault="0080560F" w:rsidP="00BC31E0">
            <w:pPr>
              <w:pStyle w:val="Normal-pool-Table"/>
            </w:pPr>
            <w:r w:rsidRPr="00BC31E0"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5FF86D73" w14:textId="5D98D45F" w:rsidR="0080560F" w:rsidRPr="00BC31E0" w:rsidRDefault="0080560F" w:rsidP="00BC31E0">
            <w:pPr>
              <w:pStyle w:val="Normal-pool-Table"/>
            </w:pPr>
            <w:r w:rsidRPr="00BC31E0">
              <w:t>61</w:t>
            </w:r>
            <w:r w:rsidR="002D21C5" w:rsidRPr="00BC31E0">
              <w:t xml:space="preserve"> </w:t>
            </w:r>
            <w:r w:rsidRPr="00BC31E0">
              <w:t>358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hideMark/>
          </w:tcPr>
          <w:p w14:paraId="051DADE3" w14:textId="58F79225" w:rsidR="0080560F" w:rsidRPr="00BC31E0" w:rsidRDefault="0080560F" w:rsidP="00BC31E0">
            <w:pPr>
              <w:pStyle w:val="Normal-pool-Table"/>
            </w:pPr>
            <w:r w:rsidRPr="00BC31E0">
              <w:t xml:space="preserve">3 non-A5 </w:t>
            </w:r>
            <w:r w:rsidR="00F6327A" w:rsidRPr="00BC31E0">
              <w:t>trips</w:t>
            </w:r>
            <w:r w:rsidRPr="00BC31E0">
              <w:t xml:space="preserve"> covered by </w:t>
            </w:r>
            <w:r w:rsidR="008D4404" w:rsidRPr="00BC31E0">
              <w:t xml:space="preserve">other sources (e.g. </w:t>
            </w:r>
            <w:r w:rsidR="00CE14A9" w:rsidRPr="00BC31E0">
              <w:t>EU</w:t>
            </w:r>
            <w:r w:rsidR="00CE14A9" w:rsidRPr="00BC31E0">
              <w:noBreakHyphen/>
            </w:r>
            <w:r w:rsidR="008D4404" w:rsidRPr="00BC31E0">
              <w:t>funded project)</w:t>
            </w:r>
          </w:p>
        </w:tc>
      </w:tr>
      <w:tr w:rsidR="0080560F" w:rsidRPr="00BC31E0" w14:paraId="4415D4A7" w14:textId="77777777" w:rsidTr="00BC31E0">
        <w:trPr>
          <w:trHeight w:val="57"/>
          <w:jc w:val="right"/>
        </w:trPr>
        <w:tc>
          <w:tcPr>
            <w:tcW w:w="577" w:type="dxa"/>
            <w:vMerge/>
            <w:tcBorders>
              <w:bottom w:val="single" w:sz="4" w:space="0" w:color="000000"/>
            </w:tcBorders>
            <w:hideMark/>
          </w:tcPr>
          <w:p w14:paraId="6CE0021F" w14:textId="77777777" w:rsidR="0080560F" w:rsidRPr="00BC31E0" w:rsidRDefault="0080560F" w:rsidP="00BC31E0">
            <w:pPr>
              <w:pStyle w:val="Normal-pool-Table"/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000000"/>
            </w:tcBorders>
            <w:noWrap/>
            <w:hideMark/>
          </w:tcPr>
          <w:p w14:paraId="68BE587E" w14:textId="440F1239" w:rsidR="0080560F" w:rsidRPr="00BC31E0" w:rsidRDefault="0080560F" w:rsidP="00BC31E0">
            <w:pPr>
              <w:pStyle w:val="Normal-pool-Table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noWrap/>
            <w:hideMark/>
          </w:tcPr>
          <w:p w14:paraId="6955D614" w14:textId="2CAE8AEE" w:rsidR="0080560F" w:rsidRPr="00BC31E0" w:rsidRDefault="0080560F" w:rsidP="00BC31E0">
            <w:pPr>
              <w:pStyle w:val="Normal-pool-Table"/>
            </w:pPr>
            <w:r w:rsidRPr="00BC31E0">
              <w:t>Subtotal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noWrap/>
            <w:hideMark/>
          </w:tcPr>
          <w:p w14:paraId="1D02A438" w14:textId="319A5CE1" w:rsidR="0080560F" w:rsidRPr="00BC31E0" w:rsidRDefault="0080560F" w:rsidP="00BC31E0">
            <w:pPr>
              <w:pStyle w:val="Normal-pool-Table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noWrap/>
            <w:hideMark/>
          </w:tcPr>
          <w:p w14:paraId="2CB382F1" w14:textId="02C2BA1B" w:rsidR="0080560F" w:rsidRPr="00BC31E0" w:rsidRDefault="0080560F" w:rsidP="00BC31E0">
            <w:pPr>
              <w:pStyle w:val="Normal-pool-Table"/>
            </w:pPr>
            <w:r w:rsidRPr="00BC31E0">
              <w:t xml:space="preserve">27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noWrap/>
            <w:hideMark/>
          </w:tcPr>
          <w:p w14:paraId="7DB31A9C" w14:textId="72E75B38" w:rsidR="0080560F" w:rsidRPr="00BC31E0" w:rsidRDefault="0080560F" w:rsidP="00BC31E0">
            <w:pPr>
              <w:pStyle w:val="Normal-pool-Table"/>
            </w:pPr>
            <w:r w:rsidRPr="00BC31E0">
              <w:t>108</w:t>
            </w:r>
            <w:r w:rsidR="002D21C5" w:rsidRPr="00BC31E0">
              <w:t xml:space="preserve"> </w:t>
            </w:r>
            <w:r w:rsidRPr="00BC31E0">
              <w:t>883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/>
            </w:tcBorders>
            <w:hideMark/>
          </w:tcPr>
          <w:p w14:paraId="2CFB69C7" w14:textId="3367AB28" w:rsidR="0080560F" w:rsidRPr="00BC31E0" w:rsidRDefault="0080560F" w:rsidP="00BC31E0">
            <w:pPr>
              <w:pStyle w:val="Normal-pool-Table"/>
            </w:pPr>
          </w:p>
        </w:tc>
      </w:tr>
      <w:tr w:rsidR="0080560F" w:rsidRPr="00BC31E0" w14:paraId="2BBC6EE3" w14:textId="77777777" w:rsidTr="00BC31E0">
        <w:trPr>
          <w:trHeight w:val="57"/>
          <w:jc w:val="right"/>
        </w:trPr>
        <w:tc>
          <w:tcPr>
            <w:tcW w:w="577" w:type="dxa"/>
            <w:vMerge w:val="restart"/>
            <w:tcBorders>
              <w:top w:val="single" w:sz="4" w:space="0" w:color="000000"/>
            </w:tcBorders>
            <w:noWrap/>
            <w:hideMark/>
          </w:tcPr>
          <w:p w14:paraId="148BF0F3" w14:textId="77777777" w:rsidR="0080560F" w:rsidRPr="00BC31E0" w:rsidRDefault="0080560F" w:rsidP="00BC31E0">
            <w:pPr>
              <w:pStyle w:val="Normal-pool-Table"/>
            </w:pPr>
            <w:r w:rsidRPr="00BC31E0">
              <w:t>2022</w:t>
            </w:r>
          </w:p>
        </w:tc>
        <w:tc>
          <w:tcPr>
            <w:tcW w:w="1408" w:type="dxa"/>
            <w:tcBorders>
              <w:top w:val="single" w:sz="4" w:space="0" w:color="000000"/>
            </w:tcBorders>
            <w:noWrap/>
            <w:hideMark/>
          </w:tcPr>
          <w:p w14:paraId="57A74B6E" w14:textId="77777777" w:rsidR="0080560F" w:rsidRPr="00BC31E0" w:rsidRDefault="0080560F" w:rsidP="00BC31E0">
            <w:pPr>
              <w:pStyle w:val="Normal-pool-Table"/>
            </w:pPr>
            <w:r w:rsidRPr="00BC31E0">
              <w:t>OEWG44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noWrap/>
            <w:hideMark/>
          </w:tcPr>
          <w:p w14:paraId="48059ACB" w14:textId="3F149F1B" w:rsidR="0080560F" w:rsidRPr="00BC31E0" w:rsidRDefault="0080560F" w:rsidP="00BC31E0">
            <w:pPr>
              <w:pStyle w:val="Normal-pool-Table"/>
            </w:pPr>
            <w:r w:rsidRPr="00BC31E0">
              <w:t>Bangkok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noWrap/>
            <w:hideMark/>
          </w:tcPr>
          <w:p w14:paraId="1A1043CD" w14:textId="1528B610" w:rsidR="0080560F" w:rsidRPr="00BC31E0" w:rsidRDefault="0080560F" w:rsidP="00BC31E0">
            <w:pPr>
              <w:pStyle w:val="Normal-pool-Table"/>
            </w:pPr>
            <w:r w:rsidRPr="00BC31E0">
              <w:t>11</w:t>
            </w:r>
            <w:r w:rsidR="00310134" w:rsidRPr="00BC31E0">
              <w:t>–</w:t>
            </w:r>
            <w:r w:rsidRPr="00BC31E0">
              <w:t xml:space="preserve">16 July 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noWrap/>
            <w:hideMark/>
          </w:tcPr>
          <w:p w14:paraId="63595BD3" w14:textId="77777777" w:rsidR="0080560F" w:rsidRPr="00BC31E0" w:rsidRDefault="0080560F" w:rsidP="00BC31E0">
            <w:pPr>
              <w:pStyle w:val="Normal-pool-Table"/>
            </w:pPr>
            <w:r w:rsidRPr="00BC31E0">
              <w:t>9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noWrap/>
            <w:hideMark/>
          </w:tcPr>
          <w:p w14:paraId="76249294" w14:textId="087809E2" w:rsidR="0080560F" w:rsidRPr="00BC31E0" w:rsidRDefault="0080560F" w:rsidP="00BC31E0">
            <w:pPr>
              <w:pStyle w:val="Normal-pool-Table"/>
            </w:pPr>
            <w:r w:rsidRPr="00BC31E0">
              <w:t>37</w:t>
            </w:r>
            <w:r w:rsidR="002D21C5" w:rsidRPr="00BC31E0">
              <w:t xml:space="preserve"> </w:t>
            </w:r>
            <w:r w:rsidRPr="00BC31E0">
              <w:t>312</w:t>
            </w:r>
          </w:p>
        </w:tc>
        <w:tc>
          <w:tcPr>
            <w:tcW w:w="2409" w:type="dxa"/>
            <w:tcBorders>
              <w:top w:val="single" w:sz="4" w:space="0" w:color="000000"/>
            </w:tcBorders>
            <w:hideMark/>
          </w:tcPr>
          <w:p w14:paraId="5E422CC5" w14:textId="55DD42D4" w:rsidR="0080560F" w:rsidRPr="00BC31E0" w:rsidRDefault="0080560F" w:rsidP="00BC31E0">
            <w:pPr>
              <w:pStyle w:val="Normal-pool-Table"/>
            </w:pPr>
            <w:r w:rsidRPr="00BC31E0">
              <w:t xml:space="preserve">1 non-A5 </w:t>
            </w:r>
            <w:r w:rsidR="00F6327A" w:rsidRPr="00BC31E0">
              <w:t>trip</w:t>
            </w:r>
            <w:r w:rsidRPr="00BC31E0">
              <w:t xml:space="preserve"> covered by </w:t>
            </w:r>
            <w:r w:rsidR="008D4404" w:rsidRPr="00BC31E0">
              <w:t xml:space="preserve">other sources (e.g. </w:t>
            </w:r>
            <w:r w:rsidR="00CE14A9" w:rsidRPr="00BC31E0">
              <w:t>EU</w:t>
            </w:r>
            <w:r w:rsidR="00CE14A9" w:rsidRPr="00BC31E0">
              <w:noBreakHyphen/>
            </w:r>
            <w:r w:rsidR="008D4404" w:rsidRPr="00BC31E0">
              <w:t>funded project)</w:t>
            </w:r>
          </w:p>
        </w:tc>
      </w:tr>
      <w:tr w:rsidR="0080560F" w:rsidRPr="00BC31E0" w14:paraId="4BB3532B" w14:textId="77777777" w:rsidTr="00BC31E0">
        <w:trPr>
          <w:trHeight w:val="57"/>
          <w:jc w:val="right"/>
        </w:trPr>
        <w:tc>
          <w:tcPr>
            <w:tcW w:w="577" w:type="dxa"/>
            <w:vMerge/>
            <w:hideMark/>
          </w:tcPr>
          <w:p w14:paraId="76F6D4D3" w14:textId="77777777" w:rsidR="0080560F" w:rsidRPr="00BC31E0" w:rsidRDefault="0080560F" w:rsidP="00BC31E0">
            <w:pPr>
              <w:pStyle w:val="Normal-pool-Table"/>
            </w:pPr>
          </w:p>
        </w:tc>
        <w:tc>
          <w:tcPr>
            <w:tcW w:w="1408" w:type="dxa"/>
            <w:noWrap/>
            <w:hideMark/>
          </w:tcPr>
          <w:p w14:paraId="764FA519" w14:textId="77777777" w:rsidR="0080560F" w:rsidRPr="00BC31E0" w:rsidRDefault="0080560F" w:rsidP="00BC31E0">
            <w:pPr>
              <w:pStyle w:val="Normal-pool-Table"/>
            </w:pPr>
            <w:r w:rsidRPr="00BC31E0">
              <w:t>MOP34</w:t>
            </w:r>
          </w:p>
        </w:tc>
        <w:tc>
          <w:tcPr>
            <w:tcW w:w="992" w:type="dxa"/>
            <w:noWrap/>
            <w:hideMark/>
          </w:tcPr>
          <w:p w14:paraId="687DB96C" w14:textId="24598FA4" w:rsidR="0080560F" w:rsidRPr="00BC31E0" w:rsidRDefault="0080560F" w:rsidP="00BC31E0">
            <w:pPr>
              <w:pStyle w:val="Normal-pool-Table"/>
            </w:pPr>
            <w:r w:rsidRPr="00BC31E0">
              <w:t>Montreal</w:t>
            </w:r>
          </w:p>
        </w:tc>
        <w:tc>
          <w:tcPr>
            <w:tcW w:w="1418" w:type="dxa"/>
            <w:noWrap/>
            <w:hideMark/>
          </w:tcPr>
          <w:p w14:paraId="3A3F627D" w14:textId="1AE84B24" w:rsidR="0080560F" w:rsidRPr="00BC31E0" w:rsidRDefault="0080560F" w:rsidP="00BC31E0">
            <w:pPr>
              <w:pStyle w:val="Normal-pool-Table"/>
            </w:pPr>
            <w:r w:rsidRPr="00BC31E0">
              <w:t>31 October</w:t>
            </w:r>
            <w:r w:rsidR="00257FAC" w:rsidRPr="00BC31E0">
              <w:t>–</w:t>
            </w:r>
            <w:r w:rsidRPr="00BC31E0">
              <w:t xml:space="preserve"> 4</w:t>
            </w:r>
            <w:r w:rsidR="00257FAC" w:rsidRPr="00BC31E0">
              <w:t> </w:t>
            </w:r>
            <w:r w:rsidRPr="00BC31E0">
              <w:t>November</w:t>
            </w:r>
          </w:p>
        </w:tc>
        <w:tc>
          <w:tcPr>
            <w:tcW w:w="1417" w:type="dxa"/>
            <w:noWrap/>
            <w:hideMark/>
          </w:tcPr>
          <w:p w14:paraId="4B2A57A7" w14:textId="77777777" w:rsidR="0080560F" w:rsidRPr="00BC31E0" w:rsidRDefault="0080560F" w:rsidP="00BC31E0">
            <w:pPr>
              <w:pStyle w:val="Normal-pool-Table"/>
            </w:pPr>
            <w:r w:rsidRPr="00BC31E0">
              <w:t>8</w:t>
            </w:r>
          </w:p>
        </w:tc>
        <w:tc>
          <w:tcPr>
            <w:tcW w:w="1276" w:type="dxa"/>
            <w:noWrap/>
            <w:hideMark/>
          </w:tcPr>
          <w:p w14:paraId="32718C84" w14:textId="3FD187F4" w:rsidR="0080560F" w:rsidRPr="00BC31E0" w:rsidRDefault="0080560F" w:rsidP="00BC31E0">
            <w:pPr>
              <w:pStyle w:val="Normal-pool-Table"/>
            </w:pPr>
            <w:r w:rsidRPr="00BC31E0">
              <w:t>33</w:t>
            </w:r>
            <w:r w:rsidR="002D21C5" w:rsidRPr="00BC31E0">
              <w:t xml:space="preserve"> </w:t>
            </w:r>
            <w:r w:rsidRPr="00BC31E0">
              <w:t>880</w:t>
            </w:r>
          </w:p>
        </w:tc>
        <w:tc>
          <w:tcPr>
            <w:tcW w:w="2409" w:type="dxa"/>
            <w:hideMark/>
          </w:tcPr>
          <w:p w14:paraId="318B6520" w14:textId="5C975F45" w:rsidR="0080560F" w:rsidRPr="00BC31E0" w:rsidRDefault="0080560F" w:rsidP="00BC31E0">
            <w:pPr>
              <w:pStyle w:val="Normal-pool-Table"/>
            </w:pPr>
            <w:r w:rsidRPr="00BC31E0">
              <w:t xml:space="preserve">1 non-A5 </w:t>
            </w:r>
            <w:r w:rsidR="00F6327A" w:rsidRPr="00BC31E0">
              <w:t>trip</w:t>
            </w:r>
            <w:r w:rsidRPr="00BC31E0">
              <w:t xml:space="preserve"> covered by </w:t>
            </w:r>
            <w:r w:rsidR="008D4404" w:rsidRPr="00BC31E0">
              <w:t xml:space="preserve">other sources (e.g. </w:t>
            </w:r>
            <w:r w:rsidR="00CE14A9" w:rsidRPr="00BC31E0">
              <w:t>EU</w:t>
            </w:r>
            <w:r w:rsidR="00CE14A9" w:rsidRPr="00BC31E0">
              <w:noBreakHyphen/>
            </w:r>
            <w:r w:rsidR="008D4404" w:rsidRPr="00BC31E0">
              <w:t>funded project)</w:t>
            </w:r>
          </w:p>
        </w:tc>
      </w:tr>
      <w:tr w:rsidR="0080560F" w:rsidRPr="00BC31E0" w14:paraId="4F196A60" w14:textId="77777777" w:rsidTr="00BC31E0">
        <w:trPr>
          <w:trHeight w:val="57"/>
          <w:jc w:val="right"/>
        </w:trPr>
        <w:tc>
          <w:tcPr>
            <w:tcW w:w="577" w:type="dxa"/>
            <w:vMerge/>
            <w:hideMark/>
          </w:tcPr>
          <w:p w14:paraId="398A6A98" w14:textId="77777777" w:rsidR="0080560F" w:rsidRPr="00BC31E0" w:rsidRDefault="0080560F" w:rsidP="00BC31E0">
            <w:pPr>
              <w:pStyle w:val="Normal-pool-Table"/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noWrap/>
            <w:hideMark/>
          </w:tcPr>
          <w:p w14:paraId="0E28181F" w14:textId="489D0FB9" w:rsidR="0080560F" w:rsidRPr="00BC31E0" w:rsidRDefault="0080560F" w:rsidP="00BC31E0">
            <w:pPr>
              <w:pStyle w:val="Normal-pool-Table"/>
            </w:pPr>
            <w:r w:rsidRPr="00BC31E0">
              <w:t>Ex</w:t>
            </w:r>
            <w:r w:rsidR="008D4404" w:rsidRPr="00BC31E0">
              <w:t>Com</w:t>
            </w:r>
            <w:r w:rsidRPr="00BC31E0">
              <w:t>91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33321B01" w14:textId="362EC6F0" w:rsidR="0080560F" w:rsidRPr="00BC31E0" w:rsidRDefault="0080560F" w:rsidP="00BC31E0">
            <w:pPr>
              <w:pStyle w:val="Normal-pool-Table"/>
            </w:pPr>
            <w:r w:rsidRPr="00BC31E0">
              <w:t>Montreal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2442C29E" w14:textId="3B92BC1B" w:rsidR="0080560F" w:rsidRPr="00BC31E0" w:rsidRDefault="0080560F" w:rsidP="00BC31E0">
            <w:pPr>
              <w:pStyle w:val="Normal-pool-Table"/>
            </w:pPr>
            <w:r w:rsidRPr="00BC31E0">
              <w:t>4</w:t>
            </w:r>
            <w:r w:rsidR="00310134" w:rsidRPr="00BC31E0">
              <w:t>–</w:t>
            </w:r>
            <w:r w:rsidRPr="00BC31E0">
              <w:t>9 December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5ED92312" w14:textId="77777777" w:rsidR="0080560F" w:rsidRPr="00BC31E0" w:rsidRDefault="0080560F" w:rsidP="00BC31E0">
            <w:pPr>
              <w:pStyle w:val="Normal-pool-Table"/>
            </w:pPr>
            <w:r w:rsidRPr="00BC31E0"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4B23458D" w14:textId="6A333007" w:rsidR="0080560F" w:rsidRPr="00BC31E0" w:rsidRDefault="0080560F" w:rsidP="00BC31E0">
            <w:pPr>
              <w:pStyle w:val="Normal-pool-Table"/>
            </w:pPr>
            <w:r w:rsidRPr="00BC31E0">
              <w:t>4</w:t>
            </w:r>
            <w:r w:rsidR="002D21C5" w:rsidRPr="00BC31E0">
              <w:t xml:space="preserve"> </w:t>
            </w:r>
            <w:r w:rsidRPr="00BC31E0">
              <w:t>594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hideMark/>
          </w:tcPr>
          <w:p w14:paraId="059C0FDE" w14:textId="5348B12E" w:rsidR="0080560F" w:rsidRPr="00BC31E0" w:rsidRDefault="0080560F" w:rsidP="00BC31E0">
            <w:pPr>
              <w:pStyle w:val="Normal-pool-Table"/>
            </w:pPr>
          </w:p>
        </w:tc>
      </w:tr>
      <w:tr w:rsidR="0080560F" w:rsidRPr="00BC31E0" w14:paraId="57EA8114" w14:textId="77777777" w:rsidTr="00BC31E0">
        <w:trPr>
          <w:trHeight w:val="57"/>
          <w:jc w:val="right"/>
        </w:trPr>
        <w:tc>
          <w:tcPr>
            <w:tcW w:w="577" w:type="dxa"/>
            <w:vMerge/>
            <w:tcBorders>
              <w:bottom w:val="single" w:sz="12" w:space="0" w:color="auto"/>
            </w:tcBorders>
            <w:hideMark/>
          </w:tcPr>
          <w:p w14:paraId="1D12BD98" w14:textId="77777777" w:rsidR="0080560F" w:rsidRPr="00BC31E0" w:rsidRDefault="0080560F" w:rsidP="00BC31E0">
            <w:pPr>
              <w:pStyle w:val="Normal-pool-Table"/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73002617" w14:textId="0F53FB2E" w:rsidR="0080560F" w:rsidRPr="00BC31E0" w:rsidRDefault="0080560F" w:rsidP="00BC31E0">
            <w:pPr>
              <w:pStyle w:val="Normal-pool-Table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67C23132" w14:textId="07472643" w:rsidR="0080560F" w:rsidRPr="00BC31E0" w:rsidRDefault="0080560F" w:rsidP="00BC31E0">
            <w:pPr>
              <w:pStyle w:val="Normal-pool-Table"/>
            </w:pPr>
            <w:r w:rsidRPr="00BC31E0">
              <w:t>Subtotal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1FE63A49" w14:textId="79E09096" w:rsidR="0080560F" w:rsidRPr="00BC31E0" w:rsidRDefault="0080560F" w:rsidP="00BC31E0">
            <w:pPr>
              <w:pStyle w:val="Normal-pool-Table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41B5D09C" w14:textId="2094B072" w:rsidR="0080560F" w:rsidRPr="00BC31E0" w:rsidRDefault="0080560F" w:rsidP="00BC31E0">
            <w:pPr>
              <w:pStyle w:val="Normal-pool-Table"/>
            </w:pPr>
            <w:r w:rsidRPr="00BC31E0">
              <w:t xml:space="preserve">18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7710B634" w14:textId="3B89BEF2" w:rsidR="0080560F" w:rsidRPr="00BC31E0" w:rsidRDefault="0080560F" w:rsidP="00BC31E0">
            <w:pPr>
              <w:pStyle w:val="Normal-pool-Table"/>
            </w:pPr>
            <w:r w:rsidRPr="00BC31E0">
              <w:t>75</w:t>
            </w:r>
            <w:r w:rsidR="002D21C5" w:rsidRPr="00BC31E0">
              <w:t xml:space="preserve"> </w:t>
            </w:r>
            <w:r w:rsidRPr="00BC31E0">
              <w:t>786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21B92C70" w14:textId="54826212" w:rsidR="0080560F" w:rsidRPr="00BC31E0" w:rsidRDefault="0080560F" w:rsidP="00BC31E0">
            <w:pPr>
              <w:pStyle w:val="Normal-pool-Table"/>
            </w:pPr>
          </w:p>
        </w:tc>
      </w:tr>
    </w:tbl>
    <w:p w14:paraId="14BFCE81" w14:textId="0812E8C6" w:rsidR="00C8396C" w:rsidRPr="00CE14A9" w:rsidRDefault="00E3527D" w:rsidP="00CE14A9">
      <w:pPr>
        <w:pStyle w:val="Normal-pool"/>
        <w:tabs>
          <w:tab w:val="clear" w:pos="624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1814"/>
          <w:tab w:val="left" w:pos="2381"/>
          <w:tab w:val="left" w:pos="2948"/>
          <w:tab w:val="left" w:pos="3515"/>
          <w:tab w:val="left" w:pos="4082"/>
        </w:tabs>
        <w:spacing w:before="60"/>
        <w:ind w:left="1247"/>
        <w:rPr>
          <w:bCs/>
          <w:sz w:val="17"/>
          <w:szCs w:val="17"/>
        </w:rPr>
      </w:pPr>
      <w:r w:rsidRPr="00CE14A9">
        <w:rPr>
          <w:b/>
          <w:bCs/>
          <w:sz w:val="17"/>
          <w:szCs w:val="17"/>
        </w:rPr>
        <w:tab/>
      </w:r>
      <w:r w:rsidR="00EA4D38" w:rsidRPr="00CE14A9">
        <w:rPr>
          <w:i/>
          <w:iCs/>
          <w:sz w:val="17"/>
          <w:szCs w:val="17"/>
        </w:rPr>
        <w:t>Abbreviations:</w:t>
      </w:r>
      <w:r w:rsidR="00EA4D38" w:rsidRPr="00CE14A9">
        <w:rPr>
          <w:sz w:val="17"/>
          <w:szCs w:val="17"/>
        </w:rPr>
        <w:t xml:space="preserve"> </w:t>
      </w:r>
      <w:r w:rsidR="00397C87" w:rsidRPr="00F41A17">
        <w:rPr>
          <w:rFonts w:eastAsiaTheme="minorEastAsia"/>
          <w:sz w:val="17"/>
          <w:szCs w:val="17"/>
        </w:rPr>
        <w:t xml:space="preserve">A5 – </w:t>
      </w:r>
      <w:r w:rsidR="00F37AC0" w:rsidRPr="00F41A17">
        <w:rPr>
          <w:rFonts w:eastAsiaTheme="minorEastAsia"/>
          <w:sz w:val="17"/>
          <w:szCs w:val="17"/>
        </w:rPr>
        <w:t>of</w:t>
      </w:r>
      <w:r w:rsidR="00397C87" w:rsidRPr="00F41A17">
        <w:rPr>
          <w:rFonts w:eastAsiaTheme="minorEastAsia"/>
          <w:sz w:val="17"/>
          <w:szCs w:val="17"/>
        </w:rPr>
        <w:t xml:space="preserve"> parties operating under paragraph 1 of Article 5; </w:t>
      </w:r>
      <w:r w:rsidR="00EA4D38" w:rsidRPr="00360094">
        <w:rPr>
          <w:sz w:val="17"/>
          <w:szCs w:val="17"/>
        </w:rPr>
        <w:t>COP – Conference of the Parties; EU – European Union;</w:t>
      </w:r>
      <w:r w:rsidR="007C344A" w:rsidRPr="00360094">
        <w:rPr>
          <w:sz w:val="17"/>
          <w:szCs w:val="17"/>
        </w:rPr>
        <w:t xml:space="preserve"> ExCom – Executive Committee</w:t>
      </w:r>
      <w:r w:rsidR="00EA4D38" w:rsidRPr="00360094">
        <w:rPr>
          <w:sz w:val="17"/>
          <w:szCs w:val="17"/>
        </w:rPr>
        <w:t xml:space="preserve">; MOP – Meeting of the Parties; </w:t>
      </w:r>
      <w:r w:rsidR="00036A4B" w:rsidRPr="00360094">
        <w:rPr>
          <w:sz w:val="17"/>
          <w:szCs w:val="17"/>
        </w:rPr>
        <w:t>non-</w:t>
      </w:r>
      <w:r w:rsidR="00036A4B" w:rsidRPr="00F41A17">
        <w:rPr>
          <w:rFonts w:eastAsiaTheme="minorEastAsia"/>
          <w:sz w:val="17"/>
          <w:szCs w:val="17"/>
        </w:rPr>
        <w:t xml:space="preserve">A5 – </w:t>
      </w:r>
      <w:r w:rsidR="00F37AC0" w:rsidRPr="00F41A17">
        <w:rPr>
          <w:rFonts w:eastAsiaTheme="minorEastAsia"/>
          <w:sz w:val="17"/>
          <w:szCs w:val="17"/>
        </w:rPr>
        <w:t>of</w:t>
      </w:r>
      <w:r w:rsidR="00036A4B" w:rsidRPr="00F41A17">
        <w:rPr>
          <w:rFonts w:eastAsiaTheme="minorEastAsia"/>
          <w:sz w:val="17"/>
          <w:szCs w:val="17"/>
        </w:rPr>
        <w:t xml:space="preserve"> parties not operating under paragraph 1 of Article 5; </w:t>
      </w:r>
      <w:r w:rsidR="00EA4D38" w:rsidRPr="00360094">
        <w:rPr>
          <w:sz w:val="17"/>
          <w:szCs w:val="17"/>
        </w:rPr>
        <w:t>OEWG</w:t>
      </w:r>
      <w:r w:rsidR="00EA4D38" w:rsidRPr="00360094">
        <w:rPr>
          <w:bCs/>
          <w:sz w:val="17"/>
          <w:szCs w:val="17"/>
        </w:rPr>
        <w:t xml:space="preserve"> – Open-ended Working Group; ORM – Ozone Research Managers</w:t>
      </w:r>
      <w:r w:rsidR="007C344A" w:rsidRPr="00360094">
        <w:rPr>
          <w:bCs/>
          <w:sz w:val="17"/>
          <w:szCs w:val="17"/>
        </w:rPr>
        <w:t xml:space="preserve">; </w:t>
      </w:r>
      <w:r w:rsidR="007C344A" w:rsidRPr="00F41A17">
        <w:rPr>
          <w:rFonts w:eastAsiaTheme="minorEastAsia"/>
          <w:sz w:val="17"/>
          <w:szCs w:val="17"/>
        </w:rPr>
        <w:t xml:space="preserve">RTOC – </w:t>
      </w:r>
      <w:r w:rsidR="007C344A" w:rsidRPr="00360094">
        <w:rPr>
          <w:rFonts w:eastAsiaTheme="minorEastAsia"/>
          <w:sz w:val="17"/>
          <w:szCs w:val="17"/>
        </w:rPr>
        <w:t>Refrigeration Technical Options Committee</w:t>
      </w:r>
      <w:r w:rsidR="00EA4D38" w:rsidRPr="00360094">
        <w:rPr>
          <w:bCs/>
          <w:sz w:val="17"/>
          <w:szCs w:val="17"/>
        </w:rPr>
        <w:t>.</w:t>
      </w:r>
      <w:r w:rsidR="00EA4D38" w:rsidRPr="00CE14A9">
        <w:rPr>
          <w:bCs/>
          <w:sz w:val="17"/>
          <w:szCs w:val="17"/>
        </w:rPr>
        <w:t xml:space="preserve"> </w:t>
      </w:r>
    </w:p>
    <w:p w14:paraId="5A5D5555" w14:textId="79429C8D" w:rsidR="00C8396C" w:rsidRPr="007E3ECC" w:rsidRDefault="007E3ECC" w:rsidP="00CE14A9">
      <w:pPr>
        <w:pStyle w:val="Normal-pool"/>
        <w:tabs>
          <w:tab w:val="clear" w:pos="624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1814"/>
          <w:tab w:val="left" w:pos="2381"/>
          <w:tab w:val="left" w:pos="2948"/>
          <w:tab w:val="left" w:pos="3515"/>
          <w:tab w:val="left" w:pos="4082"/>
        </w:tabs>
        <w:spacing w:before="60"/>
        <w:ind w:left="1247"/>
        <w:rPr>
          <w:bCs/>
          <w:sz w:val="17"/>
          <w:szCs w:val="17"/>
        </w:rPr>
      </w:pPr>
      <w:r w:rsidRPr="007E3ECC">
        <w:rPr>
          <w:bCs/>
          <w:sz w:val="17"/>
          <w:szCs w:val="17"/>
        </w:rPr>
        <w:tab/>
      </w:r>
      <w:r w:rsidR="00C8396C" w:rsidRPr="00360094">
        <w:rPr>
          <w:bCs/>
          <w:sz w:val="17"/>
          <w:szCs w:val="17"/>
        </w:rPr>
        <w:t xml:space="preserve">* Ticket costs for </w:t>
      </w:r>
      <w:r w:rsidR="007C344A" w:rsidRPr="00360094">
        <w:rPr>
          <w:bCs/>
          <w:sz w:val="17"/>
          <w:szCs w:val="17"/>
        </w:rPr>
        <w:t>three</w:t>
      </w:r>
      <w:r w:rsidR="00C8396C" w:rsidRPr="00360094">
        <w:rPr>
          <w:bCs/>
          <w:sz w:val="17"/>
          <w:szCs w:val="17"/>
        </w:rPr>
        <w:t xml:space="preserve"> RTOC </w:t>
      </w:r>
      <w:r w:rsidR="000014BE" w:rsidRPr="00360094">
        <w:rPr>
          <w:bCs/>
          <w:sz w:val="17"/>
          <w:szCs w:val="17"/>
        </w:rPr>
        <w:t>members</w:t>
      </w:r>
      <w:r w:rsidR="00C8396C" w:rsidRPr="00360094">
        <w:rPr>
          <w:bCs/>
          <w:sz w:val="17"/>
          <w:szCs w:val="17"/>
        </w:rPr>
        <w:t xml:space="preserve"> </w:t>
      </w:r>
      <w:r w:rsidR="007C344A" w:rsidRPr="00360094">
        <w:rPr>
          <w:bCs/>
          <w:sz w:val="17"/>
          <w:szCs w:val="17"/>
        </w:rPr>
        <w:t xml:space="preserve">are </w:t>
      </w:r>
      <w:r w:rsidR="00C8396C" w:rsidRPr="00360094">
        <w:rPr>
          <w:bCs/>
          <w:sz w:val="17"/>
          <w:szCs w:val="17"/>
        </w:rPr>
        <w:t xml:space="preserve">not included. </w:t>
      </w:r>
      <w:r w:rsidR="000014BE" w:rsidRPr="00360094">
        <w:rPr>
          <w:bCs/>
          <w:sz w:val="17"/>
          <w:szCs w:val="17"/>
        </w:rPr>
        <w:t>Th</w:t>
      </w:r>
      <w:r w:rsidR="00E75FDB" w:rsidRPr="00360094">
        <w:rPr>
          <w:bCs/>
          <w:sz w:val="17"/>
          <w:szCs w:val="17"/>
        </w:rPr>
        <w:t xml:space="preserve">ose costs are included in </w:t>
      </w:r>
      <w:r w:rsidR="007C344A" w:rsidRPr="00360094">
        <w:rPr>
          <w:bCs/>
          <w:sz w:val="17"/>
          <w:szCs w:val="17"/>
        </w:rPr>
        <w:t>t</w:t>
      </w:r>
      <w:r w:rsidR="00E75FDB" w:rsidRPr="00360094">
        <w:rPr>
          <w:bCs/>
          <w:sz w:val="17"/>
          <w:szCs w:val="17"/>
        </w:rPr>
        <w:t>able 3</w:t>
      </w:r>
      <w:r w:rsidR="007C344A" w:rsidRPr="00360094">
        <w:rPr>
          <w:bCs/>
          <w:sz w:val="17"/>
          <w:szCs w:val="17"/>
        </w:rPr>
        <w:t>,</w:t>
      </w:r>
      <w:r w:rsidR="00E75FDB" w:rsidRPr="00360094">
        <w:rPr>
          <w:bCs/>
          <w:sz w:val="17"/>
          <w:szCs w:val="17"/>
        </w:rPr>
        <w:t xml:space="preserve"> under</w:t>
      </w:r>
      <w:r w:rsidR="007C344A" w:rsidRPr="00360094">
        <w:rPr>
          <w:bCs/>
          <w:sz w:val="17"/>
          <w:szCs w:val="17"/>
        </w:rPr>
        <w:t xml:space="preserve"> the</w:t>
      </w:r>
      <w:r w:rsidR="00C8396C" w:rsidRPr="00360094">
        <w:rPr>
          <w:bCs/>
          <w:sz w:val="17"/>
          <w:szCs w:val="17"/>
        </w:rPr>
        <w:t xml:space="preserve"> RTOC</w:t>
      </w:r>
      <w:r w:rsidR="00E75FDB" w:rsidRPr="00360094">
        <w:rPr>
          <w:bCs/>
          <w:sz w:val="17"/>
          <w:szCs w:val="17"/>
        </w:rPr>
        <w:t xml:space="preserve"> meeting held in </w:t>
      </w:r>
      <w:r w:rsidR="00C8396C" w:rsidRPr="00360094">
        <w:rPr>
          <w:bCs/>
          <w:sz w:val="17"/>
          <w:szCs w:val="17"/>
        </w:rPr>
        <w:t>Guangzhou</w:t>
      </w:r>
      <w:r w:rsidR="0074010B" w:rsidRPr="00360094">
        <w:rPr>
          <w:bCs/>
          <w:sz w:val="17"/>
          <w:szCs w:val="17"/>
        </w:rPr>
        <w:t>,</w:t>
      </w:r>
      <w:r w:rsidR="007C344A" w:rsidRPr="00360094">
        <w:rPr>
          <w:bCs/>
          <w:sz w:val="17"/>
          <w:szCs w:val="17"/>
        </w:rPr>
        <w:t xml:space="preserve"> China, since</w:t>
      </w:r>
      <w:r w:rsidR="00E75FDB" w:rsidRPr="00360094">
        <w:rPr>
          <w:bCs/>
          <w:sz w:val="17"/>
          <w:szCs w:val="17"/>
        </w:rPr>
        <w:t xml:space="preserve"> the two meetings </w:t>
      </w:r>
      <w:r w:rsidR="007C344A" w:rsidRPr="00360094">
        <w:rPr>
          <w:bCs/>
          <w:sz w:val="17"/>
          <w:szCs w:val="17"/>
        </w:rPr>
        <w:t>were</w:t>
      </w:r>
      <w:r w:rsidR="007963BD" w:rsidRPr="00360094">
        <w:rPr>
          <w:bCs/>
          <w:sz w:val="17"/>
          <w:szCs w:val="17"/>
        </w:rPr>
        <w:t xml:space="preserve"> held </w:t>
      </w:r>
      <w:proofErr w:type="gramStart"/>
      <w:r w:rsidR="007C344A" w:rsidRPr="00360094">
        <w:rPr>
          <w:bCs/>
          <w:sz w:val="17"/>
          <w:szCs w:val="17"/>
        </w:rPr>
        <w:t>back to back</w:t>
      </w:r>
      <w:proofErr w:type="gramEnd"/>
      <w:r w:rsidR="007963BD" w:rsidRPr="00360094">
        <w:rPr>
          <w:bCs/>
          <w:sz w:val="17"/>
          <w:szCs w:val="17"/>
        </w:rPr>
        <w:t>.</w:t>
      </w:r>
    </w:p>
    <w:p w14:paraId="12B64C4F" w14:textId="1BDCE8B8" w:rsidR="00E3527D" w:rsidRPr="007E3ECC" w:rsidRDefault="007E3ECC" w:rsidP="007E3ECC">
      <w:pPr>
        <w:pStyle w:val="CH1"/>
      </w:pPr>
      <w:r>
        <w:lastRenderedPageBreak/>
        <w:tab/>
      </w:r>
      <w:r w:rsidR="00E3527D" w:rsidRPr="007E3ECC">
        <w:t>I</w:t>
      </w:r>
      <w:r w:rsidR="00EB71AE" w:rsidRPr="007E3ECC">
        <w:t>V</w:t>
      </w:r>
      <w:r w:rsidR="00E3527D" w:rsidRPr="007E3ECC">
        <w:t>.</w:t>
      </w:r>
      <w:r w:rsidR="00E3527D" w:rsidRPr="007E3ECC">
        <w:tab/>
      </w:r>
      <w:r w:rsidR="00EB71AE" w:rsidRPr="007E3ECC">
        <w:t xml:space="preserve">Adjustments to </w:t>
      </w:r>
      <w:r w:rsidR="00A023DD" w:rsidRPr="007E3ECC">
        <w:t>the a</w:t>
      </w:r>
      <w:r w:rsidR="00E3527D" w:rsidRPr="007E3ECC">
        <w:t xml:space="preserve">ssessment </w:t>
      </w:r>
      <w:r w:rsidR="00A023DD" w:rsidRPr="007E3ECC">
        <w:t>p</w:t>
      </w:r>
      <w:r w:rsidR="00E3527D" w:rsidRPr="007E3ECC">
        <w:t xml:space="preserve">anel </w:t>
      </w:r>
      <w:r w:rsidR="00A023DD" w:rsidRPr="007E3ECC">
        <w:t>w</w:t>
      </w:r>
      <w:r w:rsidR="0043094B" w:rsidRPr="007E3ECC">
        <w:t xml:space="preserve">ork </w:t>
      </w:r>
      <w:r w:rsidR="00A023DD" w:rsidRPr="007E3ECC">
        <w:t>c</w:t>
      </w:r>
      <w:r w:rsidR="0043094B" w:rsidRPr="007E3ECC">
        <w:t>ycle</w:t>
      </w:r>
    </w:p>
    <w:p w14:paraId="7B8D8625" w14:textId="683D69DB" w:rsidR="005106B2" w:rsidRPr="00F466F2" w:rsidRDefault="00131864" w:rsidP="0083690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HAnsi"/>
          <w:color w:val="000000" w:themeColor="text1"/>
        </w:rPr>
      </w:pPr>
      <w:r w:rsidRPr="00F466F2">
        <w:rPr>
          <w:rFonts w:eastAsiaTheme="minorHAnsi"/>
        </w:rPr>
        <w:t xml:space="preserve">Adjustments to the work cycle </w:t>
      </w:r>
      <w:r w:rsidR="00416681" w:rsidRPr="00F466F2">
        <w:rPr>
          <w:rFonts w:eastAsiaTheme="minorHAnsi"/>
        </w:rPr>
        <w:t xml:space="preserve">of the </w:t>
      </w:r>
      <w:r w:rsidR="00FA342D" w:rsidRPr="00973C3F">
        <w:rPr>
          <w:rFonts w:eastAsiaTheme="minorHAnsi"/>
        </w:rPr>
        <w:t>a</w:t>
      </w:r>
      <w:r w:rsidR="00416681" w:rsidRPr="00973C3F">
        <w:rPr>
          <w:rFonts w:eastAsiaTheme="minorHAnsi"/>
        </w:rPr>
        <w:t xml:space="preserve">ssessment </w:t>
      </w:r>
      <w:r w:rsidR="00FA342D" w:rsidRPr="00973C3F">
        <w:rPr>
          <w:rFonts w:eastAsiaTheme="minorHAnsi"/>
        </w:rPr>
        <w:t>p</w:t>
      </w:r>
      <w:r w:rsidR="00416681" w:rsidRPr="00973C3F">
        <w:rPr>
          <w:rFonts w:eastAsiaTheme="minorHAnsi"/>
        </w:rPr>
        <w:t xml:space="preserve">anels </w:t>
      </w:r>
      <w:r w:rsidR="00416681" w:rsidRPr="00360094">
        <w:rPr>
          <w:rFonts w:eastAsiaTheme="minorHAnsi"/>
        </w:rPr>
        <w:t xml:space="preserve">and </w:t>
      </w:r>
      <w:r w:rsidR="00C327E3" w:rsidRPr="00360094">
        <w:rPr>
          <w:rFonts w:eastAsiaTheme="minorHAnsi"/>
        </w:rPr>
        <w:t xml:space="preserve">the periodicity of </w:t>
      </w:r>
      <w:r w:rsidR="00416681" w:rsidRPr="00360094">
        <w:rPr>
          <w:rFonts w:eastAsiaTheme="minorHAnsi"/>
        </w:rPr>
        <w:t>their meetings</w:t>
      </w:r>
      <w:r w:rsidR="00416681" w:rsidRPr="00973C3F">
        <w:rPr>
          <w:rFonts w:eastAsiaTheme="minorHAnsi"/>
        </w:rPr>
        <w:t xml:space="preserve"> </w:t>
      </w:r>
      <w:r w:rsidRPr="00973C3F">
        <w:rPr>
          <w:rFonts w:eastAsiaTheme="minorHAnsi"/>
        </w:rPr>
        <w:t xml:space="preserve">would </w:t>
      </w:r>
      <w:r w:rsidR="00DC422F" w:rsidRPr="00973C3F">
        <w:rPr>
          <w:rFonts w:eastAsiaTheme="minorHAnsi"/>
        </w:rPr>
        <w:t xml:space="preserve">depend largely on the </w:t>
      </w:r>
      <w:r w:rsidR="00D3298B" w:rsidRPr="00973C3F">
        <w:rPr>
          <w:rFonts w:eastAsiaTheme="minorHAnsi"/>
        </w:rPr>
        <w:t xml:space="preserve">changes that parties decide to make to </w:t>
      </w:r>
      <w:r w:rsidR="00271B24" w:rsidRPr="00973C3F">
        <w:rPr>
          <w:rFonts w:eastAsiaTheme="minorHAnsi"/>
        </w:rPr>
        <w:t>the cycle</w:t>
      </w:r>
      <w:r w:rsidR="005C6098" w:rsidRPr="00973C3F">
        <w:rPr>
          <w:rFonts w:eastAsiaTheme="minorHAnsi"/>
        </w:rPr>
        <w:t>s</w:t>
      </w:r>
      <w:r w:rsidR="00271B24" w:rsidRPr="00973C3F">
        <w:rPr>
          <w:rFonts w:eastAsiaTheme="minorHAnsi"/>
        </w:rPr>
        <w:t xml:space="preserve"> and modalities of </w:t>
      </w:r>
      <w:r w:rsidR="00C327E3" w:rsidRPr="00973C3F">
        <w:rPr>
          <w:rFonts w:eastAsiaTheme="minorHAnsi"/>
        </w:rPr>
        <w:t>meetings of the Open-ended Working Group</w:t>
      </w:r>
      <w:r w:rsidR="00271B24" w:rsidRPr="00973C3F">
        <w:rPr>
          <w:rFonts w:eastAsiaTheme="minorHAnsi"/>
        </w:rPr>
        <w:t xml:space="preserve"> and </w:t>
      </w:r>
      <w:r w:rsidR="00271B24" w:rsidRPr="00360094">
        <w:rPr>
          <w:rFonts w:eastAsiaTheme="minorHAnsi"/>
        </w:rPr>
        <w:t>M</w:t>
      </w:r>
      <w:r w:rsidR="00C327E3" w:rsidRPr="00360094">
        <w:rPr>
          <w:rFonts w:eastAsiaTheme="minorHAnsi"/>
        </w:rPr>
        <w:t>eetings of the Partie</w:t>
      </w:r>
      <w:r w:rsidR="0069704F" w:rsidRPr="00360094">
        <w:rPr>
          <w:rFonts w:eastAsiaTheme="minorHAnsi"/>
        </w:rPr>
        <w:t>s</w:t>
      </w:r>
      <w:r w:rsidR="00271B24" w:rsidRPr="00973C3F">
        <w:rPr>
          <w:rFonts w:eastAsiaTheme="minorHAnsi"/>
        </w:rPr>
        <w:t>.</w:t>
      </w:r>
      <w:r w:rsidR="00D86FA9" w:rsidRPr="00973C3F">
        <w:rPr>
          <w:rFonts w:eastAsiaTheme="minorHAnsi"/>
        </w:rPr>
        <w:t xml:space="preserve"> </w:t>
      </w:r>
      <w:r w:rsidR="0056345C" w:rsidRPr="00973C3F">
        <w:rPr>
          <w:rFonts w:eastAsiaTheme="minorHAnsi"/>
        </w:rPr>
        <w:t>The</w:t>
      </w:r>
      <w:r w:rsidR="0056345C" w:rsidRPr="00F466F2">
        <w:rPr>
          <w:rFonts w:eastAsiaTheme="minorHAnsi"/>
        </w:rPr>
        <w:t xml:space="preserve"> note by the Secretariat</w:t>
      </w:r>
      <w:r w:rsidR="00565F55" w:rsidRPr="00F466F2">
        <w:rPr>
          <w:rFonts w:eastAsiaTheme="minorHAnsi"/>
        </w:rPr>
        <w:t xml:space="preserve"> on ensuring </w:t>
      </w:r>
      <w:r w:rsidR="00C327E3">
        <w:rPr>
          <w:rFonts w:eastAsiaTheme="minorHAnsi"/>
        </w:rPr>
        <w:t xml:space="preserve">the </w:t>
      </w:r>
      <w:r w:rsidR="00565F55" w:rsidRPr="00F466F2">
        <w:rPr>
          <w:rFonts w:eastAsiaTheme="minorHAnsi"/>
        </w:rPr>
        <w:t xml:space="preserve">viability of the Montreal Protocol operations </w:t>
      </w:r>
      <w:r w:rsidR="0056345C" w:rsidRPr="00F466F2">
        <w:rPr>
          <w:rFonts w:eastAsiaTheme="minorHAnsi"/>
        </w:rPr>
        <w:t>(UNEP</w:t>
      </w:r>
      <w:r w:rsidR="005339D3" w:rsidRPr="00F466F2">
        <w:rPr>
          <w:rFonts w:eastAsiaTheme="minorHAnsi"/>
        </w:rPr>
        <w:t>/OzL.Pro.WG.1/48/4)</w:t>
      </w:r>
      <w:r w:rsidR="00C92CC8" w:rsidRPr="00F466F2">
        <w:rPr>
          <w:rFonts w:eastAsiaTheme="minorHAnsi"/>
        </w:rPr>
        <w:t xml:space="preserve"> </w:t>
      </w:r>
      <w:r w:rsidR="005C6098" w:rsidRPr="00F466F2">
        <w:rPr>
          <w:rFonts w:eastAsiaTheme="minorHAnsi"/>
        </w:rPr>
        <w:t>presented</w:t>
      </w:r>
      <w:r w:rsidR="00C92CC8" w:rsidRPr="00F466F2">
        <w:rPr>
          <w:rFonts w:eastAsiaTheme="minorHAnsi"/>
        </w:rPr>
        <w:t xml:space="preserve"> </w:t>
      </w:r>
      <w:r w:rsidR="00CF7BD8" w:rsidRPr="00F466F2">
        <w:rPr>
          <w:rFonts w:eastAsiaTheme="minorHAnsi"/>
        </w:rPr>
        <w:t>t</w:t>
      </w:r>
      <w:r w:rsidR="006A5453" w:rsidRPr="00F466F2">
        <w:rPr>
          <w:rFonts w:eastAsiaTheme="minorEastAsia"/>
          <w:bCs/>
        </w:rPr>
        <w:t xml:space="preserve">hree </w:t>
      </w:r>
      <w:r w:rsidR="00EE7754" w:rsidRPr="00F466F2">
        <w:rPr>
          <w:rFonts w:eastAsiaTheme="minorEastAsia"/>
          <w:bCs/>
        </w:rPr>
        <w:t xml:space="preserve">basic </w:t>
      </w:r>
      <w:r w:rsidR="006A5453" w:rsidRPr="00F466F2">
        <w:rPr>
          <w:rFonts w:eastAsiaTheme="minorEastAsia"/>
          <w:bCs/>
        </w:rPr>
        <w:t>scenarios</w:t>
      </w:r>
      <w:r w:rsidR="007B14B6" w:rsidRPr="00F466F2">
        <w:rPr>
          <w:rFonts w:eastAsiaTheme="minorEastAsia"/>
          <w:bCs/>
        </w:rPr>
        <w:t xml:space="preserve">: </w:t>
      </w:r>
      <w:r w:rsidR="00A048B0" w:rsidRPr="00F466F2">
        <w:rPr>
          <w:rFonts w:eastAsiaTheme="minorEastAsia"/>
          <w:bCs/>
        </w:rPr>
        <w:t>business as usu</w:t>
      </w:r>
      <w:r w:rsidR="007F5BC6" w:rsidRPr="00F466F2">
        <w:rPr>
          <w:rFonts w:eastAsiaTheme="minorEastAsia"/>
          <w:bCs/>
        </w:rPr>
        <w:t>al (</w:t>
      </w:r>
      <w:r w:rsidR="007B14B6" w:rsidRPr="00F466F2">
        <w:rPr>
          <w:rFonts w:eastAsiaTheme="minorEastAsia"/>
          <w:bCs/>
        </w:rPr>
        <w:t>scenario</w:t>
      </w:r>
      <w:r w:rsidR="00A048B0" w:rsidRPr="00F466F2">
        <w:rPr>
          <w:rFonts w:eastAsiaTheme="minorEastAsia"/>
          <w:bCs/>
        </w:rPr>
        <w:t xml:space="preserve"> A</w:t>
      </w:r>
      <w:r w:rsidR="007F5BC6" w:rsidRPr="00F466F2">
        <w:rPr>
          <w:rFonts w:eastAsiaTheme="minorEastAsia"/>
          <w:bCs/>
        </w:rPr>
        <w:t>)</w:t>
      </w:r>
      <w:r w:rsidR="00A048B0" w:rsidRPr="00F466F2">
        <w:rPr>
          <w:rFonts w:eastAsiaTheme="minorEastAsia"/>
          <w:bCs/>
        </w:rPr>
        <w:t xml:space="preserve">; </w:t>
      </w:r>
      <w:r w:rsidR="006A5453" w:rsidRPr="00F466F2">
        <w:t>extended</w:t>
      </w:r>
      <w:r w:rsidR="006A5453" w:rsidRPr="00F466F2">
        <w:rPr>
          <w:rFonts w:eastAsiaTheme="minorEastAsia"/>
          <w:bCs/>
        </w:rPr>
        <w:t xml:space="preserve"> </w:t>
      </w:r>
      <w:r w:rsidR="00016981" w:rsidRPr="00F466F2">
        <w:rPr>
          <w:rFonts w:eastAsiaTheme="minorEastAsia"/>
          <w:bCs/>
        </w:rPr>
        <w:t xml:space="preserve">annual </w:t>
      </w:r>
      <w:r w:rsidR="006A5453" w:rsidRPr="00F466F2">
        <w:rPr>
          <w:rFonts w:eastAsiaTheme="minorEastAsia"/>
          <w:bCs/>
        </w:rPr>
        <w:t xml:space="preserve">Meetings of the Parties </w:t>
      </w:r>
      <w:r w:rsidR="00C6421D" w:rsidRPr="00F466F2">
        <w:rPr>
          <w:rFonts w:eastAsiaTheme="minorEastAsia"/>
          <w:bCs/>
        </w:rPr>
        <w:t>(scenario B)</w:t>
      </w:r>
      <w:r w:rsidR="007F5BC6" w:rsidRPr="00F466F2">
        <w:rPr>
          <w:rFonts w:eastAsiaTheme="minorEastAsia"/>
          <w:bCs/>
        </w:rPr>
        <w:t>;</w:t>
      </w:r>
      <w:r w:rsidR="00C6421D" w:rsidRPr="00F466F2">
        <w:rPr>
          <w:rFonts w:eastAsiaTheme="minorEastAsia"/>
          <w:bCs/>
        </w:rPr>
        <w:t xml:space="preserve"> </w:t>
      </w:r>
      <w:r w:rsidR="006A5453" w:rsidRPr="00F466F2">
        <w:rPr>
          <w:rFonts w:eastAsiaTheme="minorEastAsia"/>
          <w:bCs/>
        </w:rPr>
        <w:t>and biennial Meetings of the Parties</w:t>
      </w:r>
      <w:r w:rsidR="00C6421D" w:rsidRPr="00F466F2">
        <w:rPr>
          <w:rFonts w:eastAsiaTheme="minorEastAsia"/>
          <w:bCs/>
        </w:rPr>
        <w:t xml:space="preserve"> (scenario C)</w:t>
      </w:r>
      <w:r w:rsidR="006A5453" w:rsidRPr="00F466F2">
        <w:rPr>
          <w:rFonts w:eastAsiaTheme="minorEastAsia"/>
          <w:bCs/>
        </w:rPr>
        <w:t xml:space="preserve">. </w:t>
      </w:r>
    </w:p>
    <w:p w14:paraId="2422AB13" w14:textId="1DCE101C" w:rsidR="007F5BC6" w:rsidRPr="00973C3F" w:rsidRDefault="00D62E15" w:rsidP="0083690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HAnsi"/>
          <w:color w:val="000000" w:themeColor="text1"/>
        </w:rPr>
      </w:pPr>
      <w:r w:rsidRPr="00F466F2">
        <w:rPr>
          <w:rFonts w:eastAsiaTheme="minorHAnsi"/>
        </w:rPr>
        <w:t xml:space="preserve">While </w:t>
      </w:r>
      <w:r w:rsidR="008C3E4E" w:rsidRPr="00F466F2">
        <w:rPr>
          <w:rFonts w:eastAsiaTheme="minorHAnsi"/>
        </w:rPr>
        <w:t xml:space="preserve">some </w:t>
      </w:r>
      <w:r w:rsidRPr="00F466F2">
        <w:rPr>
          <w:rFonts w:eastAsiaTheme="minorHAnsi"/>
        </w:rPr>
        <w:t xml:space="preserve">adjustments </w:t>
      </w:r>
      <w:r w:rsidR="003A7401" w:rsidRPr="00F466F2">
        <w:rPr>
          <w:rFonts w:eastAsiaTheme="minorHAnsi"/>
        </w:rPr>
        <w:t xml:space="preserve">could be made </w:t>
      </w:r>
      <w:r w:rsidR="00C327E3">
        <w:rPr>
          <w:rFonts w:eastAsiaTheme="minorHAnsi"/>
        </w:rPr>
        <w:t>to</w:t>
      </w:r>
      <w:r w:rsidR="0099139A" w:rsidRPr="00F466F2">
        <w:rPr>
          <w:rFonts w:eastAsiaTheme="minorHAnsi"/>
        </w:rPr>
        <w:t xml:space="preserve"> </w:t>
      </w:r>
      <w:r w:rsidR="003A7401" w:rsidRPr="00F466F2">
        <w:rPr>
          <w:rFonts w:eastAsiaTheme="minorHAnsi"/>
        </w:rPr>
        <w:t xml:space="preserve">the </w:t>
      </w:r>
      <w:r w:rsidR="00973C3F">
        <w:rPr>
          <w:rFonts w:eastAsiaTheme="minorHAnsi"/>
        </w:rPr>
        <w:t>modalities of</w:t>
      </w:r>
      <w:r w:rsidR="003A7401" w:rsidRPr="00F466F2">
        <w:rPr>
          <w:rFonts w:eastAsiaTheme="minorHAnsi"/>
        </w:rPr>
        <w:t xml:space="preserve"> </w:t>
      </w:r>
      <w:r w:rsidR="00FA342D" w:rsidRPr="00F466F2">
        <w:rPr>
          <w:rFonts w:eastAsiaTheme="minorHAnsi"/>
        </w:rPr>
        <w:t>a</w:t>
      </w:r>
      <w:r w:rsidR="003A7401" w:rsidRPr="00F466F2">
        <w:rPr>
          <w:rFonts w:eastAsiaTheme="minorHAnsi"/>
        </w:rPr>
        <w:t xml:space="preserve">ssessment </w:t>
      </w:r>
      <w:r w:rsidR="00FA342D" w:rsidRPr="00F466F2">
        <w:rPr>
          <w:rFonts w:eastAsiaTheme="minorHAnsi"/>
        </w:rPr>
        <w:t>p</w:t>
      </w:r>
      <w:r w:rsidR="003A7401" w:rsidRPr="00F466F2">
        <w:rPr>
          <w:rFonts w:eastAsiaTheme="minorHAnsi"/>
        </w:rPr>
        <w:t>anel</w:t>
      </w:r>
      <w:r w:rsidR="00973C3F">
        <w:rPr>
          <w:rFonts w:eastAsiaTheme="minorHAnsi"/>
        </w:rPr>
        <w:t xml:space="preserve"> meetings</w:t>
      </w:r>
      <w:r w:rsidR="00B04C5C" w:rsidRPr="00F466F2">
        <w:rPr>
          <w:rFonts w:eastAsiaTheme="minorHAnsi"/>
        </w:rPr>
        <w:t xml:space="preserve"> under the business</w:t>
      </w:r>
      <w:r w:rsidR="0054029D" w:rsidRPr="00F466F2">
        <w:rPr>
          <w:rFonts w:eastAsiaTheme="minorHAnsi"/>
        </w:rPr>
        <w:t>-</w:t>
      </w:r>
      <w:r w:rsidR="00B04C5C" w:rsidRPr="00F466F2">
        <w:rPr>
          <w:rFonts w:eastAsiaTheme="minorHAnsi"/>
        </w:rPr>
        <w:t>as</w:t>
      </w:r>
      <w:r w:rsidR="0054029D" w:rsidRPr="00F466F2">
        <w:rPr>
          <w:rFonts w:eastAsiaTheme="minorHAnsi"/>
        </w:rPr>
        <w:t>-</w:t>
      </w:r>
      <w:r w:rsidR="00B04C5C" w:rsidRPr="00F466F2">
        <w:rPr>
          <w:rFonts w:eastAsiaTheme="minorHAnsi"/>
        </w:rPr>
        <w:t>usual scenario</w:t>
      </w:r>
      <w:r w:rsidR="0099139A" w:rsidRPr="00F466F2">
        <w:rPr>
          <w:rFonts w:eastAsiaTheme="minorHAnsi"/>
        </w:rPr>
        <w:t xml:space="preserve">, </w:t>
      </w:r>
      <w:r w:rsidR="008C3E4E" w:rsidRPr="00F466F2">
        <w:rPr>
          <w:rFonts w:eastAsiaTheme="minorHAnsi"/>
        </w:rPr>
        <w:t xml:space="preserve">this </w:t>
      </w:r>
      <w:r w:rsidR="008C3E4E" w:rsidRPr="00973C3F">
        <w:rPr>
          <w:rFonts w:eastAsiaTheme="minorHAnsi"/>
        </w:rPr>
        <w:t xml:space="preserve">section </w:t>
      </w:r>
      <w:r w:rsidR="00242918" w:rsidRPr="00973C3F">
        <w:rPr>
          <w:rFonts w:eastAsiaTheme="minorHAnsi"/>
        </w:rPr>
        <w:t>takes</w:t>
      </w:r>
      <w:r w:rsidR="003D5976" w:rsidRPr="00973C3F">
        <w:rPr>
          <w:rFonts w:eastAsiaTheme="minorHAnsi"/>
        </w:rPr>
        <w:t xml:space="preserve"> </w:t>
      </w:r>
      <w:r w:rsidR="00242918" w:rsidRPr="00973C3F">
        <w:rPr>
          <w:rFonts w:eastAsiaTheme="minorHAnsi"/>
        </w:rPr>
        <w:t>document</w:t>
      </w:r>
      <w:r w:rsidR="00973C3F" w:rsidRPr="00973C3F">
        <w:rPr>
          <w:rFonts w:eastAsiaTheme="minorHAnsi"/>
        </w:rPr>
        <w:t xml:space="preserve"> </w:t>
      </w:r>
      <w:r w:rsidR="00387D13" w:rsidRPr="00973C3F">
        <w:rPr>
          <w:rFonts w:eastAsiaTheme="minorHAnsi"/>
        </w:rPr>
        <w:t>UNEP/OzL.Pro.WG.1/48/4</w:t>
      </w:r>
      <w:r w:rsidR="00242918" w:rsidRPr="00973C3F">
        <w:rPr>
          <w:rFonts w:eastAsiaTheme="minorHAnsi"/>
        </w:rPr>
        <w:t xml:space="preserve"> as a starting point</w:t>
      </w:r>
      <w:r w:rsidR="00387D13" w:rsidRPr="00973C3F">
        <w:rPr>
          <w:rFonts w:eastAsiaTheme="minorHAnsi"/>
        </w:rPr>
        <w:t xml:space="preserve"> and </w:t>
      </w:r>
      <w:r w:rsidR="008C3E4E" w:rsidRPr="00973C3F">
        <w:rPr>
          <w:rFonts w:eastAsiaTheme="minorHAnsi"/>
        </w:rPr>
        <w:t xml:space="preserve">focuses </w:t>
      </w:r>
      <w:r w:rsidR="004D10D1" w:rsidRPr="00973C3F">
        <w:rPr>
          <w:rFonts w:eastAsiaTheme="minorHAnsi"/>
        </w:rPr>
        <w:t xml:space="preserve">more </w:t>
      </w:r>
      <w:r w:rsidR="008C3E4E" w:rsidRPr="00973C3F">
        <w:rPr>
          <w:rFonts w:eastAsiaTheme="minorHAnsi"/>
        </w:rPr>
        <w:t xml:space="preserve">on </w:t>
      </w:r>
      <w:r w:rsidR="00D2501F" w:rsidRPr="00360094">
        <w:rPr>
          <w:rFonts w:eastAsiaTheme="minorHAnsi"/>
        </w:rPr>
        <w:t xml:space="preserve">changes in the </w:t>
      </w:r>
      <w:r w:rsidR="007E188B" w:rsidRPr="00360094">
        <w:rPr>
          <w:rFonts w:eastAsiaTheme="minorHAnsi"/>
        </w:rPr>
        <w:t>work cycle and</w:t>
      </w:r>
      <w:r w:rsidR="00802B8C" w:rsidRPr="00360094">
        <w:rPr>
          <w:rFonts w:eastAsiaTheme="minorHAnsi"/>
        </w:rPr>
        <w:t xml:space="preserve"> associated adjustments to timing, </w:t>
      </w:r>
      <w:r w:rsidR="00D2501F" w:rsidRPr="00360094">
        <w:rPr>
          <w:rFonts w:eastAsiaTheme="minorHAnsi"/>
        </w:rPr>
        <w:t>frequency</w:t>
      </w:r>
      <w:r w:rsidR="007E188B" w:rsidRPr="00360094">
        <w:rPr>
          <w:rFonts w:eastAsiaTheme="minorHAnsi"/>
        </w:rPr>
        <w:t xml:space="preserve"> and</w:t>
      </w:r>
      <w:r w:rsidR="00637541" w:rsidRPr="00360094">
        <w:rPr>
          <w:rFonts w:eastAsiaTheme="minorHAnsi"/>
        </w:rPr>
        <w:t xml:space="preserve"> format </w:t>
      </w:r>
      <w:r w:rsidR="005C787B" w:rsidRPr="00360094">
        <w:rPr>
          <w:rFonts w:eastAsiaTheme="minorHAnsi"/>
        </w:rPr>
        <w:t>under s</w:t>
      </w:r>
      <w:r w:rsidR="005C787B" w:rsidRPr="00973C3F">
        <w:rPr>
          <w:rFonts w:eastAsiaTheme="minorHAnsi"/>
        </w:rPr>
        <w:t>cenarios B and C.</w:t>
      </w:r>
      <w:r w:rsidR="007E188B" w:rsidRPr="00973C3F">
        <w:rPr>
          <w:rFonts w:eastAsiaTheme="minorHAnsi"/>
        </w:rPr>
        <w:t xml:space="preserve"> </w:t>
      </w:r>
    </w:p>
    <w:p w14:paraId="21012B59" w14:textId="406334B1" w:rsidR="00121840" w:rsidRPr="00F466F2" w:rsidRDefault="0032102F" w:rsidP="007E3ECC">
      <w:pPr>
        <w:pStyle w:val="CH3"/>
        <w:rPr>
          <w:rFonts w:eastAsiaTheme="minorHAnsi"/>
          <w:color w:val="000000" w:themeColor="text1"/>
        </w:rPr>
      </w:pPr>
      <w:r w:rsidRPr="00F466F2">
        <w:tab/>
      </w:r>
      <w:r w:rsidRPr="00F466F2">
        <w:tab/>
      </w:r>
      <w:r w:rsidR="00242918">
        <w:t>Scenario B: e</w:t>
      </w:r>
      <w:r w:rsidR="005C1CE4" w:rsidRPr="00F466F2">
        <w:t>xtended</w:t>
      </w:r>
      <w:r w:rsidR="005C1CE4" w:rsidRPr="00F466F2">
        <w:rPr>
          <w:rFonts w:eastAsiaTheme="minorEastAsia"/>
        </w:rPr>
        <w:t xml:space="preserve"> annual Meetings of the Parties</w:t>
      </w:r>
    </w:p>
    <w:p w14:paraId="41B565CC" w14:textId="70C5DBEF" w:rsidR="00F71498" w:rsidRPr="00FE413F" w:rsidRDefault="00203E9F" w:rsidP="0083690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HAnsi"/>
        </w:rPr>
      </w:pPr>
      <w:r w:rsidRPr="00F466F2">
        <w:rPr>
          <w:rFonts w:eastAsiaTheme="minorEastAsia"/>
        </w:rPr>
        <w:t>Under this scenario,</w:t>
      </w:r>
      <w:r w:rsidRPr="00F466F2" w:rsidDel="009F219C">
        <w:rPr>
          <w:rFonts w:eastAsiaTheme="minorEastAsia"/>
        </w:rPr>
        <w:t xml:space="preserve"> </w:t>
      </w:r>
      <w:r w:rsidRPr="00F466F2">
        <w:rPr>
          <w:rFonts w:eastAsiaTheme="minorEastAsia"/>
        </w:rPr>
        <w:t xml:space="preserve">Meetings of the Parties would be </w:t>
      </w:r>
      <w:r w:rsidR="00D9267F" w:rsidRPr="00F466F2">
        <w:rPr>
          <w:rFonts w:eastAsiaTheme="minorEastAsia"/>
        </w:rPr>
        <w:t>held annually</w:t>
      </w:r>
      <w:r w:rsidR="00242918">
        <w:rPr>
          <w:rFonts w:eastAsiaTheme="minorEastAsia"/>
        </w:rPr>
        <w:t xml:space="preserve"> in person</w:t>
      </w:r>
      <w:r w:rsidR="007D6DAE" w:rsidRPr="00F466F2">
        <w:rPr>
          <w:rFonts w:eastAsiaTheme="minorEastAsia"/>
        </w:rPr>
        <w:t xml:space="preserve"> and </w:t>
      </w:r>
      <w:r w:rsidR="00B8603E" w:rsidRPr="00F466F2">
        <w:rPr>
          <w:rFonts w:eastAsiaTheme="minorEastAsia"/>
        </w:rPr>
        <w:t>meeting</w:t>
      </w:r>
      <w:r w:rsidR="002F6127" w:rsidRPr="00F466F2">
        <w:rPr>
          <w:rFonts w:eastAsiaTheme="minorEastAsia"/>
        </w:rPr>
        <w:t xml:space="preserve">s </w:t>
      </w:r>
      <w:r w:rsidR="00242918">
        <w:rPr>
          <w:rFonts w:eastAsiaTheme="minorEastAsia"/>
        </w:rPr>
        <w:t xml:space="preserve">of the Open-ended Working Group </w:t>
      </w:r>
      <w:r w:rsidR="0030169C" w:rsidRPr="00F466F2">
        <w:rPr>
          <w:rFonts w:eastAsiaTheme="minorEastAsia"/>
        </w:rPr>
        <w:t xml:space="preserve">would </w:t>
      </w:r>
      <w:r w:rsidR="00242918">
        <w:rPr>
          <w:rFonts w:eastAsiaTheme="minorEastAsia"/>
        </w:rPr>
        <w:t>be held online</w:t>
      </w:r>
      <w:r w:rsidRPr="00F466F2">
        <w:rPr>
          <w:rFonts w:eastAsiaTheme="minorEastAsia"/>
        </w:rPr>
        <w:t xml:space="preserve">. </w:t>
      </w:r>
      <w:r w:rsidR="00A87B50" w:rsidRPr="00F466F2">
        <w:rPr>
          <w:rFonts w:eastAsiaTheme="minorEastAsia"/>
        </w:rPr>
        <w:t>Th</w:t>
      </w:r>
      <w:r w:rsidR="00242918">
        <w:rPr>
          <w:rFonts w:eastAsiaTheme="minorEastAsia"/>
        </w:rPr>
        <w:t>e online meetings would include the</w:t>
      </w:r>
      <w:r w:rsidR="00A87B50" w:rsidRPr="00F466F2">
        <w:rPr>
          <w:rFonts w:eastAsiaTheme="minorEastAsia"/>
        </w:rPr>
        <w:t xml:space="preserve"> presentation and discussion o</w:t>
      </w:r>
      <w:r w:rsidR="00242918">
        <w:rPr>
          <w:rFonts w:eastAsiaTheme="minorEastAsia"/>
        </w:rPr>
        <w:t>f</w:t>
      </w:r>
      <w:r w:rsidR="00A87B50" w:rsidRPr="00F466F2">
        <w:rPr>
          <w:rFonts w:eastAsiaTheme="minorEastAsia"/>
        </w:rPr>
        <w:t xml:space="preserve"> reports of the </w:t>
      </w:r>
      <w:r w:rsidR="00132776" w:rsidRPr="00F466F2">
        <w:rPr>
          <w:rFonts w:eastAsiaTheme="minorEastAsia"/>
        </w:rPr>
        <w:t>a</w:t>
      </w:r>
      <w:r w:rsidR="00A87B50" w:rsidRPr="00F466F2">
        <w:rPr>
          <w:rFonts w:eastAsiaTheme="minorEastAsia"/>
        </w:rPr>
        <w:t xml:space="preserve">ssessment </w:t>
      </w:r>
      <w:r w:rsidR="00FA342D" w:rsidRPr="00F466F2">
        <w:rPr>
          <w:rFonts w:eastAsiaTheme="minorEastAsia"/>
        </w:rPr>
        <w:t>p</w:t>
      </w:r>
      <w:r w:rsidR="00132776" w:rsidRPr="00F466F2">
        <w:rPr>
          <w:rFonts w:eastAsiaTheme="minorEastAsia"/>
        </w:rPr>
        <w:t>anel</w:t>
      </w:r>
      <w:r w:rsidR="00A87B50" w:rsidRPr="00F466F2">
        <w:rPr>
          <w:rFonts w:eastAsiaTheme="minorEastAsia"/>
        </w:rPr>
        <w:t>s</w:t>
      </w:r>
      <w:r w:rsidR="00242918">
        <w:rPr>
          <w:rFonts w:eastAsiaTheme="minorEastAsia"/>
        </w:rPr>
        <w:t xml:space="preserve"> and deliberations on</w:t>
      </w:r>
      <w:r w:rsidR="00A87B50" w:rsidRPr="00F466F2">
        <w:rPr>
          <w:rFonts w:eastAsiaTheme="minorEastAsia"/>
        </w:rPr>
        <w:t xml:space="preserve"> other issues that </w:t>
      </w:r>
      <w:r w:rsidR="0018683F" w:rsidRPr="00F466F2">
        <w:rPr>
          <w:rFonts w:eastAsiaTheme="minorEastAsia"/>
        </w:rPr>
        <w:t xml:space="preserve">can be discussed </w:t>
      </w:r>
      <w:r w:rsidR="00A468A9">
        <w:rPr>
          <w:rFonts w:eastAsiaTheme="minorEastAsia"/>
        </w:rPr>
        <w:t xml:space="preserve">usefully </w:t>
      </w:r>
      <w:r w:rsidR="0018683F" w:rsidRPr="00F466F2">
        <w:rPr>
          <w:rFonts w:eastAsiaTheme="minorEastAsia"/>
        </w:rPr>
        <w:t xml:space="preserve">in </w:t>
      </w:r>
      <w:r w:rsidR="00242918">
        <w:rPr>
          <w:rFonts w:eastAsiaTheme="minorEastAsia"/>
        </w:rPr>
        <w:t xml:space="preserve">an </w:t>
      </w:r>
      <w:r w:rsidR="0018683F" w:rsidRPr="00F466F2">
        <w:rPr>
          <w:rFonts w:eastAsiaTheme="minorEastAsia"/>
        </w:rPr>
        <w:t xml:space="preserve">online </w:t>
      </w:r>
      <w:r w:rsidR="00242918">
        <w:rPr>
          <w:rFonts w:eastAsiaTheme="minorEastAsia"/>
        </w:rPr>
        <w:t>format</w:t>
      </w:r>
      <w:r w:rsidR="00B82CC0" w:rsidRPr="00F466F2">
        <w:rPr>
          <w:rFonts w:eastAsiaTheme="minorEastAsia"/>
        </w:rPr>
        <w:t xml:space="preserve">. Issues </w:t>
      </w:r>
      <w:r w:rsidR="00242918">
        <w:rPr>
          <w:rFonts w:eastAsiaTheme="minorEastAsia"/>
        </w:rPr>
        <w:t>needing to be negotiated</w:t>
      </w:r>
      <w:r w:rsidR="00B82CC0" w:rsidRPr="00F466F2">
        <w:rPr>
          <w:rFonts w:eastAsiaTheme="minorEastAsia"/>
        </w:rPr>
        <w:t xml:space="preserve"> </w:t>
      </w:r>
      <w:r w:rsidR="00242918">
        <w:rPr>
          <w:rFonts w:eastAsiaTheme="minorEastAsia"/>
        </w:rPr>
        <w:t xml:space="preserve">in an </w:t>
      </w:r>
      <w:r w:rsidR="00F71498" w:rsidRPr="00F466F2">
        <w:rPr>
          <w:rFonts w:eastAsiaTheme="minorEastAsia"/>
        </w:rPr>
        <w:t xml:space="preserve">in-person </w:t>
      </w:r>
      <w:r w:rsidR="00242918">
        <w:rPr>
          <w:rFonts w:eastAsiaTheme="minorEastAsia"/>
        </w:rPr>
        <w:t>format</w:t>
      </w:r>
      <w:r w:rsidR="00F71498" w:rsidRPr="00F466F2">
        <w:rPr>
          <w:rFonts w:eastAsiaTheme="minorEastAsia"/>
        </w:rPr>
        <w:t xml:space="preserve"> would be taken up </w:t>
      </w:r>
      <w:r w:rsidR="00242918">
        <w:rPr>
          <w:rFonts w:eastAsiaTheme="minorEastAsia"/>
        </w:rPr>
        <w:t>during</w:t>
      </w:r>
      <w:r w:rsidR="00F71498" w:rsidRPr="00F466F2">
        <w:rPr>
          <w:rFonts w:eastAsiaTheme="minorEastAsia"/>
        </w:rPr>
        <w:t xml:space="preserve"> extended preparatory </w:t>
      </w:r>
      <w:r w:rsidR="00F71498" w:rsidRPr="00F466F2">
        <w:rPr>
          <w:rFonts w:eastAsiaTheme="minorHAnsi"/>
        </w:rPr>
        <w:t>segment</w:t>
      </w:r>
      <w:r w:rsidR="00242918">
        <w:rPr>
          <w:rFonts w:eastAsiaTheme="minorHAnsi"/>
        </w:rPr>
        <w:t>s</w:t>
      </w:r>
      <w:r w:rsidR="00F71498" w:rsidRPr="00F466F2">
        <w:rPr>
          <w:rFonts w:eastAsiaTheme="minorHAnsi"/>
        </w:rPr>
        <w:t xml:space="preserve"> of </w:t>
      </w:r>
      <w:r w:rsidRPr="00F466F2">
        <w:rPr>
          <w:rFonts w:eastAsiaTheme="minorHAnsi"/>
        </w:rPr>
        <w:t xml:space="preserve">Meetings </w:t>
      </w:r>
      <w:r w:rsidRPr="00FE413F">
        <w:rPr>
          <w:rFonts w:eastAsiaTheme="minorHAnsi"/>
        </w:rPr>
        <w:t>of the Parties</w:t>
      </w:r>
      <w:r w:rsidR="00F71498" w:rsidRPr="00FE413F">
        <w:rPr>
          <w:rFonts w:eastAsiaTheme="minorHAnsi"/>
        </w:rPr>
        <w:t>.</w:t>
      </w:r>
    </w:p>
    <w:p w14:paraId="5847E72D" w14:textId="099D014E" w:rsidR="00203E9F" w:rsidRPr="00F466F2" w:rsidRDefault="00203E9F" w:rsidP="0083690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</w:rPr>
      </w:pPr>
      <w:r w:rsidRPr="00FE413F">
        <w:rPr>
          <w:rFonts w:eastAsiaTheme="minorHAnsi"/>
        </w:rPr>
        <w:t xml:space="preserve">The cycles of the assessments and the replenishment </w:t>
      </w:r>
      <w:r w:rsidR="00242918" w:rsidRPr="00FE413F">
        <w:rPr>
          <w:rFonts w:eastAsiaTheme="minorHAnsi"/>
        </w:rPr>
        <w:t xml:space="preserve">of the Multilateral Fund </w:t>
      </w:r>
      <w:r w:rsidRPr="00FE413F">
        <w:rPr>
          <w:rFonts w:eastAsiaTheme="minorHAnsi"/>
        </w:rPr>
        <w:t xml:space="preserve">would remain </w:t>
      </w:r>
      <w:r w:rsidR="00423827" w:rsidRPr="00FE413F">
        <w:rPr>
          <w:rFonts w:eastAsiaTheme="minorHAnsi"/>
        </w:rPr>
        <w:t xml:space="preserve">as </w:t>
      </w:r>
      <w:r w:rsidR="00A468A9" w:rsidRPr="00FE413F">
        <w:rPr>
          <w:rFonts w:eastAsiaTheme="minorHAnsi"/>
        </w:rPr>
        <w:t>under</w:t>
      </w:r>
      <w:r w:rsidR="00423827" w:rsidRPr="00FE413F">
        <w:rPr>
          <w:rFonts w:eastAsiaTheme="minorHAnsi"/>
        </w:rPr>
        <w:t xml:space="preserve"> the business-as-usual scenario</w:t>
      </w:r>
      <w:r w:rsidRPr="00FE413F">
        <w:rPr>
          <w:rFonts w:eastAsiaTheme="minorHAnsi"/>
        </w:rPr>
        <w:t xml:space="preserve">. Annual progress reporting by the </w:t>
      </w:r>
      <w:r w:rsidR="00132776" w:rsidRPr="00FE413F">
        <w:rPr>
          <w:rFonts w:eastAsiaTheme="minorHAnsi"/>
        </w:rPr>
        <w:t>p</w:t>
      </w:r>
      <w:r w:rsidR="00DC7E23" w:rsidRPr="00FE413F">
        <w:rPr>
          <w:rFonts w:eastAsiaTheme="minorHAnsi"/>
        </w:rPr>
        <w:t xml:space="preserve">anels </w:t>
      </w:r>
      <w:r w:rsidRPr="00FE413F">
        <w:rPr>
          <w:rFonts w:eastAsiaTheme="minorHAnsi"/>
        </w:rPr>
        <w:t>would continue, with reports submitted for consideration by the parties in online briefing meetings and</w:t>
      </w:r>
      <w:r w:rsidR="00F1456D" w:rsidRPr="00FE413F">
        <w:rPr>
          <w:rFonts w:eastAsiaTheme="minorHAnsi"/>
        </w:rPr>
        <w:t xml:space="preserve"> at</w:t>
      </w:r>
      <w:r w:rsidRPr="00FE413F">
        <w:rPr>
          <w:rFonts w:eastAsiaTheme="minorHAnsi"/>
        </w:rPr>
        <w:t xml:space="preserve"> Meetings of the Parties as appropriate. Decisions on the replenishment of the Multilateral Fund would continue to be taken every three years</w:t>
      </w:r>
      <w:r w:rsidR="00A468A9">
        <w:rPr>
          <w:rFonts w:eastAsiaTheme="minorHAnsi"/>
        </w:rPr>
        <w:t>,</w:t>
      </w:r>
      <w:r w:rsidRPr="00F466F2">
        <w:rPr>
          <w:rFonts w:eastAsiaTheme="minorHAnsi"/>
        </w:rPr>
        <w:t xml:space="preserve"> </w:t>
      </w:r>
      <w:r w:rsidR="00AA4950" w:rsidRPr="00F466F2">
        <w:rPr>
          <w:rFonts w:eastAsiaTheme="minorHAnsi"/>
        </w:rPr>
        <w:t xml:space="preserve">and </w:t>
      </w:r>
      <w:r w:rsidR="00C305C5" w:rsidRPr="00F466F2">
        <w:rPr>
          <w:rFonts w:eastAsiaTheme="minorHAnsi"/>
        </w:rPr>
        <w:t xml:space="preserve">thus the </w:t>
      </w:r>
      <w:r w:rsidR="001C4CF4" w:rsidRPr="00F466F2">
        <w:rPr>
          <w:rFonts w:eastAsiaTheme="minorHAnsi"/>
        </w:rPr>
        <w:t>cycle</w:t>
      </w:r>
      <w:r w:rsidR="00C305C5" w:rsidRPr="00F466F2">
        <w:rPr>
          <w:rFonts w:eastAsiaTheme="minorHAnsi"/>
        </w:rPr>
        <w:t xml:space="preserve"> of the</w:t>
      </w:r>
      <w:r w:rsidR="00C305C5" w:rsidRPr="00F466F2">
        <w:rPr>
          <w:rFonts w:eastAsiaTheme="minorEastAsia"/>
        </w:rPr>
        <w:t xml:space="preserve"> TEAP</w:t>
      </w:r>
      <w:r w:rsidR="007A37C6" w:rsidRPr="00F466F2">
        <w:rPr>
          <w:rFonts w:eastAsiaTheme="minorEastAsia"/>
        </w:rPr>
        <w:t xml:space="preserve"> study </w:t>
      </w:r>
      <w:r w:rsidRPr="00F466F2">
        <w:rPr>
          <w:rFonts w:eastAsiaTheme="minorEastAsia"/>
        </w:rPr>
        <w:t xml:space="preserve">on replenishment </w:t>
      </w:r>
      <w:r w:rsidR="00C305C5" w:rsidRPr="00F466F2">
        <w:rPr>
          <w:rFonts w:eastAsiaTheme="minorEastAsia"/>
        </w:rPr>
        <w:t xml:space="preserve">would also </w:t>
      </w:r>
      <w:r w:rsidR="001C4CF4" w:rsidRPr="00F466F2">
        <w:rPr>
          <w:rFonts w:eastAsiaTheme="minorEastAsia"/>
        </w:rPr>
        <w:t>remain the same.</w:t>
      </w:r>
      <w:r w:rsidR="000345E6" w:rsidRPr="00F466F2">
        <w:rPr>
          <w:rFonts w:eastAsiaTheme="minorEastAsia"/>
        </w:rPr>
        <w:t xml:space="preserve"> The only change would be that </w:t>
      </w:r>
      <w:r w:rsidR="00A468A9">
        <w:rPr>
          <w:rFonts w:eastAsiaTheme="minorEastAsia"/>
        </w:rPr>
        <w:t>panel</w:t>
      </w:r>
      <w:r w:rsidRPr="00F466F2">
        <w:rPr>
          <w:rFonts w:eastAsiaTheme="minorEastAsia"/>
        </w:rPr>
        <w:t xml:space="preserve"> representatives would not need to travel to </w:t>
      </w:r>
      <w:r w:rsidR="00A468A9">
        <w:rPr>
          <w:rFonts w:eastAsiaTheme="minorEastAsia"/>
        </w:rPr>
        <w:t>Open-ended Working Group</w:t>
      </w:r>
      <w:r w:rsidR="009B1E9C" w:rsidRPr="00F466F2">
        <w:rPr>
          <w:rFonts w:eastAsiaTheme="minorEastAsia"/>
        </w:rPr>
        <w:t xml:space="preserve"> meetings</w:t>
      </w:r>
      <w:r w:rsidR="00A468A9">
        <w:rPr>
          <w:rFonts w:eastAsiaTheme="minorEastAsia"/>
        </w:rPr>
        <w:t>, which would be</w:t>
      </w:r>
      <w:r w:rsidR="009B1E9C" w:rsidRPr="00F466F2">
        <w:rPr>
          <w:rFonts w:eastAsiaTheme="minorEastAsia"/>
        </w:rPr>
        <w:t xml:space="preserve"> replaced by online meetings</w:t>
      </w:r>
      <w:r w:rsidR="006D4300" w:rsidRPr="00F466F2">
        <w:rPr>
          <w:rFonts w:eastAsiaTheme="minorEastAsia"/>
        </w:rPr>
        <w:t>, resulting in</w:t>
      </w:r>
      <w:r w:rsidR="006778BD" w:rsidRPr="00F466F2">
        <w:rPr>
          <w:rFonts w:eastAsiaTheme="minorEastAsia"/>
        </w:rPr>
        <w:t xml:space="preserve"> savings of </w:t>
      </w:r>
      <w:r w:rsidR="00A468A9">
        <w:rPr>
          <w:rFonts w:eastAsiaTheme="minorEastAsia"/>
        </w:rPr>
        <w:t>some $</w:t>
      </w:r>
      <w:r w:rsidR="006768CA">
        <w:rPr>
          <w:rFonts w:eastAsiaTheme="minorEastAsia"/>
        </w:rPr>
        <w:t>45</w:t>
      </w:r>
      <w:r w:rsidR="00F773C6" w:rsidRPr="00F466F2">
        <w:rPr>
          <w:rFonts w:eastAsiaTheme="minorEastAsia"/>
        </w:rPr>
        <w:t>,000.</w:t>
      </w:r>
    </w:p>
    <w:p w14:paraId="6D2E1BF0" w14:textId="05695E78" w:rsidR="006A5453" w:rsidRPr="00F466F2" w:rsidRDefault="007E3ECC" w:rsidP="007E3ECC">
      <w:pPr>
        <w:pStyle w:val="CH4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A468A9">
        <w:rPr>
          <w:rFonts w:eastAsiaTheme="minorEastAsia"/>
        </w:rPr>
        <w:t>Scenario C: b</w:t>
      </w:r>
      <w:r w:rsidR="00203E9F" w:rsidRPr="00F466F2">
        <w:rPr>
          <w:rFonts w:eastAsiaTheme="minorEastAsia"/>
        </w:rPr>
        <w:t>iennial Meetings of the Parties</w:t>
      </w:r>
      <w:r w:rsidR="00121840" w:rsidRPr="00F466F2">
        <w:rPr>
          <w:rFonts w:eastAsiaTheme="minorEastAsia"/>
        </w:rPr>
        <w:t xml:space="preserve"> </w:t>
      </w:r>
    </w:p>
    <w:p w14:paraId="7F6AF9AC" w14:textId="4D6D6ADD" w:rsidR="006A5453" w:rsidRPr="00F466F2" w:rsidRDefault="006A5453" w:rsidP="0083690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HAnsi"/>
        </w:rPr>
      </w:pPr>
      <w:r w:rsidRPr="00F466F2">
        <w:t>Under this scenario,</w:t>
      </w:r>
      <w:r w:rsidRPr="00F466F2" w:rsidDel="00271650">
        <w:t xml:space="preserve"> </w:t>
      </w:r>
      <w:r w:rsidRPr="00FF7B22">
        <w:t xml:space="preserve">Meetings of the Parties </w:t>
      </w:r>
      <w:r w:rsidR="006F3484" w:rsidRPr="00FF7B22">
        <w:t xml:space="preserve">would be </w:t>
      </w:r>
      <w:r w:rsidR="00CD34BE" w:rsidRPr="00FF7B22">
        <w:t>held biennially</w:t>
      </w:r>
      <w:r w:rsidRPr="00FF7B22">
        <w:t xml:space="preserve">. </w:t>
      </w:r>
      <w:r w:rsidR="007E5B8A" w:rsidRPr="00FF7B22">
        <w:t xml:space="preserve">In the years in which </w:t>
      </w:r>
      <w:r w:rsidRPr="00FF7B22">
        <w:rPr>
          <w:bCs/>
        </w:rPr>
        <w:t>Meeting</w:t>
      </w:r>
      <w:r w:rsidR="00434C8A" w:rsidRPr="00FF7B22">
        <w:rPr>
          <w:bCs/>
        </w:rPr>
        <w:t>s</w:t>
      </w:r>
      <w:r w:rsidRPr="00FF7B22">
        <w:rPr>
          <w:bCs/>
        </w:rPr>
        <w:t xml:space="preserve"> of the Parties</w:t>
      </w:r>
      <w:r w:rsidRPr="00FF7B22">
        <w:t xml:space="preserve"> </w:t>
      </w:r>
      <w:r w:rsidR="00A468A9" w:rsidRPr="00FF7B22">
        <w:t>are not held</w:t>
      </w:r>
      <w:r w:rsidR="00434C8A" w:rsidRPr="00FF7B22">
        <w:t xml:space="preserve">, meetings of </w:t>
      </w:r>
      <w:r w:rsidRPr="00FF7B22">
        <w:t xml:space="preserve">the </w:t>
      </w:r>
      <w:r w:rsidR="00434C8A" w:rsidRPr="00FF7B22">
        <w:t>O</w:t>
      </w:r>
      <w:r w:rsidR="00A468A9" w:rsidRPr="00FF7B22">
        <w:t>pen-ended Working Group</w:t>
      </w:r>
      <w:r w:rsidR="00434C8A" w:rsidRPr="00FF7B22">
        <w:t xml:space="preserve"> would be </w:t>
      </w:r>
      <w:r w:rsidR="00A468A9" w:rsidRPr="00FF7B22">
        <w:t>held</w:t>
      </w:r>
      <w:r w:rsidR="00434C8A" w:rsidRPr="00FF7B22">
        <w:t xml:space="preserve">. </w:t>
      </w:r>
      <w:r w:rsidRPr="00FF7B22">
        <w:t xml:space="preserve">The meetings of the </w:t>
      </w:r>
      <w:r w:rsidR="00045404" w:rsidRPr="00FF7B22">
        <w:rPr>
          <w:bCs/>
        </w:rPr>
        <w:t>C</w:t>
      </w:r>
      <w:r w:rsidR="00A468A9" w:rsidRPr="00FF7B22">
        <w:rPr>
          <w:bCs/>
        </w:rPr>
        <w:t>onference of the P</w:t>
      </w:r>
      <w:r w:rsidR="00A468A9">
        <w:rPr>
          <w:bCs/>
        </w:rPr>
        <w:t>arties</w:t>
      </w:r>
      <w:r w:rsidR="00045404" w:rsidRPr="00F466F2">
        <w:rPr>
          <w:bCs/>
        </w:rPr>
        <w:t xml:space="preserve"> </w:t>
      </w:r>
      <w:r w:rsidR="00FF7B22">
        <w:rPr>
          <w:bCs/>
        </w:rPr>
        <w:t xml:space="preserve">to the Vienna Convention for the Protection of the Ozone Layer </w:t>
      </w:r>
      <w:r w:rsidR="00233FC2" w:rsidRPr="00F466F2">
        <w:rPr>
          <w:bCs/>
        </w:rPr>
        <w:t>w</w:t>
      </w:r>
      <w:r w:rsidRPr="00F466F2">
        <w:t xml:space="preserve">ould </w:t>
      </w:r>
      <w:r w:rsidR="00A468A9">
        <w:t>move</w:t>
      </w:r>
      <w:r w:rsidRPr="00F466F2">
        <w:t xml:space="preserve"> to </w:t>
      </w:r>
      <w:r w:rsidR="000F56F3" w:rsidRPr="00F466F2">
        <w:t xml:space="preserve">a quadrennial </w:t>
      </w:r>
      <w:r w:rsidR="00D64F3C" w:rsidRPr="00F466F2">
        <w:t>cycle</w:t>
      </w:r>
      <w:r w:rsidR="00D371C4" w:rsidRPr="00F466F2">
        <w:t xml:space="preserve"> and</w:t>
      </w:r>
      <w:r w:rsidRPr="00F466F2">
        <w:t xml:space="preserve"> </w:t>
      </w:r>
      <w:r w:rsidR="00D371C4" w:rsidRPr="00F466F2">
        <w:t>the m</w:t>
      </w:r>
      <w:r w:rsidRPr="00F466F2">
        <w:t xml:space="preserve">eetings of the </w:t>
      </w:r>
      <w:r w:rsidR="00A468A9">
        <w:t>Ozone Research Managers</w:t>
      </w:r>
      <w:r w:rsidR="00D371C4" w:rsidRPr="00F466F2">
        <w:t xml:space="preserve">, </w:t>
      </w:r>
      <w:r w:rsidR="00A468A9">
        <w:t xml:space="preserve">which </w:t>
      </w:r>
      <w:r w:rsidR="00D371C4" w:rsidRPr="00F466F2">
        <w:t xml:space="preserve">the </w:t>
      </w:r>
      <w:r w:rsidR="00A27872" w:rsidRPr="00F466F2">
        <w:t>panel</w:t>
      </w:r>
      <w:r w:rsidR="004168A3">
        <w:t>s’</w:t>
      </w:r>
      <w:r w:rsidR="00A27872" w:rsidRPr="00F466F2">
        <w:t xml:space="preserve"> </w:t>
      </w:r>
      <w:r w:rsidR="00027249" w:rsidRPr="00F466F2">
        <w:rPr>
          <w:rFonts w:eastAsiaTheme="minorHAnsi"/>
        </w:rPr>
        <w:t>c</w:t>
      </w:r>
      <w:r w:rsidR="00D371C4" w:rsidRPr="00F466F2">
        <w:rPr>
          <w:rFonts w:eastAsiaTheme="minorHAnsi"/>
        </w:rPr>
        <w:t>o-</w:t>
      </w:r>
      <w:r w:rsidR="00027249" w:rsidRPr="00F466F2">
        <w:rPr>
          <w:rFonts w:eastAsiaTheme="minorHAnsi"/>
        </w:rPr>
        <w:t>c</w:t>
      </w:r>
      <w:r w:rsidR="00D371C4" w:rsidRPr="00F466F2">
        <w:rPr>
          <w:rFonts w:eastAsiaTheme="minorHAnsi"/>
        </w:rPr>
        <w:t>hairs</w:t>
      </w:r>
      <w:r w:rsidR="00A468A9">
        <w:rPr>
          <w:rFonts w:eastAsiaTheme="minorHAnsi"/>
        </w:rPr>
        <w:t xml:space="preserve"> attend</w:t>
      </w:r>
      <w:r w:rsidR="00027249" w:rsidRPr="00F466F2">
        <w:rPr>
          <w:rFonts w:eastAsiaTheme="minorHAnsi"/>
        </w:rPr>
        <w:t>,</w:t>
      </w:r>
      <w:r w:rsidRPr="00F466F2">
        <w:rPr>
          <w:rFonts w:eastAsiaTheme="minorHAnsi"/>
        </w:rPr>
        <w:t xml:space="preserve"> </w:t>
      </w:r>
      <w:r w:rsidR="005B44D1" w:rsidRPr="00F466F2">
        <w:rPr>
          <w:rFonts w:eastAsiaTheme="minorHAnsi"/>
        </w:rPr>
        <w:t>w</w:t>
      </w:r>
      <w:r w:rsidRPr="00F466F2">
        <w:rPr>
          <w:rFonts w:eastAsiaTheme="minorHAnsi"/>
        </w:rPr>
        <w:t xml:space="preserve">ould </w:t>
      </w:r>
      <w:r w:rsidR="00312964" w:rsidRPr="00F466F2">
        <w:rPr>
          <w:rFonts w:eastAsiaTheme="minorHAnsi"/>
        </w:rPr>
        <w:t xml:space="preserve">also </w:t>
      </w:r>
      <w:r w:rsidRPr="00F466F2">
        <w:rPr>
          <w:rFonts w:eastAsiaTheme="minorHAnsi"/>
        </w:rPr>
        <w:t xml:space="preserve">be held </w:t>
      </w:r>
      <w:r w:rsidR="00312964" w:rsidRPr="00F466F2">
        <w:rPr>
          <w:rFonts w:eastAsiaTheme="minorHAnsi"/>
        </w:rPr>
        <w:t>quadrennial</w:t>
      </w:r>
      <w:r w:rsidR="00A468A9">
        <w:rPr>
          <w:rFonts w:eastAsiaTheme="minorHAnsi"/>
        </w:rPr>
        <w:t>ly</w:t>
      </w:r>
      <w:r w:rsidRPr="00F466F2">
        <w:rPr>
          <w:rFonts w:eastAsiaTheme="minorHAnsi"/>
        </w:rPr>
        <w:t xml:space="preserve">, either in the year of the </w:t>
      </w:r>
      <w:r w:rsidR="00FF7B22">
        <w:rPr>
          <w:rFonts w:eastAsiaTheme="minorHAnsi"/>
        </w:rPr>
        <w:t xml:space="preserve">meeting of the </w:t>
      </w:r>
      <w:r w:rsidR="009B174F" w:rsidRPr="00F466F2">
        <w:rPr>
          <w:rFonts w:eastAsiaTheme="minorHAnsi"/>
        </w:rPr>
        <w:t>C</w:t>
      </w:r>
      <w:r w:rsidR="00A468A9">
        <w:rPr>
          <w:rFonts w:eastAsiaTheme="minorHAnsi"/>
        </w:rPr>
        <w:t>onference of the Parties</w:t>
      </w:r>
      <w:r w:rsidRPr="00F466F2">
        <w:rPr>
          <w:rFonts w:eastAsiaTheme="minorHAnsi"/>
        </w:rPr>
        <w:t xml:space="preserve"> or in the </w:t>
      </w:r>
      <w:r w:rsidR="00A468A9">
        <w:rPr>
          <w:rFonts w:eastAsiaTheme="minorHAnsi"/>
        </w:rPr>
        <w:t xml:space="preserve">preceding </w:t>
      </w:r>
      <w:r w:rsidRPr="00F466F2">
        <w:rPr>
          <w:rFonts w:eastAsiaTheme="minorHAnsi"/>
        </w:rPr>
        <w:t>year, as appropriate.</w:t>
      </w:r>
    </w:p>
    <w:p w14:paraId="65041000" w14:textId="5D9E5B69" w:rsidR="006A5453" w:rsidRPr="00F466F2" w:rsidRDefault="00A468A9" w:rsidP="0083690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>
        <w:rPr>
          <w:rFonts w:eastAsiaTheme="minorHAnsi"/>
        </w:rPr>
        <w:t>If</w:t>
      </w:r>
      <w:r w:rsidR="00EE2E16" w:rsidRPr="00F466F2">
        <w:rPr>
          <w:rFonts w:eastAsiaTheme="minorHAnsi"/>
        </w:rPr>
        <w:t xml:space="preserve"> this scenario </w:t>
      </w:r>
      <w:r>
        <w:rPr>
          <w:rFonts w:eastAsiaTheme="minorHAnsi"/>
        </w:rPr>
        <w:t>were</w:t>
      </w:r>
      <w:r w:rsidR="00EE2E16" w:rsidRPr="00F466F2">
        <w:rPr>
          <w:rFonts w:eastAsiaTheme="minorHAnsi"/>
        </w:rPr>
        <w:t xml:space="preserve"> ch</w:t>
      </w:r>
      <w:r w:rsidR="006A5453" w:rsidRPr="00F466F2">
        <w:rPr>
          <w:rFonts w:eastAsiaTheme="minorHAnsi"/>
        </w:rPr>
        <w:t>osen</w:t>
      </w:r>
      <w:r w:rsidR="00045404" w:rsidRPr="00F466F2">
        <w:rPr>
          <w:rFonts w:eastAsiaTheme="minorHAnsi"/>
        </w:rPr>
        <w:t xml:space="preserve">, </w:t>
      </w:r>
      <w:r>
        <w:rPr>
          <w:rFonts w:eastAsiaTheme="minorHAnsi"/>
        </w:rPr>
        <w:t>its</w:t>
      </w:r>
      <w:r w:rsidR="00045404" w:rsidRPr="00F466F2">
        <w:rPr>
          <w:rFonts w:eastAsiaTheme="minorHAnsi"/>
        </w:rPr>
        <w:t xml:space="preserve"> </w:t>
      </w:r>
      <w:r w:rsidR="003A1E51" w:rsidRPr="00F466F2">
        <w:rPr>
          <w:rFonts w:eastAsiaTheme="minorHAnsi"/>
        </w:rPr>
        <w:t>implementation</w:t>
      </w:r>
      <w:r w:rsidR="00045404" w:rsidRPr="00F466F2">
        <w:rPr>
          <w:rFonts w:eastAsiaTheme="minorHAnsi"/>
        </w:rPr>
        <w:t xml:space="preserve"> </w:t>
      </w:r>
      <w:r w:rsidR="00045404" w:rsidRPr="00FF7B22">
        <w:rPr>
          <w:rFonts w:eastAsiaTheme="minorHAnsi"/>
        </w:rPr>
        <w:t xml:space="preserve">would start </w:t>
      </w:r>
      <w:r w:rsidR="006A5453" w:rsidRPr="00FF7B22">
        <w:rPr>
          <w:rFonts w:eastAsiaTheme="minorHAnsi"/>
        </w:rPr>
        <w:t>after 2027</w:t>
      </w:r>
      <w:r w:rsidRPr="00FF7B22">
        <w:rPr>
          <w:rFonts w:eastAsiaTheme="minorHAnsi"/>
        </w:rPr>
        <w:t>,</w:t>
      </w:r>
      <w:r w:rsidR="00045404" w:rsidRPr="00FF7B22">
        <w:rPr>
          <w:rFonts w:eastAsiaTheme="minorHAnsi"/>
        </w:rPr>
        <w:t xml:space="preserve"> when a </w:t>
      </w:r>
      <w:r w:rsidR="00FF7B22" w:rsidRPr="0076582E">
        <w:rPr>
          <w:rFonts w:eastAsiaTheme="minorHAnsi"/>
        </w:rPr>
        <w:t>combined</w:t>
      </w:r>
      <w:r w:rsidR="00045404" w:rsidRPr="00FF7B22">
        <w:rPr>
          <w:rFonts w:eastAsiaTheme="minorHAnsi"/>
        </w:rPr>
        <w:t xml:space="preserve"> </w:t>
      </w:r>
      <w:r w:rsidR="00FF7B22" w:rsidRPr="0076582E">
        <w:rPr>
          <w:rFonts w:eastAsiaTheme="minorHAnsi"/>
        </w:rPr>
        <w:t>fourteenth meeting</w:t>
      </w:r>
      <w:r w:rsidRPr="00FF7B22">
        <w:rPr>
          <w:rFonts w:eastAsiaTheme="minorHAnsi"/>
        </w:rPr>
        <w:t xml:space="preserve"> of the Conference of the Parties and </w:t>
      </w:r>
      <w:r w:rsidR="00FF7B22" w:rsidRPr="0076582E">
        <w:rPr>
          <w:rFonts w:eastAsiaTheme="minorHAnsi"/>
        </w:rPr>
        <w:t>Thirty-Ninth</w:t>
      </w:r>
      <w:r w:rsidRPr="00FF7B22">
        <w:rPr>
          <w:rFonts w:eastAsiaTheme="minorHAnsi"/>
        </w:rPr>
        <w:t xml:space="preserve"> Meeting of the Parties is expected to </w:t>
      </w:r>
      <w:r w:rsidR="00FF7B22" w:rsidRPr="00FF7B22">
        <w:rPr>
          <w:rFonts w:eastAsiaTheme="minorHAnsi"/>
        </w:rPr>
        <w:t>be held</w:t>
      </w:r>
      <w:r w:rsidR="00912940" w:rsidRPr="00FF7B22">
        <w:t xml:space="preserve"> and the </w:t>
      </w:r>
      <w:r w:rsidR="00E32B49" w:rsidRPr="00FF7B22">
        <w:t xml:space="preserve">terms of reference for the </w:t>
      </w:r>
      <w:r w:rsidR="00912940" w:rsidRPr="00FF7B22">
        <w:t>next quadrennial</w:t>
      </w:r>
      <w:r w:rsidR="00912940" w:rsidRPr="00F466F2">
        <w:t xml:space="preserve"> assessment</w:t>
      </w:r>
      <w:r w:rsidR="00742F37" w:rsidRPr="00F466F2">
        <w:t>, for completion in 2030,</w:t>
      </w:r>
      <w:r w:rsidR="00912940" w:rsidRPr="00F466F2">
        <w:t xml:space="preserve"> </w:t>
      </w:r>
      <w:r>
        <w:t>are expected to</w:t>
      </w:r>
      <w:r w:rsidR="00E32B49" w:rsidRPr="00F466F2">
        <w:t xml:space="preserve"> be decided</w:t>
      </w:r>
      <w:r w:rsidR="00973C3F">
        <w:t xml:space="preserve"> on</w:t>
      </w:r>
      <w:r w:rsidR="00CA19CB" w:rsidRPr="00F466F2">
        <w:t xml:space="preserve">. </w:t>
      </w:r>
      <w:r>
        <w:t>Starting in</w:t>
      </w:r>
      <w:r w:rsidR="00CA19CB" w:rsidRPr="00F466F2">
        <w:t xml:space="preserve"> 2028, t</w:t>
      </w:r>
      <w:r w:rsidR="006A5453" w:rsidRPr="00F466F2">
        <w:rPr>
          <w:bCs/>
        </w:rPr>
        <w:t>he assessment and replenishment cycles could be aligned as follows</w:t>
      </w:r>
      <w:r w:rsidR="006A5453" w:rsidRPr="00F466F2">
        <w:t>:</w:t>
      </w:r>
    </w:p>
    <w:p w14:paraId="65FA98A7" w14:textId="7EEE9216" w:rsidR="00244CD3" w:rsidRPr="00F466F2" w:rsidRDefault="00F710C9" w:rsidP="0083690E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  <w:tab w:val="left" w:pos="624"/>
        </w:tabs>
        <w:ind w:left="1247" w:firstLine="624"/>
      </w:pPr>
      <w:r w:rsidRPr="00F466F2">
        <w:t>T</w:t>
      </w:r>
      <w:r w:rsidR="006A5453" w:rsidRPr="00F466F2">
        <w:t xml:space="preserve">he </w:t>
      </w:r>
      <w:r w:rsidR="006A5453" w:rsidRPr="00F466F2">
        <w:rPr>
          <w:b/>
          <w:bCs/>
          <w:iCs/>
        </w:rPr>
        <w:t>quadrennial assessment</w:t>
      </w:r>
      <w:r w:rsidR="006A5453" w:rsidRPr="00F466F2">
        <w:rPr>
          <w:iCs/>
        </w:rPr>
        <w:t xml:space="preserve"> cycle</w:t>
      </w:r>
      <w:r w:rsidR="0025712D" w:rsidRPr="00F466F2">
        <w:t xml:space="preserve"> </w:t>
      </w:r>
      <w:r w:rsidR="006A5453" w:rsidRPr="00F466F2">
        <w:t>remain</w:t>
      </w:r>
      <w:r w:rsidR="00FF665E" w:rsidRPr="00F466F2">
        <w:t>s</w:t>
      </w:r>
      <w:r w:rsidR="006A5453" w:rsidRPr="00F466F2">
        <w:t xml:space="preserve"> unchanged</w:t>
      </w:r>
      <w:r w:rsidRPr="00F466F2">
        <w:t xml:space="preserve">, </w:t>
      </w:r>
      <w:r w:rsidR="00E30D39" w:rsidRPr="00F466F2">
        <w:t xml:space="preserve">and the next </w:t>
      </w:r>
      <w:r w:rsidR="006A5453" w:rsidRPr="00F466F2">
        <w:t>quadrennial assessment</w:t>
      </w:r>
      <w:r w:rsidR="00E30D39" w:rsidRPr="00F466F2">
        <w:t xml:space="preserve"> should </w:t>
      </w:r>
      <w:r w:rsidR="006A5453" w:rsidRPr="00F466F2">
        <w:t>be completed in 2030</w:t>
      </w:r>
      <w:r w:rsidR="00244CD3" w:rsidRPr="00F466F2">
        <w:t xml:space="preserve"> for consideration </w:t>
      </w:r>
      <w:r w:rsidR="00CD6C5E">
        <w:t xml:space="preserve">of the results </w:t>
      </w:r>
      <w:r w:rsidR="00244CD3" w:rsidRPr="00F466F2">
        <w:t>by the parties in 2031.</w:t>
      </w:r>
      <w:r w:rsidR="007F67CC" w:rsidRPr="00F466F2">
        <w:t xml:space="preserve"> </w:t>
      </w:r>
      <w:r w:rsidR="007C258D" w:rsidRPr="00F466F2">
        <w:t xml:space="preserve">The year </w:t>
      </w:r>
      <w:r w:rsidR="007F67CC" w:rsidRPr="00F466F2">
        <w:t>2030 would therefore be an assessment year</w:t>
      </w:r>
      <w:r w:rsidR="00CD6C5E">
        <w:t>, with an increased</w:t>
      </w:r>
      <w:r w:rsidR="00FD3955" w:rsidRPr="00F466F2">
        <w:t xml:space="preserve"> number of panel meetings.</w:t>
      </w:r>
    </w:p>
    <w:p w14:paraId="08AEA9CD" w14:textId="75A2A7B8" w:rsidR="00BD4032" w:rsidRPr="00F466F2" w:rsidRDefault="006A5453" w:rsidP="0083690E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  <w:tab w:val="left" w:pos="624"/>
        </w:tabs>
        <w:ind w:left="1247" w:firstLine="624"/>
      </w:pPr>
      <w:r w:rsidRPr="00F466F2">
        <w:t xml:space="preserve">The </w:t>
      </w:r>
      <w:r w:rsidRPr="00F466F2">
        <w:rPr>
          <w:b/>
          <w:bCs/>
        </w:rPr>
        <w:t xml:space="preserve">frequency of </w:t>
      </w:r>
      <w:r w:rsidRPr="00F466F2">
        <w:rPr>
          <w:b/>
          <w:bCs/>
          <w:iCs/>
        </w:rPr>
        <w:t>progress reports</w:t>
      </w:r>
      <w:r w:rsidRPr="00F466F2">
        <w:t xml:space="preserve"> by the </w:t>
      </w:r>
      <w:r w:rsidR="004731BC" w:rsidRPr="00F466F2">
        <w:t>p</w:t>
      </w:r>
      <w:r w:rsidRPr="00F466F2">
        <w:t xml:space="preserve">anels could be reduced </w:t>
      </w:r>
      <w:r w:rsidR="00F45040" w:rsidRPr="00F466F2">
        <w:t>from year</w:t>
      </w:r>
      <w:r w:rsidR="00E87D90">
        <w:t>ly</w:t>
      </w:r>
      <w:r w:rsidR="005253DD" w:rsidRPr="00F466F2">
        <w:t xml:space="preserve"> </w:t>
      </w:r>
      <w:r w:rsidRPr="00F466F2">
        <w:t xml:space="preserve">to once </w:t>
      </w:r>
      <w:r w:rsidR="006A0ECA" w:rsidRPr="00F466F2">
        <w:t>every four years</w:t>
      </w:r>
      <w:r w:rsidR="00E87D90">
        <w:t>; for example, the progress reports could be delivered</w:t>
      </w:r>
      <w:r w:rsidR="000072CA" w:rsidRPr="00F466F2">
        <w:t xml:space="preserve"> midway through </w:t>
      </w:r>
      <w:r w:rsidR="00E87D90">
        <w:t>each</w:t>
      </w:r>
      <w:r w:rsidR="000072CA" w:rsidRPr="00F466F2">
        <w:t xml:space="preserve"> quadrennium</w:t>
      </w:r>
      <w:r w:rsidR="00E87D90">
        <w:t xml:space="preserve">. Under that scenario, there </w:t>
      </w:r>
      <w:r w:rsidR="002853E7">
        <w:t>c</w:t>
      </w:r>
      <w:r w:rsidR="00E87D90">
        <w:t>ould be progress reports</w:t>
      </w:r>
      <w:r w:rsidR="00126F34" w:rsidRPr="00F466F2">
        <w:t xml:space="preserve"> </w:t>
      </w:r>
      <w:r w:rsidRPr="00F466F2">
        <w:t xml:space="preserve">in 2028 </w:t>
      </w:r>
      <w:r w:rsidR="00C639DE" w:rsidRPr="00F466F2">
        <w:t xml:space="preserve">for discussion </w:t>
      </w:r>
      <w:r w:rsidR="00712846" w:rsidRPr="00F466F2">
        <w:t>at</w:t>
      </w:r>
      <w:r w:rsidR="00E87D90">
        <w:t xml:space="preserve"> the fiftieth </w:t>
      </w:r>
      <w:r w:rsidR="007F1326">
        <w:t>meeting</w:t>
      </w:r>
      <w:r w:rsidR="00E87D90">
        <w:t xml:space="preserve"> of the Open-ended Working Group</w:t>
      </w:r>
      <w:r w:rsidR="00D52E28" w:rsidRPr="00F466F2">
        <w:t xml:space="preserve">. </w:t>
      </w:r>
      <w:r w:rsidR="00B42403" w:rsidRPr="00F466F2">
        <w:t>Meetings of the panels to prepare the progress report would take place in 2028</w:t>
      </w:r>
      <w:r w:rsidR="00D238AD" w:rsidRPr="00F466F2">
        <w:t xml:space="preserve">, </w:t>
      </w:r>
      <w:r w:rsidR="00E87D90">
        <w:t>so</w:t>
      </w:r>
      <w:r w:rsidR="00D238AD" w:rsidRPr="00F466F2">
        <w:t xml:space="preserve"> the budget for th</w:t>
      </w:r>
      <w:r w:rsidR="00E87D90">
        <w:t>at</w:t>
      </w:r>
      <w:r w:rsidR="00D238AD" w:rsidRPr="00F466F2">
        <w:t xml:space="preserve"> year m</w:t>
      </w:r>
      <w:r w:rsidR="00E87D90">
        <w:t>ight</w:t>
      </w:r>
      <w:r w:rsidR="00D238AD" w:rsidRPr="00F466F2">
        <w:t xml:space="preserve"> be comparable to that of </w:t>
      </w:r>
      <w:r w:rsidR="00E87D90">
        <w:t>a</w:t>
      </w:r>
      <w:r w:rsidR="00D238AD" w:rsidRPr="00F466F2">
        <w:t xml:space="preserve"> </w:t>
      </w:r>
      <w:r w:rsidR="009C3B37" w:rsidRPr="00F466F2">
        <w:t>non-assessment</w:t>
      </w:r>
      <w:r w:rsidR="00D238AD" w:rsidRPr="00F466F2">
        <w:t xml:space="preserve"> </w:t>
      </w:r>
      <w:r w:rsidR="009C3B37" w:rsidRPr="00F466F2">
        <w:t>year</w:t>
      </w:r>
      <w:r w:rsidR="00B42403" w:rsidRPr="00F466F2">
        <w:t>.</w:t>
      </w:r>
      <w:r w:rsidR="00DF15F7" w:rsidRPr="00F466F2">
        <w:t xml:space="preserve"> Unless the</w:t>
      </w:r>
      <w:r w:rsidR="00E87D90">
        <w:t xml:space="preserve"> parties</w:t>
      </w:r>
      <w:r w:rsidR="00DF15F7" w:rsidRPr="00F466F2">
        <w:t xml:space="preserve"> request</w:t>
      </w:r>
      <w:r w:rsidR="00270889" w:rsidRPr="00F466F2">
        <w:t xml:space="preserve"> the panels </w:t>
      </w:r>
      <w:r w:rsidR="00DF15F7" w:rsidRPr="00F466F2">
        <w:t xml:space="preserve">to </w:t>
      </w:r>
      <w:r w:rsidR="00270889" w:rsidRPr="00F466F2">
        <w:t xml:space="preserve">review and report on specific issues, </w:t>
      </w:r>
      <w:r w:rsidR="00E87D90">
        <w:t xml:space="preserve">the </w:t>
      </w:r>
      <w:r w:rsidR="00433FCF" w:rsidRPr="00F466F2">
        <w:t xml:space="preserve">panels </w:t>
      </w:r>
      <w:r w:rsidR="00D40008" w:rsidRPr="00F466F2">
        <w:t xml:space="preserve">(except TEAP) </w:t>
      </w:r>
      <w:r w:rsidR="00433FCF" w:rsidRPr="00F466F2">
        <w:t xml:space="preserve">may not need to </w:t>
      </w:r>
      <w:r w:rsidR="00E87D90">
        <w:t>hold</w:t>
      </w:r>
      <w:r w:rsidR="00433FCF" w:rsidRPr="00F466F2">
        <w:t xml:space="preserve"> their meetings in</w:t>
      </w:r>
      <w:r w:rsidR="00E87D90">
        <w:t xml:space="preserve"> </w:t>
      </w:r>
      <w:r w:rsidR="00433FCF" w:rsidRPr="00F466F2">
        <w:t xml:space="preserve">person in </w:t>
      </w:r>
      <w:r w:rsidR="002F3715" w:rsidRPr="00F466F2">
        <w:t xml:space="preserve">2029 </w:t>
      </w:r>
      <w:r w:rsidR="00E87D90">
        <w:t>or</w:t>
      </w:r>
      <w:r w:rsidR="002F3715" w:rsidRPr="00F466F2">
        <w:t xml:space="preserve"> 2031</w:t>
      </w:r>
      <w:r w:rsidR="00E87D90">
        <w:t>,</w:t>
      </w:r>
      <w:r w:rsidR="00236401" w:rsidRPr="00F466F2">
        <w:t xml:space="preserve"> but </w:t>
      </w:r>
      <w:r w:rsidR="00E87D90">
        <w:t xml:space="preserve">would </w:t>
      </w:r>
      <w:r w:rsidR="00236401" w:rsidRPr="00F466F2">
        <w:t xml:space="preserve">attend </w:t>
      </w:r>
      <w:r w:rsidR="00E87D90">
        <w:t>the Fortieth Meeting of the Parties,</w:t>
      </w:r>
      <w:r w:rsidR="00CD5306" w:rsidRPr="00F466F2">
        <w:t xml:space="preserve"> in 2029</w:t>
      </w:r>
      <w:r w:rsidR="00E87D90">
        <w:t xml:space="preserve">, and the combined </w:t>
      </w:r>
      <w:r w:rsidR="00061017">
        <w:t>fifteenth</w:t>
      </w:r>
      <w:r w:rsidR="004A4E80" w:rsidRPr="00F466F2">
        <w:t xml:space="preserve"> C</w:t>
      </w:r>
      <w:r w:rsidR="00E87D90">
        <w:t>onference of the Parties and Forty-First Meeting of the Parties</w:t>
      </w:r>
      <w:r w:rsidR="004A4E80" w:rsidRPr="00F466F2">
        <w:t xml:space="preserve"> </w:t>
      </w:r>
      <w:r w:rsidR="00236401" w:rsidRPr="00F466F2">
        <w:t>in 20</w:t>
      </w:r>
      <w:r w:rsidR="004A4E80" w:rsidRPr="00F466F2">
        <w:t>31</w:t>
      </w:r>
      <w:r w:rsidR="003C2141">
        <w:t xml:space="preserve"> as appropriate</w:t>
      </w:r>
      <w:r w:rsidR="00433FCF" w:rsidRPr="00F466F2">
        <w:t>.</w:t>
      </w:r>
      <w:r w:rsidR="00270889" w:rsidRPr="00F466F2">
        <w:t xml:space="preserve"> </w:t>
      </w:r>
    </w:p>
    <w:p w14:paraId="30F066C8" w14:textId="3D8B040C" w:rsidR="00716E6D" w:rsidRPr="00F466F2" w:rsidRDefault="00433F2E" w:rsidP="0083690E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  <w:tab w:val="left" w:pos="624"/>
        </w:tabs>
        <w:ind w:left="1247" w:firstLine="624"/>
      </w:pPr>
      <w:r w:rsidRPr="00F466F2">
        <w:rPr>
          <w:rStyle w:val="SubsubChar"/>
          <w:b w:val="0"/>
          <w:bCs/>
          <w:i w:val="0"/>
          <w:iCs/>
        </w:rPr>
        <w:t xml:space="preserve">If parties decide to change the </w:t>
      </w:r>
      <w:r w:rsidR="006A5453" w:rsidRPr="00F466F2">
        <w:rPr>
          <w:b/>
          <w:bCs/>
        </w:rPr>
        <w:t>replenishment cycle</w:t>
      </w:r>
      <w:r w:rsidR="006A5453" w:rsidRPr="00F466F2">
        <w:t xml:space="preserve"> to a four-year cycle to align with the biennial Meeting of the Parties</w:t>
      </w:r>
      <w:r w:rsidRPr="00F466F2">
        <w:t xml:space="preserve">, </w:t>
      </w:r>
      <w:r w:rsidR="00B34E6C" w:rsidRPr="00F466F2">
        <w:t xml:space="preserve">the </w:t>
      </w:r>
      <w:r w:rsidR="00FE413F">
        <w:t xml:space="preserve">parties may decide to define the </w:t>
      </w:r>
      <w:r w:rsidR="00B34E6C" w:rsidRPr="00F466F2">
        <w:t xml:space="preserve">next replenishment period </w:t>
      </w:r>
      <w:r w:rsidR="0096754E" w:rsidRPr="00F466F2">
        <w:t>(after the 2027</w:t>
      </w:r>
      <w:r w:rsidR="00FE413F">
        <w:t>–</w:t>
      </w:r>
      <w:r w:rsidR="0096754E" w:rsidRPr="00F466F2">
        <w:t xml:space="preserve">2029 replenishment) </w:t>
      </w:r>
      <w:r w:rsidR="00B34E6C" w:rsidRPr="00F466F2">
        <w:t>to be 2030</w:t>
      </w:r>
      <w:r w:rsidR="00FE413F">
        <w:t>–</w:t>
      </w:r>
      <w:r w:rsidR="00B34E6C" w:rsidRPr="00F466F2">
        <w:t>2033</w:t>
      </w:r>
      <w:r w:rsidR="007C4FB2" w:rsidRPr="00F466F2">
        <w:t xml:space="preserve"> in the terms of reference for the replenishment study</w:t>
      </w:r>
      <w:r w:rsidR="00CE7C1C" w:rsidRPr="00F466F2">
        <w:t xml:space="preserve"> </w:t>
      </w:r>
      <w:r w:rsidR="00824D99" w:rsidRPr="00F466F2">
        <w:t>to be</w:t>
      </w:r>
      <w:r w:rsidR="00CE7C1C" w:rsidRPr="00F466F2">
        <w:t xml:space="preserve"> completed </w:t>
      </w:r>
      <w:r w:rsidR="00716E6D" w:rsidRPr="00F466F2">
        <w:t xml:space="preserve">by TEAP and considered </w:t>
      </w:r>
      <w:r w:rsidR="00CE7C1C" w:rsidRPr="00F466F2">
        <w:t xml:space="preserve">by </w:t>
      </w:r>
      <w:r w:rsidR="00716E6D" w:rsidRPr="00F466F2">
        <w:t xml:space="preserve">the parties in </w:t>
      </w:r>
      <w:r w:rsidR="00CE7C1C" w:rsidRPr="00F466F2">
        <w:t>2029</w:t>
      </w:r>
      <w:r w:rsidR="006A5453" w:rsidRPr="00F466F2">
        <w:t>.</w:t>
      </w:r>
      <w:r w:rsidR="00BA26B7" w:rsidRPr="00F466F2">
        <w:t xml:space="preserve"> </w:t>
      </w:r>
      <w:r w:rsidR="00296FAE" w:rsidRPr="00F466F2">
        <w:t xml:space="preserve">The </w:t>
      </w:r>
      <w:r w:rsidR="00BA26B7" w:rsidRPr="00F466F2">
        <w:t xml:space="preserve">TEAP replenishment task force will conduct </w:t>
      </w:r>
      <w:r w:rsidR="00296FAE" w:rsidRPr="00F466F2">
        <w:t>its</w:t>
      </w:r>
      <w:r w:rsidR="00BA26B7" w:rsidRPr="00F466F2">
        <w:t xml:space="preserve"> work in 2029</w:t>
      </w:r>
      <w:r w:rsidR="007D47EC" w:rsidRPr="00F466F2">
        <w:t xml:space="preserve">, </w:t>
      </w:r>
      <w:r w:rsidR="00FE413F">
        <w:t xml:space="preserve">which will </w:t>
      </w:r>
      <w:r w:rsidR="007D47EC" w:rsidRPr="00F466F2">
        <w:t>requir</w:t>
      </w:r>
      <w:r w:rsidR="00FE413F">
        <w:t>e</w:t>
      </w:r>
      <w:r w:rsidR="007D47EC" w:rsidRPr="00F466F2">
        <w:t xml:space="preserve"> </w:t>
      </w:r>
      <w:r w:rsidR="00F432B3" w:rsidRPr="00F466F2">
        <w:t xml:space="preserve">the task force to meet </w:t>
      </w:r>
      <w:proofErr w:type="gramStart"/>
      <w:r w:rsidR="00F432B3" w:rsidRPr="00F466F2">
        <w:t xml:space="preserve">and </w:t>
      </w:r>
      <w:r w:rsidR="009E0008" w:rsidRPr="00F466F2">
        <w:t>also</w:t>
      </w:r>
      <w:proofErr w:type="gramEnd"/>
      <w:r w:rsidR="009E0008" w:rsidRPr="00F466F2">
        <w:t xml:space="preserve"> </w:t>
      </w:r>
      <w:r w:rsidR="00FE413F">
        <w:t xml:space="preserve">to </w:t>
      </w:r>
      <w:r w:rsidR="009E0008" w:rsidRPr="00F466F2">
        <w:t xml:space="preserve">travel to </w:t>
      </w:r>
      <w:r w:rsidR="00FE413F">
        <w:t xml:space="preserve">the </w:t>
      </w:r>
      <w:r w:rsidR="001F0ED2">
        <w:t xml:space="preserve">appropriate Executive Committee meetings and the </w:t>
      </w:r>
      <w:r w:rsidR="00FE413F">
        <w:t>Fortieth Meeting of the Parties</w:t>
      </w:r>
      <w:r w:rsidR="00F62EC4" w:rsidRPr="00F466F2">
        <w:t xml:space="preserve"> in 2029.</w:t>
      </w:r>
      <w:r w:rsidR="00F432B3" w:rsidRPr="00F466F2">
        <w:t xml:space="preserve"> </w:t>
      </w:r>
    </w:p>
    <w:p w14:paraId="616907EC" w14:textId="5EFE4FE2" w:rsidR="00551B4A" w:rsidRPr="00F466F2" w:rsidRDefault="00CB1DBE" w:rsidP="0083690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 w:rsidRPr="00F466F2">
        <w:lastRenderedPageBreak/>
        <w:t>T</w:t>
      </w:r>
      <w:r w:rsidR="00EA7D3B" w:rsidRPr="00F466F2">
        <w:t>he</w:t>
      </w:r>
      <w:r w:rsidR="006A5453" w:rsidRPr="00F466F2">
        <w:t xml:space="preserve"> reduced frequency and intensity of the assessment</w:t>
      </w:r>
      <w:r w:rsidR="00197CE0" w:rsidRPr="00F466F2">
        <w:t xml:space="preserve"> and</w:t>
      </w:r>
      <w:r w:rsidR="006A5453" w:rsidRPr="00F466F2">
        <w:t xml:space="preserve"> replenishment work cycles</w:t>
      </w:r>
      <w:r w:rsidR="00EA7D3B" w:rsidRPr="00F466F2">
        <w:t xml:space="preserve"> </w:t>
      </w:r>
      <w:r w:rsidRPr="00F466F2">
        <w:t xml:space="preserve">under scenario C </w:t>
      </w:r>
      <w:r w:rsidR="00CB7E23" w:rsidRPr="00F466F2">
        <w:t xml:space="preserve">can be seen </w:t>
      </w:r>
      <w:r w:rsidR="008A0BF8" w:rsidRPr="00F466F2">
        <w:t xml:space="preserve">from </w:t>
      </w:r>
      <w:r w:rsidR="00CD6C5E">
        <w:t>t</w:t>
      </w:r>
      <w:r w:rsidR="00CB7E23" w:rsidRPr="00F466F2">
        <w:t>able 5</w:t>
      </w:r>
      <w:r w:rsidR="00CD6C5E">
        <w:t>,</w:t>
      </w:r>
      <w:r w:rsidR="00CB7E23" w:rsidRPr="00F466F2">
        <w:t xml:space="preserve"> which is a simplified version of </w:t>
      </w:r>
      <w:r w:rsidR="00CD6C5E">
        <w:t>t</w:t>
      </w:r>
      <w:r w:rsidR="00CB7E23" w:rsidRPr="00F466F2">
        <w:t xml:space="preserve">able </w:t>
      </w:r>
      <w:r w:rsidR="00AD3E4D" w:rsidRPr="00F466F2">
        <w:t>1 in the note by the Secretariat (UNEP/OzL.Pro.WG.1/48/4)</w:t>
      </w:r>
      <w:r w:rsidR="00FF5942" w:rsidRPr="00F466F2">
        <w:t xml:space="preserve">. </w:t>
      </w:r>
      <w:r w:rsidR="0090069C" w:rsidRPr="00F466F2">
        <w:t>A f</w:t>
      </w:r>
      <w:r w:rsidR="001973A6" w:rsidRPr="00F466F2">
        <w:t>urther s</w:t>
      </w:r>
      <w:r w:rsidR="00BC2165" w:rsidRPr="00F466F2">
        <w:t xml:space="preserve">ummary of the </w:t>
      </w:r>
      <w:r w:rsidR="001973A6" w:rsidRPr="00F466F2">
        <w:t>expected meeting</w:t>
      </w:r>
      <w:r w:rsidR="00CF40B2" w:rsidRPr="00F466F2">
        <w:t>s</w:t>
      </w:r>
      <w:r w:rsidR="001973A6" w:rsidRPr="00F466F2">
        <w:t xml:space="preserve"> of the assessment panels</w:t>
      </w:r>
      <w:r w:rsidR="00AD3E4D" w:rsidRPr="00F466F2">
        <w:t xml:space="preserve"> </w:t>
      </w:r>
      <w:r w:rsidR="00CD6C5E">
        <w:t>during the period</w:t>
      </w:r>
      <w:r w:rsidR="004125AD" w:rsidRPr="00F466F2">
        <w:t xml:space="preserve"> </w:t>
      </w:r>
      <w:r w:rsidR="00C11A6E" w:rsidRPr="00F466F2">
        <w:t>202</w:t>
      </w:r>
      <w:r w:rsidR="00C90BA6" w:rsidRPr="00F466F2">
        <w:t>7</w:t>
      </w:r>
      <w:r w:rsidR="00FE413F">
        <w:t>–</w:t>
      </w:r>
      <w:r w:rsidR="00C11A6E" w:rsidRPr="00F466F2">
        <w:t>20</w:t>
      </w:r>
      <w:r w:rsidR="00FE29B9" w:rsidRPr="00F466F2">
        <w:t>31</w:t>
      </w:r>
      <w:r w:rsidR="00CF40B2" w:rsidRPr="00F466F2">
        <w:t xml:space="preserve"> under scenario C</w:t>
      </w:r>
      <w:r w:rsidR="00AF4F21" w:rsidRPr="00F466F2">
        <w:t xml:space="preserve"> a</w:t>
      </w:r>
      <w:r w:rsidR="00FE413F">
        <w:t>long with</w:t>
      </w:r>
      <w:r w:rsidR="00AF4F21" w:rsidRPr="00F466F2">
        <w:t xml:space="preserve"> associated cost estimates, consistent with </w:t>
      </w:r>
      <w:r w:rsidR="00CD6C5E">
        <w:t>t</w:t>
      </w:r>
      <w:r w:rsidR="00AF4F21" w:rsidRPr="00F466F2">
        <w:t>able 3 of the note by the Secretariat</w:t>
      </w:r>
      <w:r w:rsidR="00331473" w:rsidRPr="00F466F2">
        <w:t>,</w:t>
      </w:r>
      <w:r w:rsidR="00551B4A" w:rsidRPr="00F466F2">
        <w:t xml:space="preserve"> can be found</w:t>
      </w:r>
      <w:r w:rsidR="008A24BA" w:rsidRPr="00F466F2">
        <w:t xml:space="preserve"> in </w:t>
      </w:r>
      <w:r w:rsidR="00CD6C5E">
        <w:t>t</w:t>
      </w:r>
      <w:r w:rsidR="008A24BA" w:rsidRPr="00F466F2">
        <w:t>able</w:t>
      </w:r>
      <w:r w:rsidR="00551B4A" w:rsidRPr="00F466F2">
        <w:t xml:space="preserve"> 6.</w:t>
      </w:r>
      <w:r w:rsidR="008B28C9" w:rsidRPr="00F466F2">
        <w:t xml:space="preserve"> </w:t>
      </w:r>
      <w:r w:rsidR="00286DBA" w:rsidRPr="00F466F2">
        <w:t>The c</w:t>
      </w:r>
      <w:r w:rsidR="001C3C81" w:rsidRPr="00F466F2">
        <w:t xml:space="preserve">osts of the meetings </w:t>
      </w:r>
      <w:r w:rsidR="00286DBA" w:rsidRPr="00F466F2">
        <w:t>of the panels in the third colum</w:t>
      </w:r>
      <w:r w:rsidR="00820DE7" w:rsidRPr="00F466F2">
        <w:t>n do not include the panel meetings held in conjunction with</w:t>
      </w:r>
      <w:r w:rsidR="00CE1B9B" w:rsidRPr="00F466F2">
        <w:t xml:space="preserve"> and at the same venues as the</w:t>
      </w:r>
      <w:r w:rsidR="00820DE7" w:rsidRPr="00F466F2">
        <w:t xml:space="preserve"> </w:t>
      </w:r>
      <w:r w:rsidR="00CD6C5E" w:rsidRPr="00F466F2">
        <w:t>O</w:t>
      </w:r>
      <w:r w:rsidR="00CD6C5E">
        <w:t>pen-ended Working Group</w:t>
      </w:r>
      <w:r w:rsidR="009852F3" w:rsidRPr="00F466F2">
        <w:t xml:space="preserve"> </w:t>
      </w:r>
      <w:r w:rsidR="00FE413F">
        <w:t xml:space="preserve">meeting </w:t>
      </w:r>
      <w:r w:rsidR="009852F3" w:rsidRPr="00F466F2">
        <w:t>and</w:t>
      </w:r>
      <w:r w:rsidR="00820DE7" w:rsidRPr="00F466F2">
        <w:t xml:space="preserve"> </w:t>
      </w:r>
      <w:r w:rsidR="00CD6C5E">
        <w:t>the Meeting of the Parties</w:t>
      </w:r>
      <w:r w:rsidR="00CE1B9B" w:rsidRPr="00F466F2">
        <w:t xml:space="preserve"> because the</w:t>
      </w:r>
      <w:r w:rsidR="00B05354" w:rsidRPr="00F466F2">
        <w:t>y are included in the budget</w:t>
      </w:r>
      <w:r w:rsidR="00FE413F">
        <w:t xml:space="preserve"> for those meetings</w:t>
      </w:r>
      <w:r w:rsidR="00B05354" w:rsidRPr="00F466F2">
        <w:t>.</w:t>
      </w:r>
    </w:p>
    <w:p w14:paraId="56B12AF7" w14:textId="02CDB414" w:rsidR="006A5453" w:rsidRPr="00F466F2" w:rsidRDefault="00DC3803" w:rsidP="00304E85">
      <w:pPr>
        <w:pStyle w:val="Normalnumber"/>
        <w:keepNext/>
        <w:keepLines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 w:rsidRPr="00F466F2">
        <w:t>I</w:t>
      </w:r>
      <w:r w:rsidR="00A468A9">
        <w:t>rrespective</w:t>
      </w:r>
      <w:r w:rsidRPr="00F466F2">
        <w:t xml:space="preserve"> of the work cycles and </w:t>
      </w:r>
      <w:r w:rsidR="00A468A9">
        <w:t xml:space="preserve">the </w:t>
      </w:r>
      <w:r w:rsidRPr="00F466F2">
        <w:t xml:space="preserve">number of meetings, </w:t>
      </w:r>
      <w:r w:rsidR="00B62908" w:rsidRPr="00F466F2">
        <w:t>meeting</w:t>
      </w:r>
      <w:r w:rsidR="00A468A9">
        <w:t xml:space="preserve"> cost</w:t>
      </w:r>
      <w:r w:rsidR="00B62908" w:rsidRPr="00F466F2">
        <w:t>s could be reduced</w:t>
      </w:r>
      <w:r w:rsidR="00235CCE" w:rsidRPr="00F466F2">
        <w:t xml:space="preserve"> by </w:t>
      </w:r>
      <w:r w:rsidR="00E81838" w:rsidRPr="00F466F2">
        <w:t xml:space="preserve">organizing </w:t>
      </w:r>
      <w:r w:rsidR="00A468A9">
        <w:t xml:space="preserve">meetings of </w:t>
      </w:r>
      <w:r w:rsidR="00801642" w:rsidRPr="00F466F2">
        <w:t>TEAP and TOC</w:t>
      </w:r>
      <w:r w:rsidR="002036D9">
        <w:t xml:space="preserve"> meetings</w:t>
      </w:r>
      <w:r w:rsidR="00801642" w:rsidRPr="00F466F2">
        <w:t xml:space="preserve"> </w:t>
      </w:r>
      <w:proofErr w:type="gramStart"/>
      <w:r w:rsidR="00E81838" w:rsidRPr="00F466F2">
        <w:t>back</w:t>
      </w:r>
      <w:r w:rsidR="00A468A9">
        <w:t xml:space="preserve"> </w:t>
      </w:r>
      <w:r w:rsidR="00E81838" w:rsidRPr="00F466F2">
        <w:t>to</w:t>
      </w:r>
      <w:r w:rsidR="00A468A9">
        <w:t xml:space="preserve"> </w:t>
      </w:r>
      <w:r w:rsidR="00E81838" w:rsidRPr="00F466F2">
        <w:t>back</w:t>
      </w:r>
      <w:proofErr w:type="gramEnd"/>
      <w:r w:rsidR="006A2918">
        <w:t>, where possible,</w:t>
      </w:r>
      <w:r w:rsidR="00E81838" w:rsidRPr="00F466F2">
        <w:t xml:space="preserve"> </w:t>
      </w:r>
      <w:r w:rsidR="00414597" w:rsidRPr="00F466F2">
        <w:t xml:space="preserve">or in conjunction with </w:t>
      </w:r>
      <w:r w:rsidR="00842B21" w:rsidRPr="00F466F2">
        <w:t xml:space="preserve">other meetings </w:t>
      </w:r>
      <w:r w:rsidR="00690883" w:rsidRPr="00F466F2">
        <w:t xml:space="preserve">in </w:t>
      </w:r>
      <w:r w:rsidR="00801642" w:rsidRPr="00F466F2">
        <w:t>wh</w:t>
      </w:r>
      <w:r w:rsidR="00690883" w:rsidRPr="00F466F2">
        <w:t>ich</w:t>
      </w:r>
      <w:r w:rsidR="00801642" w:rsidRPr="00F466F2">
        <w:t xml:space="preserve"> </w:t>
      </w:r>
      <w:r w:rsidR="00842B21" w:rsidRPr="00F466F2">
        <w:t xml:space="preserve">several members may </w:t>
      </w:r>
      <w:r w:rsidR="00690883" w:rsidRPr="00F466F2">
        <w:t xml:space="preserve">be </w:t>
      </w:r>
      <w:r w:rsidR="00690883" w:rsidRPr="0076582E">
        <w:t xml:space="preserve">participating. </w:t>
      </w:r>
      <w:r w:rsidR="006A2918" w:rsidRPr="0076582E">
        <w:t xml:space="preserve">TEAP and the </w:t>
      </w:r>
      <w:r w:rsidR="009D468C">
        <w:rPr>
          <w:rFonts w:eastAsiaTheme="minorEastAsia"/>
        </w:rPr>
        <w:t>technical options committee</w:t>
      </w:r>
      <w:r w:rsidR="009D468C" w:rsidRPr="00F466F2">
        <w:rPr>
          <w:rFonts w:eastAsiaTheme="minorEastAsia"/>
        </w:rPr>
        <w:t xml:space="preserve">s </w:t>
      </w:r>
      <w:r w:rsidR="006A2918" w:rsidRPr="0076582E">
        <w:t>are already exploring</w:t>
      </w:r>
      <w:r w:rsidR="002036D9" w:rsidRPr="0076582E">
        <w:t xml:space="preserve"> and taking advantage of</w:t>
      </w:r>
      <w:r w:rsidR="006A2918" w:rsidRPr="0076582E">
        <w:t xml:space="preserve"> s</w:t>
      </w:r>
      <w:r w:rsidR="00924FEA" w:rsidRPr="0076582E">
        <w:t xml:space="preserve">uch </w:t>
      </w:r>
      <w:r w:rsidR="004905B2" w:rsidRPr="0076582E">
        <w:t>possibilities</w:t>
      </w:r>
      <w:r w:rsidR="00B8550C" w:rsidRPr="0076582E">
        <w:t>.</w:t>
      </w:r>
      <w:r w:rsidR="00584CA5" w:rsidRPr="0076582E">
        <w:t xml:space="preserve"> </w:t>
      </w:r>
      <w:r w:rsidR="002036D9" w:rsidRPr="0076582E">
        <w:t>In addition, s</w:t>
      </w:r>
      <w:r w:rsidR="00584CA5" w:rsidRPr="0076582E">
        <w:t xml:space="preserve">elected meetings could be </w:t>
      </w:r>
      <w:r w:rsidR="002036D9" w:rsidRPr="0076582E">
        <w:t>held</w:t>
      </w:r>
      <w:r w:rsidR="00584CA5" w:rsidRPr="0076582E">
        <w:t xml:space="preserve"> online, </w:t>
      </w:r>
      <w:r w:rsidR="006A2918" w:rsidRPr="0076582E">
        <w:t>with the proviso</w:t>
      </w:r>
      <w:r w:rsidR="00892B20" w:rsidRPr="0076582E">
        <w:t xml:space="preserve"> that </w:t>
      </w:r>
      <w:r w:rsidR="00A1656A" w:rsidRPr="0076582E">
        <w:t xml:space="preserve">online meetings do not </w:t>
      </w:r>
      <w:r w:rsidR="0076582E" w:rsidRPr="0076582E">
        <w:t>facilitate</w:t>
      </w:r>
      <w:r w:rsidR="00A1656A" w:rsidRPr="0076582E">
        <w:t xml:space="preserve"> intricate </w:t>
      </w:r>
      <w:r w:rsidR="00AF6DFC" w:rsidRPr="0076582E">
        <w:t>debate</w:t>
      </w:r>
      <w:r w:rsidR="00AF6DFC" w:rsidRPr="00F466F2">
        <w:t xml:space="preserve"> </w:t>
      </w:r>
      <w:r w:rsidR="006A2918">
        <w:t>or allow</w:t>
      </w:r>
      <w:r w:rsidR="00AF6DFC" w:rsidRPr="00F466F2">
        <w:t xml:space="preserve"> sensitive discussions to be conducted effectively.</w:t>
      </w:r>
    </w:p>
    <w:p w14:paraId="30E8B1E1" w14:textId="7A6E3BF3" w:rsidR="006A5453" w:rsidRPr="00F466F2" w:rsidRDefault="006A5453" w:rsidP="0032102F">
      <w:pPr>
        <w:pStyle w:val="Titletable"/>
        <w:spacing w:before="240"/>
        <w:rPr>
          <w:rFonts w:eastAsia="Aptos"/>
          <w:i/>
          <w:iCs/>
        </w:rPr>
      </w:pPr>
      <w:r w:rsidRPr="00F466F2">
        <w:rPr>
          <w:b w:val="0"/>
          <w:bCs w:val="0"/>
        </w:rPr>
        <w:t xml:space="preserve">Table </w:t>
      </w:r>
      <w:r w:rsidR="00185DA4" w:rsidRPr="00F466F2">
        <w:rPr>
          <w:b w:val="0"/>
          <w:bCs w:val="0"/>
        </w:rPr>
        <w:t>5</w:t>
      </w:r>
      <w:r w:rsidR="0083690E" w:rsidRPr="00F466F2">
        <w:rPr>
          <w:b w:val="0"/>
          <w:bCs w:val="0"/>
        </w:rPr>
        <w:t xml:space="preserve"> </w:t>
      </w:r>
      <w:r w:rsidR="00BF2557" w:rsidRPr="00F466F2">
        <w:br/>
      </w:r>
      <w:r w:rsidRPr="00F466F2">
        <w:t xml:space="preserve">Possible </w:t>
      </w:r>
      <w:r w:rsidR="00B25B55" w:rsidRPr="00F466F2">
        <w:t xml:space="preserve">assessment and replenishment </w:t>
      </w:r>
      <w:r w:rsidRPr="00F466F2">
        <w:t>work cycle for biennial M</w:t>
      </w:r>
      <w:r w:rsidR="00C37F4B" w:rsidRPr="00F466F2">
        <w:t xml:space="preserve">eetings of the </w:t>
      </w:r>
      <w:r w:rsidRPr="00F466F2">
        <w:t>P</w:t>
      </w:r>
      <w:r w:rsidR="00C37F4B" w:rsidRPr="00F466F2">
        <w:t>artie</w:t>
      </w:r>
      <w:r w:rsidRPr="00F466F2">
        <w:t>s</w:t>
      </w:r>
      <w:r w:rsidR="00C16B63" w:rsidRPr="00F466F2">
        <w:t xml:space="preserve"> </w:t>
      </w:r>
      <w:r w:rsidR="00CD79AF" w:rsidRPr="00F466F2">
        <w:t xml:space="preserve">– </w:t>
      </w:r>
      <w:r w:rsidR="00C16B63" w:rsidRPr="00F466F2">
        <w:t>s</w:t>
      </w:r>
      <w:r w:rsidR="00CD79AF" w:rsidRPr="00F466F2">
        <w:t>cenario</w:t>
      </w:r>
      <w:r w:rsidR="00EC577E">
        <w:t> </w:t>
      </w:r>
      <w:r w:rsidR="00CD79AF" w:rsidRPr="00F466F2">
        <w:t>C</w:t>
      </w:r>
    </w:p>
    <w:tbl>
      <w:tblPr>
        <w:tblStyle w:val="TableGrid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186"/>
        <w:gridCol w:w="1628"/>
        <w:gridCol w:w="1120"/>
        <w:gridCol w:w="1168"/>
        <w:gridCol w:w="18"/>
        <w:gridCol w:w="1251"/>
        <w:gridCol w:w="1563"/>
      </w:tblGrid>
      <w:tr w:rsidR="006A5453" w:rsidRPr="00A0242E" w14:paraId="61690C84" w14:textId="77777777" w:rsidTr="002D293C">
        <w:trPr>
          <w:trHeight w:val="57"/>
          <w:tblHeader/>
          <w:jc w:val="right"/>
        </w:trPr>
        <w:tc>
          <w:tcPr>
            <w:tcW w:w="1367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9FCDD60" w14:textId="38EFE521" w:rsidR="006A5453" w:rsidRPr="00A0242E" w:rsidRDefault="006377EB" w:rsidP="00395EE0">
            <w:pPr>
              <w:pStyle w:val="Normal-pool-Table"/>
              <w:rPr>
                <w:rFonts w:eastAsia="Aptos"/>
                <w:i/>
                <w:iCs/>
                <w:szCs w:val="18"/>
              </w:rPr>
            </w:pPr>
            <w:r w:rsidRPr="00A0242E">
              <w:rPr>
                <w:rFonts w:eastAsia="Aptos"/>
                <w:i/>
                <w:iCs/>
                <w:szCs w:val="18"/>
              </w:rPr>
              <w:t>Body/</w:t>
            </w:r>
            <w:r w:rsidR="00EF36D2" w:rsidRPr="00A0242E">
              <w:rPr>
                <w:rFonts w:eastAsia="Aptos"/>
                <w:i/>
                <w:iCs/>
                <w:szCs w:val="18"/>
              </w:rPr>
              <w:t>activity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4C5A782" w14:textId="77777777" w:rsidR="006A5453" w:rsidRPr="00A0242E" w:rsidRDefault="006A5453" w:rsidP="00395EE0">
            <w:pPr>
              <w:pStyle w:val="Normal-pool-Table"/>
              <w:rPr>
                <w:rFonts w:eastAsia="Aptos"/>
                <w:i/>
                <w:iCs/>
                <w:szCs w:val="18"/>
              </w:rPr>
            </w:pPr>
            <w:r w:rsidRPr="00A0242E">
              <w:rPr>
                <w:rFonts w:eastAsia="Aptos"/>
                <w:i/>
                <w:iCs/>
                <w:szCs w:val="18"/>
              </w:rPr>
              <w:t>2026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DB7F4D3" w14:textId="77777777" w:rsidR="006A5453" w:rsidRPr="00A0242E" w:rsidRDefault="006A5453" w:rsidP="00395EE0">
            <w:pPr>
              <w:pStyle w:val="Normal-pool-Table"/>
              <w:rPr>
                <w:rFonts w:eastAsia="Aptos"/>
                <w:i/>
                <w:iCs/>
                <w:szCs w:val="18"/>
              </w:rPr>
            </w:pPr>
            <w:r w:rsidRPr="00A0242E">
              <w:rPr>
                <w:rFonts w:eastAsia="Aptos"/>
                <w:i/>
                <w:iCs/>
                <w:szCs w:val="18"/>
              </w:rPr>
              <w:t>2027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5383140" w14:textId="77777777" w:rsidR="006A5453" w:rsidRPr="00A0242E" w:rsidRDefault="006A5453" w:rsidP="00395EE0">
            <w:pPr>
              <w:pStyle w:val="Normal-pool-Table"/>
              <w:rPr>
                <w:rFonts w:eastAsia="Aptos"/>
                <w:i/>
                <w:iCs/>
                <w:szCs w:val="18"/>
              </w:rPr>
            </w:pPr>
            <w:r w:rsidRPr="00A0242E">
              <w:rPr>
                <w:rFonts w:eastAsia="Aptos"/>
                <w:i/>
                <w:iCs/>
                <w:szCs w:val="18"/>
              </w:rPr>
              <w:t>2028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7C61B9E" w14:textId="77777777" w:rsidR="006A5453" w:rsidRPr="00A0242E" w:rsidRDefault="006A5453" w:rsidP="00395EE0">
            <w:pPr>
              <w:pStyle w:val="Normal-pool-Table"/>
              <w:rPr>
                <w:rFonts w:eastAsia="Aptos"/>
                <w:i/>
                <w:iCs/>
                <w:szCs w:val="18"/>
              </w:rPr>
            </w:pPr>
            <w:r w:rsidRPr="00A0242E">
              <w:rPr>
                <w:rFonts w:eastAsia="Aptos"/>
                <w:i/>
                <w:iCs/>
                <w:szCs w:val="18"/>
              </w:rPr>
              <w:t>2029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61E8585" w14:textId="77777777" w:rsidR="006A5453" w:rsidRPr="00A0242E" w:rsidRDefault="006A5453" w:rsidP="00395EE0">
            <w:pPr>
              <w:pStyle w:val="Normal-pool-Table"/>
              <w:rPr>
                <w:rFonts w:eastAsia="Aptos"/>
                <w:i/>
                <w:iCs/>
                <w:szCs w:val="18"/>
              </w:rPr>
            </w:pPr>
            <w:r w:rsidRPr="00A0242E">
              <w:rPr>
                <w:rFonts w:eastAsia="Aptos"/>
                <w:i/>
                <w:iCs/>
                <w:szCs w:val="18"/>
              </w:rPr>
              <w:t>2030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BF50260" w14:textId="77777777" w:rsidR="006A5453" w:rsidRPr="00A0242E" w:rsidRDefault="006A5453" w:rsidP="00395EE0">
            <w:pPr>
              <w:pStyle w:val="Normal-pool-Table"/>
              <w:rPr>
                <w:rFonts w:eastAsia="Aptos"/>
                <w:i/>
                <w:iCs/>
                <w:szCs w:val="18"/>
              </w:rPr>
            </w:pPr>
            <w:r w:rsidRPr="00A0242E">
              <w:rPr>
                <w:rFonts w:eastAsia="Aptos"/>
                <w:i/>
                <w:iCs/>
                <w:szCs w:val="18"/>
              </w:rPr>
              <w:t>2031</w:t>
            </w:r>
          </w:p>
        </w:tc>
      </w:tr>
      <w:tr w:rsidR="006A5453" w:rsidRPr="00A0242E" w14:paraId="61708CAE" w14:textId="77777777" w:rsidTr="002D293C">
        <w:trPr>
          <w:trHeight w:val="57"/>
          <w:jc w:val="right"/>
        </w:trPr>
        <w:tc>
          <w:tcPr>
            <w:tcW w:w="1367" w:type="dxa"/>
            <w:tcBorders>
              <w:top w:val="single" w:sz="12" w:space="0" w:color="auto"/>
              <w:bottom w:val="single" w:sz="4" w:space="0" w:color="auto"/>
            </w:tcBorders>
          </w:tcPr>
          <w:p w14:paraId="16121685" w14:textId="77777777" w:rsidR="006A5453" w:rsidRPr="00C910AB" w:rsidRDefault="006A5453" w:rsidP="00395EE0">
            <w:pPr>
              <w:pStyle w:val="Normal-pool-Table"/>
              <w:rPr>
                <w:rFonts w:eastAsia="Aptos"/>
                <w:b/>
                <w:bCs/>
                <w:szCs w:val="18"/>
              </w:rPr>
            </w:pPr>
            <w:r w:rsidRPr="00C910AB">
              <w:rPr>
                <w:rFonts w:eastAsia="Aptos"/>
                <w:b/>
                <w:bCs/>
                <w:szCs w:val="18"/>
              </w:rPr>
              <w:t>ORM</w:t>
            </w:r>
          </w:p>
        </w:tc>
        <w:tc>
          <w:tcPr>
            <w:tcW w:w="1037" w:type="dxa"/>
            <w:tcBorders>
              <w:top w:val="single" w:sz="12" w:space="0" w:color="auto"/>
              <w:bottom w:val="single" w:sz="4" w:space="0" w:color="auto"/>
            </w:tcBorders>
          </w:tcPr>
          <w:p w14:paraId="4EF6BBBD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4" w:space="0" w:color="auto"/>
            </w:tcBorders>
          </w:tcPr>
          <w:p w14:paraId="6A8D302D" w14:textId="2E59DFEB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r w:rsidRPr="00C910AB">
              <w:rPr>
                <w:rFonts w:eastAsia="Aptos"/>
                <w:szCs w:val="18"/>
              </w:rPr>
              <w:t>ORM13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4" w:space="0" w:color="auto"/>
            </w:tcBorders>
          </w:tcPr>
          <w:p w14:paraId="457E2B7A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</w:p>
        </w:tc>
        <w:tc>
          <w:tcPr>
            <w:tcW w:w="10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456CE33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single" w:sz="4" w:space="0" w:color="auto"/>
            </w:tcBorders>
          </w:tcPr>
          <w:p w14:paraId="61313D10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</w:p>
        </w:tc>
        <w:tc>
          <w:tcPr>
            <w:tcW w:w="1367" w:type="dxa"/>
            <w:tcBorders>
              <w:top w:val="single" w:sz="12" w:space="0" w:color="auto"/>
              <w:bottom w:val="single" w:sz="4" w:space="0" w:color="auto"/>
            </w:tcBorders>
          </w:tcPr>
          <w:p w14:paraId="3900740B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r w:rsidRPr="00C910AB">
              <w:rPr>
                <w:rFonts w:eastAsia="Aptos"/>
                <w:szCs w:val="18"/>
              </w:rPr>
              <w:t>ORM14</w:t>
            </w:r>
          </w:p>
        </w:tc>
      </w:tr>
      <w:tr w:rsidR="006A5453" w:rsidRPr="00A0242E" w14:paraId="25A96860" w14:textId="77777777" w:rsidTr="002D293C">
        <w:trPr>
          <w:trHeight w:val="57"/>
          <w:jc w:val="right"/>
        </w:trPr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35D1E260" w14:textId="77777777" w:rsidR="006A5453" w:rsidRPr="00C910AB" w:rsidRDefault="006A5453" w:rsidP="00395EE0">
            <w:pPr>
              <w:pStyle w:val="Normal-pool-Table"/>
              <w:rPr>
                <w:rFonts w:eastAsia="Aptos"/>
                <w:b/>
                <w:bCs/>
                <w:szCs w:val="18"/>
              </w:rPr>
            </w:pPr>
            <w:r w:rsidRPr="00C910AB">
              <w:rPr>
                <w:rFonts w:eastAsia="Aptos"/>
                <w:b/>
                <w:bCs/>
                <w:szCs w:val="18"/>
              </w:rPr>
              <w:t>OEWG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4FE65DAF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r w:rsidRPr="00C910AB">
              <w:rPr>
                <w:rFonts w:eastAsia="Aptos"/>
                <w:szCs w:val="18"/>
              </w:rPr>
              <w:t>OEWG48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53A4D020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r w:rsidRPr="00C910AB">
              <w:rPr>
                <w:rFonts w:eastAsia="Aptos"/>
                <w:szCs w:val="18"/>
              </w:rPr>
              <w:t>OEWG49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4D13563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r w:rsidRPr="00C910AB">
              <w:rPr>
                <w:rFonts w:eastAsia="Aptos"/>
                <w:szCs w:val="18"/>
              </w:rPr>
              <w:t>OEWG50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A0809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4B12F87E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r w:rsidRPr="00C910AB">
              <w:rPr>
                <w:rFonts w:eastAsia="Aptos"/>
                <w:szCs w:val="18"/>
              </w:rPr>
              <w:t>OEWG51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31D3CE98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</w:p>
        </w:tc>
      </w:tr>
      <w:tr w:rsidR="006A5453" w:rsidRPr="00A0242E" w14:paraId="70909F63" w14:textId="77777777" w:rsidTr="002D293C">
        <w:trPr>
          <w:trHeight w:val="57"/>
          <w:jc w:val="right"/>
        </w:trPr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6F15E577" w14:textId="62328E91" w:rsidR="006A5453" w:rsidRPr="00C910AB" w:rsidRDefault="006A5453" w:rsidP="00395EE0">
            <w:pPr>
              <w:pStyle w:val="Normal-pool-Table"/>
              <w:rPr>
                <w:rFonts w:eastAsia="Aptos"/>
                <w:b/>
                <w:bCs/>
                <w:szCs w:val="18"/>
              </w:rPr>
            </w:pPr>
            <w:r w:rsidRPr="00C910AB">
              <w:rPr>
                <w:rFonts w:eastAsia="Aptos"/>
                <w:b/>
                <w:bCs/>
                <w:szCs w:val="18"/>
              </w:rPr>
              <w:t>COP</w:t>
            </w:r>
            <w:r w:rsidR="00F77B5C" w:rsidRPr="00C910AB">
              <w:rPr>
                <w:rFonts w:eastAsia="Aptos"/>
                <w:b/>
                <w:bCs/>
                <w:szCs w:val="18"/>
              </w:rPr>
              <w:t>/</w:t>
            </w:r>
            <w:r w:rsidRPr="00C910AB">
              <w:rPr>
                <w:rFonts w:eastAsia="Aptos"/>
                <w:b/>
                <w:bCs/>
                <w:szCs w:val="18"/>
              </w:rPr>
              <w:t>MOP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36110815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r w:rsidRPr="00C910AB">
              <w:rPr>
                <w:rFonts w:eastAsia="Aptos"/>
                <w:szCs w:val="18"/>
              </w:rPr>
              <w:t>MOP38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466FDF3A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r w:rsidRPr="00C910AB">
              <w:rPr>
                <w:rFonts w:eastAsia="Aptos"/>
                <w:szCs w:val="18"/>
              </w:rPr>
              <w:t>COP14/MOP39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4CD3867E" w14:textId="4D6C6069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proofErr w:type="spellStart"/>
            <w:r w:rsidRPr="00C910AB">
              <w:rPr>
                <w:rFonts w:eastAsia="Aptos"/>
                <w:szCs w:val="18"/>
              </w:rPr>
              <w:t>ExMOP</w:t>
            </w:r>
            <w:proofErr w:type="spellEnd"/>
            <w:r w:rsidR="00871B96" w:rsidRPr="00C910AB">
              <w:rPr>
                <w:rFonts w:eastAsia="Aptos"/>
                <w:szCs w:val="18"/>
              </w:rPr>
              <w:t xml:space="preserve"> </w:t>
            </w:r>
            <w:r w:rsidR="00595BC6" w:rsidRPr="00C910AB">
              <w:rPr>
                <w:rFonts w:eastAsia="Aptos"/>
                <w:szCs w:val="18"/>
              </w:rPr>
              <w:br/>
            </w:r>
            <w:r w:rsidR="00822EB7" w:rsidRPr="00C910AB">
              <w:rPr>
                <w:rFonts w:eastAsia="Aptos"/>
                <w:szCs w:val="18"/>
              </w:rPr>
              <w:t>(as needed)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DB621E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r w:rsidRPr="00C910AB">
              <w:rPr>
                <w:rFonts w:eastAsia="Aptos"/>
                <w:szCs w:val="18"/>
              </w:rPr>
              <w:t>MOP40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20500AA4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39B50514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r w:rsidRPr="00C910AB">
              <w:rPr>
                <w:rFonts w:eastAsia="Aptos"/>
                <w:szCs w:val="18"/>
              </w:rPr>
              <w:t>COP15/MOP41</w:t>
            </w:r>
          </w:p>
        </w:tc>
      </w:tr>
      <w:tr w:rsidR="006A5453" w:rsidRPr="00A0242E" w14:paraId="7D3D4118" w14:textId="77777777" w:rsidTr="002D293C">
        <w:trPr>
          <w:trHeight w:val="57"/>
          <w:jc w:val="right"/>
        </w:trPr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1558A04F" w14:textId="77777777" w:rsidR="006A5453" w:rsidRPr="00C910AB" w:rsidRDefault="006A5453" w:rsidP="00395EE0">
            <w:pPr>
              <w:pStyle w:val="Normal-pool-Table"/>
              <w:rPr>
                <w:rFonts w:eastAsia="Aptos"/>
                <w:b/>
                <w:bCs/>
                <w:szCs w:val="18"/>
              </w:rPr>
            </w:pPr>
            <w:r w:rsidRPr="00C910AB">
              <w:rPr>
                <w:rFonts w:eastAsia="Aptos"/>
                <w:b/>
                <w:bCs/>
                <w:szCs w:val="18"/>
              </w:rPr>
              <w:t>Replenishment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040AC05C" w14:textId="28D11C51" w:rsidR="006A5453" w:rsidRPr="00360094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r w:rsidRPr="00360094">
              <w:rPr>
                <w:rFonts w:eastAsia="Aptos"/>
                <w:szCs w:val="18"/>
              </w:rPr>
              <w:t xml:space="preserve">Decision for </w:t>
            </w:r>
            <w:r w:rsidR="008B3F8E" w:rsidRPr="00C910AB">
              <w:rPr>
                <w:rFonts w:eastAsia="Aptos"/>
                <w:szCs w:val="18"/>
              </w:rPr>
              <w:br/>
            </w:r>
            <w:r w:rsidRPr="00360094">
              <w:rPr>
                <w:rFonts w:eastAsia="Aptos"/>
                <w:szCs w:val="18"/>
              </w:rPr>
              <w:t>2027</w:t>
            </w:r>
            <w:r w:rsidR="00ED1EAF" w:rsidRPr="00360094">
              <w:rPr>
                <w:rFonts w:eastAsia="Aptos"/>
                <w:szCs w:val="18"/>
              </w:rPr>
              <w:t>–</w:t>
            </w:r>
            <w:r w:rsidRPr="00360094">
              <w:rPr>
                <w:rFonts w:eastAsia="Aptos"/>
                <w:szCs w:val="18"/>
              </w:rPr>
              <w:t>2029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2B822BBE" w14:textId="77777777" w:rsidR="006A5453" w:rsidRPr="00360094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3BD4D2D8" w14:textId="28822727" w:rsidR="006A5453" w:rsidRPr="00360094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r w:rsidRPr="00360094">
              <w:rPr>
                <w:rFonts w:eastAsia="Aptos"/>
                <w:szCs w:val="18"/>
              </w:rPr>
              <w:t>TOR for study</w:t>
            </w:r>
            <w:r w:rsidR="00024B5E" w:rsidRPr="00360094">
              <w:rPr>
                <w:rFonts w:eastAsia="Aptos"/>
                <w:szCs w:val="18"/>
              </w:rPr>
              <w:t xml:space="preserve"> for 2030</w:t>
            </w:r>
            <w:r w:rsidR="00310134" w:rsidRPr="00C910AB">
              <w:rPr>
                <w:color w:val="000000"/>
                <w:szCs w:val="18"/>
              </w:rPr>
              <w:t>–</w:t>
            </w:r>
            <w:r w:rsidR="00024B5E" w:rsidRPr="00360094">
              <w:rPr>
                <w:rFonts w:eastAsia="Aptos"/>
                <w:szCs w:val="18"/>
              </w:rPr>
              <w:t>2033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411A25" w14:textId="2424CC61" w:rsidR="00087465" w:rsidRPr="00360094" w:rsidRDefault="00087465" w:rsidP="00395EE0">
            <w:pPr>
              <w:pStyle w:val="Normal-pool-Table"/>
              <w:rPr>
                <w:rFonts w:eastAsia="Aptos"/>
                <w:szCs w:val="18"/>
              </w:rPr>
            </w:pPr>
            <w:r w:rsidRPr="00360094">
              <w:rPr>
                <w:rFonts w:eastAsia="Aptos"/>
                <w:szCs w:val="18"/>
              </w:rPr>
              <w:t>Briefing m</w:t>
            </w:r>
            <w:r w:rsidR="00CD6C5E" w:rsidRPr="00360094">
              <w:rPr>
                <w:rFonts w:eastAsia="Aptos"/>
                <w:szCs w:val="18"/>
              </w:rPr>
              <w:t>eeting</w:t>
            </w:r>
            <w:r w:rsidRPr="00360094">
              <w:rPr>
                <w:rFonts w:eastAsia="Aptos"/>
                <w:szCs w:val="18"/>
              </w:rPr>
              <w:t xml:space="preserve"> on</w:t>
            </w:r>
            <w:r w:rsidR="00D07485" w:rsidRPr="00360094">
              <w:rPr>
                <w:rFonts w:eastAsia="Aptos"/>
                <w:szCs w:val="18"/>
              </w:rPr>
              <w:t xml:space="preserve"> study</w:t>
            </w:r>
          </w:p>
          <w:p w14:paraId="6EA9727F" w14:textId="2015393A" w:rsidR="006A5453" w:rsidRPr="00360094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r w:rsidRPr="00360094">
              <w:rPr>
                <w:rFonts w:eastAsia="Aptos"/>
                <w:szCs w:val="18"/>
              </w:rPr>
              <w:t xml:space="preserve">Decision for </w:t>
            </w:r>
            <w:r w:rsidR="00BF2557" w:rsidRPr="00360094">
              <w:rPr>
                <w:rFonts w:eastAsia="Aptos"/>
                <w:szCs w:val="18"/>
              </w:rPr>
              <w:br/>
            </w:r>
            <w:r w:rsidRPr="00360094">
              <w:rPr>
                <w:rFonts w:eastAsia="Aptos"/>
                <w:szCs w:val="18"/>
              </w:rPr>
              <w:t>2030</w:t>
            </w:r>
            <w:r w:rsidR="00ED1EAF" w:rsidRPr="00360094">
              <w:rPr>
                <w:rFonts w:eastAsia="Aptos"/>
                <w:szCs w:val="18"/>
              </w:rPr>
              <w:t>–</w:t>
            </w:r>
            <w:r w:rsidRPr="00360094">
              <w:rPr>
                <w:rFonts w:eastAsia="Aptos"/>
                <w:szCs w:val="18"/>
              </w:rPr>
              <w:t>2033</w:t>
            </w:r>
          </w:p>
          <w:p w14:paraId="759A5DA8" w14:textId="6C9C41DD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r w:rsidRPr="00360094">
              <w:rPr>
                <w:rFonts w:eastAsia="Aptos"/>
                <w:szCs w:val="18"/>
              </w:rPr>
              <w:t>(4</w:t>
            </w:r>
            <w:r w:rsidR="009A293C" w:rsidRPr="00360094">
              <w:rPr>
                <w:rFonts w:eastAsia="Aptos"/>
                <w:szCs w:val="18"/>
              </w:rPr>
              <w:t>-</w:t>
            </w:r>
            <w:r w:rsidRPr="00360094">
              <w:rPr>
                <w:rFonts w:eastAsia="Aptos"/>
                <w:szCs w:val="18"/>
              </w:rPr>
              <w:t>y</w:t>
            </w:r>
            <w:r w:rsidR="009A293C" w:rsidRPr="00360094">
              <w:rPr>
                <w:rFonts w:eastAsia="Aptos"/>
                <w:szCs w:val="18"/>
              </w:rPr>
              <w:t>ea</w:t>
            </w:r>
            <w:r w:rsidRPr="00360094">
              <w:rPr>
                <w:rFonts w:eastAsia="Aptos"/>
                <w:szCs w:val="18"/>
              </w:rPr>
              <w:t>r cycle starts)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3E07E90C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5084444E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</w:p>
        </w:tc>
      </w:tr>
      <w:tr w:rsidR="006A5453" w:rsidRPr="00A0242E" w14:paraId="1B4187F0" w14:textId="77777777" w:rsidTr="002D293C">
        <w:trPr>
          <w:trHeight w:val="57"/>
          <w:jc w:val="right"/>
        </w:trPr>
        <w:tc>
          <w:tcPr>
            <w:tcW w:w="1367" w:type="dxa"/>
            <w:tcBorders>
              <w:top w:val="single" w:sz="4" w:space="0" w:color="auto"/>
              <w:bottom w:val="single" w:sz="12" w:space="0" w:color="auto"/>
            </w:tcBorders>
          </w:tcPr>
          <w:p w14:paraId="31F730FA" w14:textId="77777777" w:rsidR="006A5453" w:rsidRPr="00C910AB" w:rsidRDefault="006A5453" w:rsidP="00395EE0">
            <w:pPr>
              <w:pStyle w:val="Normal-pool-Table"/>
              <w:rPr>
                <w:rFonts w:eastAsia="Aptos"/>
                <w:b/>
                <w:bCs/>
                <w:szCs w:val="18"/>
              </w:rPr>
            </w:pPr>
            <w:r w:rsidRPr="00C910AB">
              <w:rPr>
                <w:rFonts w:eastAsia="Aptos"/>
                <w:b/>
                <w:bCs/>
                <w:szCs w:val="18"/>
              </w:rPr>
              <w:t>Assessment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12" w:space="0" w:color="auto"/>
            </w:tcBorders>
          </w:tcPr>
          <w:p w14:paraId="731EB904" w14:textId="4D3A9AD4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r w:rsidRPr="00C910AB">
              <w:rPr>
                <w:rFonts w:eastAsia="Aptos"/>
                <w:szCs w:val="18"/>
              </w:rPr>
              <w:t>Annual progress report</w:t>
            </w:r>
            <w:r w:rsidR="001110EB" w:rsidRPr="00C910AB">
              <w:rPr>
                <w:rFonts w:eastAsia="Aptos"/>
                <w:szCs w:val="18"/>
              </w:rPr>
              <w:t>s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12" w:space="0" w:color="auto"/>
            </w:tcBorders>
          </w:tcPr>
          <w:p w14:paraId="083F65B9" w14:textId="29894F5A" w:rsidR="006A5453" w:rsidRPr="00C910AB" w:rsidRDefault="00C77653" w:rsidP="00395EE0">
            <w:pPr>
              <w:pStyle w:val="Normal-pool-Table"/>
              <w:rPr>
                <w:rFonts w:eastAsia="Aptos"/>
                <w:szCs w:val="18"/>
              </w:rPr>
            </w:pPr>
            <w:r w:rsidRPr="00C910AB">
              <w:rPr>
                <w:rFonts w:eastAsia="Aptos"/>
                <w:szCs w:val="18"/>
              </w:rPr>
              <w:t xml:space="preserve">Presentation of </w:t>
            </w:r>
            <w:r w:rsidR="006A5453" w:rsidRPr="00C910AB">
              <w:rPr>
                <w:rFonts w:eastAsia="Aptos"/>
                <w:szCs w:val="18"/>
              </w:rPr>
              <w:t>2026 quad</w:t>
            </w:r>
            <w:r w:rsidR="00ED0083" w:rsidRPr="00C910AB">
              <w:rPr>
                <w:rFonts w:eastAsia="Aptos"/>
                <w:szCs w:val="18"/>
              </w:rPr>
              <w:t>rennial</w:t>
            </w:r>
            <w:r w:rsidR="006A5453" w:rsidRPr="00C910AB">
              <w:rPr>
                <w:rFonts w:eastAsia="Aptos"/>
                <w:szCs w:val="18"/>
              </w:rPr>
              <w:t xml:space="preserve"> and synthesis rep</w:t>
            </w:r>
            <w:r w:rsidR="005F6629" w:rsidRPr="00C910AB">
              <w:rPr>
                <w:rFonts w:eastAsia="Aptos"/>
                <w:szCs w:val="18"/>
              </w:rPr>
              <w:t xml:space="preserve">orts </w:t>
            </w:r>
          </w:p>
          <w:p w14:paraId="0AC5D0DF" w14:textId="5D7AC89E" w:rsidR="003E7A9A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r w:rsidRPr="00C910AB">
              <w:rPr>
                <w:rFonts w:eastAsia="Aptos"/>
                <w:szCs w:val="18"/>
              </w:rPr>
              <w:t>TOR for next assessment</w:t>
            </w:r>
          </w:p>
          <w:p w14:paraId="032E124C" w14:textId="19FED931" w:rsidR="006A5453" w:rsidRPr="00C910AB" w:rsidRDefault="003E7A9A" w:rsidP="00395EE0">
            <w:pPr>
              <w:pStyle w:val="Normal-pool-Table"/>
              <w:rPr>
                <w:rFonts w:eastAsia="Aptos"/>
                <w:szCs w:val="18"/>
              </w:rPr>
            </w:pPr>
            <w:r w:rsidRPr="00C910AB">
              <w:rPr>
                <w:rFonts w:eastAsia="Aptos"/>
                <w:szCs w:val="18"/>
              </w:rPr>
              <w:t>[</w:t>
            </w:r>
            <w:r w:rsidR="00AC5BAF" w:rsidRPr="00C910AB">
              <w:rPr>
                <w:rFonts w:eastAsia="Aptos"/>
                <w:szCs w:val="18"/>
              </w:rPr>
              <w:t xml:space="preserve">Annual </w:t>
            </w:r>
            <w:r w:rsidR="00274F96" w:rsidRPr="00C910AB">
              <w:rPr>
                <w:rFonts w:eastAsia="Aptos"/>
                <w:szCs w:val="18"/>
              </w:rPr>
              <w:t>p</w:t>
            </w:r>
            <w:r w:rsidRPr="00C910AB">
              <w:rPr>
                <w:rFonts w:eastAsia="Aptos"/>
                <w:szCs w:val="18"/>
              </w:rPr>
              <w:t>rogress report</w:t>
            </w:r>
            <w:r w:rsidR="00AC45B0" w:rsidRPr="00C910AB">
              <w:rPr>
                <w:rFonts w:eastAsia="Aptos"/>
                <w:szCs w:val="18"/>
              </w:rPr>
              <w:t>s</w:t>
            </w:r>
            <w:r w:rsidR="00D82FE9" w:rsidRPr="00C910AB">
              <w:rPr>
                <w:rFonts w:eastAsia="Aptos"/>
                <w:szCs w:val="18"/>
              </w:rPr>
              <w:t>]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12" w:space="0" w:color="auto"/>
            </w:tcBorders>
          </w:tcPr>
          <w:p w14:paraId="1980A7E8" w14:textId="5E092371" w:rsidR="006A5453" w:rsidRPr="00C910AB" w:rsidRDefault="00387AD8" w:rsidP="00395EE0">
            <w:pPr>
              <w:pStyle w:val="Normal-pool-Table"/>
              <w:rPr>
                <w:rFonts w:eastAsia="Aptos"/>
                <w:szCs w:val="18"/>
              </w:rPr>
            </w:pPr>
            <w:r w:rsidRPr="00C910AB">
              <w:rPr>
                <w:rFonts w:eastAsia="Aptos"/>
                <w:szCs w:val="18"/>
              </w:rPr>
              <w:t>[</w:t>
            </w:r>
            <w:r w:rsidR="007F217E" w:rsidRPr="00C910AB">
              <w:rPr>
                <w:rFonts w:eastAsia="Aptos"/>
                <w:szCs w:val="18"/>
              </w:rPr>
              <w:t>P</w:t>
            </w:r>
            <w:r w:rsidR="006A5453" w:rsidRPr="00C910AB">
              <w:rPr>
                <w:rFonts w:eastAsia="Aptos"/>
                <w:szCs w:val="18"/>
              </w:rPr>
              <w:t>rogress reports</w:t>
            </w:r>
            <w:r w:rsidRPr="00C910AB">
              <w:rPr>
                <w:rFonts w:eastAsia="Aptos"/>
                <w:szCs w:val="18"/>
              </w:rPr>
              <w:t>]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7B62EE5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12" w:space="0" w:color="auto"/>
            </w:tcBorders>
          </w:tcPr>
          <w:p w14:paraId="23320034" w14:textId="7373CE00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r w:rsidRPr="00C910AB">
              <w:rPr>
                <w:rFonts w:eastAsia="Aptos"/>
                <w:szCs w:val="18"/>
              </w:rPr>
              <w:t>Finaliz</w:t>
            </w:r>
            <w:r w:rsidR="00942405" w:rsidRPr="00C910AB">
              <w:rPr>
                <w:rFonts w:eastAsia="Aptos"/>
                <w:szCs w:val="18"/>
              </w:rPr>
              <w:t>ation</w:t>
            </w:r>
            <w:r w:rsidRPr="00C910AB">
              <w:rPr>
                <w:rFonts w:eastAsia="Aptos"/>
                <w:szCs w:val="18"/>
              </w:rPr>
              <w:t xml:space="preserve"> </w:t>
            </w:r>
            <w:r w:rsidR="00942405" w:rsidRPr="00C910AB">
              <w:rPr>
                <w:rFonts w:eastAsia="Aptos"/>
                <w:szCs w:val="18"/>
              </w:rPr>
              <w:t xml:space="preserve">of </w:t>
            </w:r>
            <w:r w:rsidRPr="00C910AB">
              <w:rPr>
                <w:rFonts w:eastAsia="Aptos"/>
                <w:szCs w:val="18"/>
              </w:rPr>
              <w:t>2030 assessment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12" w:space="0" w:color="auto"/>
            </w:tcBorders>
          </w:tcPr>
          <w:p w14:paraId="0A88168C" w14:textId="728AACDF" w:rsidR="006A5453" w:rsidRPr="00C910AB" w:rsidRDefault="00C77653" w:rsidP="00395EE0">
            <w:pPr>
              <w:pStyle w:val="Normal-pool-Table"/>
              <w:rPr>
                <w:rFonts w:eastAsia="Aptos"/>
                <w:szCs w:val="18"/>
              </w:rPr>
            </w:pPr>
            <w:r w:rsidRPr="00C910AB">
              <w:rPr>
                <w:rFonts w:eastAsia="Aptos"/>
                <w:szCs w:val="18"/>
              </w:rPr>
              <w:t xml:space="preserve">Presentation of </w:t>
            </w:r>
            <w:r w:rsidR="006A5453" w:rsidRPr="00C910AB">
              <w:rPr>
                <w:rFonts w:eastAsia="Aptos"/>
                <w:szCs w:val="18"/>
              </w:rPr>
              <w:t>2030 quad</w:t>
            </w:r>
            <w:r w:rsidR="005F6629" w:rsidRPr="00C910AB">
              <w:rPr>
                <w:rFonts w:eastAsia="Aptos"/>
                <w:szCs w:val="18"/>
              </w:rPr>
              <w:t>rennial</w:t>
            </w:r>
            <w:r w:rsidR="006A5453" w:rsidRPr="00C910AB">
              <w:rPr>
                <w:rFonts w:eastAsia="Aptos"/>
                <w:szCs w:val="18"/>
              </w:rPr>
              <w:t xml:space="preserve"> and synthesis rep</w:t>
            </w:r>
            <w:r w:rsidR="005F6629" w:rsidRPr="00C910AB">
              <w:rPr>
                <w:rFonts w:eastAsia="Aptos"/>
                <w:szCs w:val="18"/>
              </w:rPr>
              <w:t>orts</w:t>
            </w:r>
          </w:p>
          <w:p w14:paraId="21D59F00" w14:textId="77777777" w:rsidR="006A5453" w:rsidRPr="00C910AB" w:rsidRDefault="006A5453" w:rsidP="00395EE0">
            <w:pPr>
              <w:pStyle w:val="Normal-pool-Table"/>
              <w:rPr>
                <w:rFonts w:eastAsia="Aptos"/>
                <w:szCs w:val="18"/>
              </w:rPr>
            </w:pPr>
            <w:r w:rsidRPr="00C910AB">
              <w:rPr>
                <w:rFonts w:eastAsia="Aptos"/>
                <w:szCs w:val="18"/>
              </w:rPr>
              <w:t>TOR for next assessment</w:t>
            </w:r>
          </w:p>
        </w:tc>
      </w:tr>
    </w:tbl>
    <w:p w14:paraId="3C08B9DC" w14:textId="495A48E8" w:rsidR="006A5453" w:rsidRPr="00EC577E" w:rsidRDefault="006120F7" w:rsidP="00DF251F">
      <w:pPr>
        <w:pStyle w:val="Normal-pool"/>
        <w:tabs>
          <w:tab w:val="clear" w:pos="624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1814"/>
          <w:tab w:val="left" w:pos="2381"/>
          <w:tab w:val="left" w:pos="2948"/>
          <w:tab w:val="left" w:pos="3515"/>
          <w:tab w:val="left" w:pos="4082"/>
        </w:tabs>
        <w:spacing w:before="60"/>
        <w:ind w:left="1247"/>
        <w:rPr>
          <w:sz w:val="17"/>
          <w:szCs w:val="17"/>
        </w:rPr>
      </w:pPr>
      <w:r w:rsidRPr="00EC577E">
        <w:rPr>
          <w:rFonts w:eastAsia="Aptos"/>
          <w:i/>
          <w:iCs/>
          <w:sz w:val="17"/>
          <w:szCs w:val="17"/>
        </w:rPr>
        <w:tab/>
      </w:r>
      <w:r w:rsidR="006A5453" w:rsidRPr="00EC577E">
        <w:rPr>
          <w:i/>
          <w:iCs/>
          <w:sz w:val="17"/>
          <w:szCs w:val="17"/>
        </w:rPr>
        <w:t>Note</w:t>
      </w:r>
      <w:r w:rsidR="006A5453" w:rsidRPr="00EC577E">
        <w:rPr>
          <w:sz w:val="17"/>
          <w:szCs w:val="17"/>
        </w:rPr>
        <w:t xml:space="preserve">: </w:t>
      </w:r>
      <w:r w:rsidR="00A468A9" w:rsidRPr="00EC577E">
        <w:rPr>
          <w:sz w:val="17"/>
          <w:szCs w:val="17"/>
        </w:rPr>
        <w:t>When decisions need to be taken, i</w:t>
      </w:r>
      <w:r w:rsidR="00D866AF" w:rsidRPr="00EC577E">
        <w:rPr>
          <w:sz w:val="17"/>
          <w:szCs w:val="17"/>
        </w:rPr>
        <w:t>t may be necessary to organize a</w:t>
      </w:r>
      <w:r w:rsidR="00F272D9" w:rsidRPr="00EC577E">
        <w:rPr>
          <w:sz w:val="17"/>
          <w:szCs w:val="17"/>
        </w:rPr>
        <w:t xml:space="preserve"> half-day</w:t>
      </w:r>
      <w:r w:rsidR="006A5453" w:rsidRPr="00EC577E">
        <w:rPr>
          <w:sz w:val="17"/>
          <w:szCs w:val="17"/>
        </w:rPr>
        <w:t xml:space="preserve"> or one-day </w:t>
      </w:r>
      <w:r w:rsidR="008648AD" w:rsidRPr="00EC577E">
        <w:rPr>
          <w:sz w:val="17"/>
          <w:szCs w:val="17"/>
        </w:rPr>
        <w:t>extraordinary Meeting of the Parties</w:t>
      </w:r>
      <w:r w:rsidR="006A5453" w:rsidRPr="00EC577E">
        <w:rPr>
          <w:sz w:val="17"/>
          <w:szCs w:val="17"/>
        </w:rPr>
        <w:t xml:space="preserve"> </w:t>
      </w:r>
      <w:r w:rsidR="00EA543E" w:rsidRPr="00EC577E">
        <w:rPr>
          <w:sz w:val="17"/>
          <w:szCs w:val="17"/>
        </w:rPr>
        <w:t>between ordinary Meetings of the Parties</w:t>
      </w:r>
      <w:r w:rsidR="006A5453" w:rsidRPr="00EC577E">
        <w:rPr>
          <w:sz w:val="17"/>
          <w:szCs w:val="17"/>
        </w:rPr>
        <w:t xml:space="preserve">, preferably in conjunction with </w:t>
      </w:r>
      <w:r w:rsidR="00C370CD" w:rsidRPr="00EC577E">
        <w:rPr>
          <w:sz w:val="17"/>
          <w:szCs w:val="17"/>
        </w:rPr>
        <w:t xml:space="preserve">a meeting of the </w:t>
      </w:r>
      <w:r w:rsidR="00152497">
        <w:rPr>
          <w:sz w:val="17"/>
          <w:szCs w:val="17"/>
        </w:rPr>
        <w:t>Open</w:t>
      </w:r>
      <w:r w:rsidR="00152497">
        <w:rPr>
          <w:sz w:val="17"/>
          <w:szCs w:val="17"/>
        </w:rPr>
        <w:noBreakHyphen/>
      </w:r>
      <w:r w:rsidR="00C370CD" w:rsidRPr="00EC577E">
        <w:rPr>
          <w:sz w:val="17"/>
          <w:szCs w:val="17"/>
        </w:rPr>
        <w:t>ended Working Group</w:t>
      </w:r>
      <w:r w:rsidR="00A468A9" w:rsidRPr="00EC577E">
        <w:rPr>
          <w:sz w:val="17"/>
          <w:szCs w:val="17"/>
        </w:rPr>
        <w:t>. I</w:t>
      </w:r>
      <w:r w:rsidR="006A5453" w:rsidRPr="00EC577E">
        <w:rPr>
          <w:sz w:val="17"/>
          <w:szCs w:val="17"/>
        </w:rPr>
        <w:t>n 2028</w:t>
      </w:r>
      <w:r w:rsidR="00E0605F" w:rsidRPr="00EC577E">
        <w:rPr>
          <w:sz w:val="17"/>
          <w:szCs w:val="17"/>
        </w:rPr>
        <w:t>, for example,</w:t>
      </w:r>
      <w:r w:rsidR="006A5453" w:rsidRPr="00EC577E">
        <w:rPr>
          <w:sz w:val="17"/>
          <w:szCs w:val="17"/>
        </w:rPr>
        <w:t xml:space="preserve"> </w:t>
      </w:r>
      <w:r w:rsidR="00A92F3D" w:rsidRPr="00EC577E">
        <w:rPr>
          <w:sz w:val="17"/>
          <w:szCs w:val="17"/>
        </w:rPr>
        <w:t xml:space="preserve">it </w:t>
      </w:r>
      <w:r w:rsidR="005776E3" w:rsidRPr="00EC577E">
        <w:rPr>
          <w:sz w:val="17"/>
          <w:szCs w:val="17"/>
        </w:rPr>
        <w:t>may</w:t>
      </w:r>
      <w:r w:rsidR="00A92F3D" w:rsidRPr="00EC577E">
        <w:rPr>
          <w:sz w:val="17"/>
          <w:szCs w:val="17"/>
        </w:rPr>
        <w:t xml:space="preserve"> be necessary</w:t>
      </w:r>
      <w:r w:rsidR="008648AD" w:rsidRPr="00EC577E">
        <w:rPr>
          <w:sz w:val="17"/>
          <w:szCs w:val="17"/>
        </w:rPr>
        <w:t xml:space="preserve"> to</w:t>
      </w:r>
      <w:r w:rsidR="006A5453" w:rsidRPr="00EC577E">
        <w:rPr>
          <w:sz w:val="17"/>
          <w:szCs w:val="17"/>
        </w:rPr>
        <w:t xml:space="preserve"> decid</w:t>
      </w:r>
      <w:r w:rsidR="008648AD" w:rsidRPr="00EC577E">
        <w:rPr>
          <w:sz w:val="17"/>
          <w:szCs w:val="17"/>
        </w:rPr>
        <w:t>e</w:t>
      </w:r>
      <w:r w:rsidR="006A5453" w:rsidRPr="00EC577E">
        <w:rPr>
          <w:sz w:val="17"/>
          <w:szCs w:val="17"/>
        </w:rPr>
        <w:t xml:space="preserve"> on the </w:t>
      </w:r>
      <w:r w:rsidR="008648AD" w:rsidRPr="00EC577E">
        <w:rPr>
          <w:sz w:val="17"/>
          <w:szCs w:val="17"/>
        </w:rPr>
        <w:t>terms of reference</w:t>
      </w:r>
      <w:r w:rsidR="006A5453" w:rsidRPr="00EC577E">
        <w:rPr>
          <w:sz w:val="17"/>
          <w:szCs w:val="17"/>
        </w:rPr>
        <w:t xml:space="preserve"> for the next quadrennial assessment. </w:t>
      </w:r>
    </w:p>
    <w:p w14:paraId="353590D2" w14:textId="067746EF" w:rsidR="002231F7" w:rsidRPr="00EC577E" w:rsidRDefault="0062622F" w:rsidP="00DF251F">
      <w:pPr>
        <w:pStyle w:val="Normal-pool"/>
        <w:tabs>
          <w:tab w:val="clear" w:pos="624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1814"/>
          <w:tab w:val="left" w:pos="2381"/>
          <w:tab w:val="left" w:pos="2948"/>
          <w:tab w:val="left" w:pos="3515"/>
          <w:tab w:val="left" w:pos="4082"/>
        </w:tabs>
        <w:spacing w:before="60"/>
        <w:ind w:left="1247"/>
        <w:rPr>
          <w:bCs/>
          <w:sz w:val="17"/>
          <w:szCs w:val="17"/>
        </w:rPr>
      </w:pPr>
      <w:r w:rsidRPr="00EC577E">
        <w:rPr>
          <w:sz w:val="17"/>
          <w:szCs w:val="17"/>
        </w:rPr>
        <w:tab/>
      </w:r>
      <w:r w:rsidR="002231F7" w:rsidRPr="00EC577E">
        <w:rPr>
          <w:i/>
          <w:iCs/>
          <w:sz w:val="17"/>
          <w:szCs w:val="17"/>
        </w:rPr>
        <w:t>Abbreviations</w:t>
      </w:r>
      <w:r w:rsidR="002231F7" w:rsidRPr="00EC577E">
        <w:rPr>
          <w:sz w:val="17"/>
          <w:szCs w:val="17"/>
        </w:rPr>
        <w:t>:</w:t>
      </w:r>
      <w:r w:rsidR="00421267" w:rsidRPr="00EC577E">
        <w:rPr>
          <w:sz w:val="17"/>
          <w:szCs w:val="17"/>
        </w:rPr>
        <w:t xml:space="preserve"> COP – Conference of the Parties; </w:t>
      </w:r>
      <w:proofErr w:type="spellStart"/>
      <w:r w:rsidR="00ED1EAF" w:rsidRPr="00EC577E">
        <w:rPr>
          <w:sz w:val="17"/>
          <w:szCs w:val="17"/>
        </w:rPr>
        <w:t>ExMOP</w:t>
      </w:r>
      <w:proofErr w:type="spellEnd"/>
      <w:r w:rsidR="00ED1EAF" w:rsidRPr="00EC577E">
        <w:rPr>
          <w:sz w:val="17"/>
          <w:szCs w:val="17"/>
        </w:rPr>
        <w:t xml:space="preserve"> – Extraordinary Meeting of the Parties; </w:t>
      </w:r>
      <w:r w:rsidR="002231F7" w:rsidRPr="00EC577E">
        <w:rPr>
          <w:sz w:val="17"/>
          <w:szCs w:val="17"/>
        </w:rPr>
        <w:t xml:space="preserve">MOP – Meeting of the Parties; </w:t>
      </w:r>
      <w:r w:rsidR="003B0BE8" w:rsidRPr="00EC577E">
        <w:rPr>
          <w:sz w:val="17"/>
          <w:szCs w:val="17"/>
        </w:rPr>
        <w:t>OEWG</w:t>
      </w:r>
      <w:r w:rsidR="003B0BE8" w:rsidRPr="00EC577E">
        <w:rPr>
          <w:bCs/>
          <w:sz w:val="17"/>
          <w:szCs w:val="17"/>
        </w:rPr>
        <w:t xml:space="preserve"> – Open-ended Working Group; ORM – Ozone Research Managers; </w:t>
      </w:r>
      <w:r w:rsidR="00D84F82" w:rsidRPr="00EC577E">
        <w:rPr>
          <w:bCs/>
          <w:sz w:val="17"/>
          <w:szCs w:val="17"/>
        </w:rPr>
        <w:t xml:space="preserve">TOR </w:t>
      </w:r>
      <w:r w:rsidR="009D1ED7" w:rsidRPr="00EC577E">
        <w:rPr>
          <w:bCs/>
          <w:sz w:val="17"/>
          <w:szCs w:val="17"/>
        </w:rPr>
        <w:t>–</w:t>
      </w:r>
      <w:r w:rsidR="00D84F82" w:rsidRPr="00EC577E">
        <w:rPr>
          <w:bCs/>
          <w:sz w:val="17"/>
          <w:szCs w:val="17"/>
        </w:rPr>
        <w:t xml:space="preserve"> </w:t>
      </w:r>
      <w:r w:rsidR="009D1ED7" w:rsidRPr="00EC577E">
        <w:rPr>
          <w:bCs/>
          <w:sz w:val="17"/>
          <w:szCs w:val="17"/>
        </w:rPr>
        <w:t xml:space="preserve">terms of reference. </w:t>
      </w:r>
    </w:p>
    <w:p w14:paraId="208A6019" w14:textId="40537924" w:rsidR="00892332" w:rsidRPr="00F466F2" w:rsidRDefault="00892332" w:rsidP="002D293C">
      <w:pPr>
        <w:pStyle w:val="Titletable"/>
        <w:spacing w:before="240" w:after="120"/>
      </w:pPr>
      <w:r w:rsidRPr="00F466F2">
        <w:rPr>
          <w:b w:val="0"/>
          <w:bCs w:val="0"/>
        </w:rPr>
        <w:lastRenderedPageBreak/>
        <w:t xml:space="preserve">Table </w:t>
      </w:r>
      <w:r w:rsidR="00C25F55" w:rsidRPr="00F466F2">
        <w:rPr>
          <w:b w:val="0"/>
          <w:bCs w:val="0"/>
        </w:rPr>
        <w:t>6</w:t>
      </w:r>
      <w:r w:rsidR="00962CF7" w:rsidRPr="00F466F2">
        <w:rPr>
          <w:b w:val="0"/>
          <w:bCs w:val="0"/>
        </w:rPr>
        <w:t xml:space="preserve"> </w:t>
      </w:r>
      <w:r w:rsidRPr="00F466F2">
        <w:rPr>
          <w:b w:val="0"/>
          <w:bCs w:val="0"/>
        </w:rPr>
        <w:br/>
      </w:r>
      <w:r w:rsidR="00CF40B2" w:rsidRPr="00F466F2">
        <w:t>Further summary of the expected number of meetings of the assessment panels from 2027 to 2031 under scenario C and associated cost estimates</w:t>
      </w:r>
    </w:p>
    <w:tbl>
      <w:tblPr>
        <w:tblStyle w:val="TableGrid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2089"/>
        <w:gridCol w:w="2447"/>
        <w:gridCol w:w="1984"/>
      </w:tblGrid>
      <w:tr w:rsidR="00962CF7" w:rsidRPr="00F466F2" w14:paraId="74F6C9CA" w14:textId="77777777" w:rsidTr="00F4676A">
        <w:trPr>
          <w:trHeight w:val="57"/>
          <w:tblHeader/>
          <w:jc w:val="right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96DD735" w14:textId="77777777" w:rsidR="00962CF7" w:rsidRPr="00F466F2" w:rsidRDefault="00962CF7" w:rsidP="002D293C">
            <w:pPr>
              <w:pStyle w:val="Normal-pool-Table"/>
              <w:keepNext/>
              <w:keepLines/>
              <w:rPr>
                <w:rFonts w:eastAsia="Aptos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5E60544" w14:textId="77777777" w:rsidR="00962CF7" w:rsidRPr="004168A3" w:rsidRDefault="00962CF7" w:rsidP="002D293C">
            <w:pPr>
              <w:pStyle w:val="Normal-pool-Table"/>
              <w:keepNext/>
              <w:keepLines/>
              <w:rPr>
                <w:rFonts w:eastAsia="Aptos"/>
                <w:i/>
                <w:iCs/>
              </w:rPr>
            </w:pPr>
            <w:r w:rsidRPr="004168A3">
              <w:rPr>
                <w:rFonts w:eastAsia="Aptos"/>
                <w:i/>
                <w:iCs/>
              </w:rPr>
              <w:t>Meetings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464C297" w14:textId="0C060140" w:rsidR="00962CF7" w:rsidRPr="004168A3" w:rsidRDefault="00962CF7" w:rsidP="00F4676A">
            <w:pPr>
              <w:pStyle w:val="Normal-pool-Table"/>
              <w:keepNext/>
              <w:keepLines/>
              <w:jc w:val="right"/>
              <w:rPr>
                <w:rFonts w:eastAsia="Aptos"/>
                <w:i/>
                <w:iCs/>
              </w:rPr>
            </w:pPr>
            <w:r w:rsidRPr="004168A3">
              <w:rPr>
                <w:rFonts w:eastAsia="Aptos"/>
                <w:i/>
                <w:iCs/>
              </w:rPr>
              <w:t xml:space="preserve">Estimated costs of meetings (excludes OEWG </w:t>
            </w:r>
            <w:r w:rsidR="00310134" w:rsidRPr="004168A3">
              <w:rPr>
                <w:rFonts w:eastAsia="Aptos"/>
                <w:i/>
                <w:iCs/>
              </w:rPr>
              <w:t>and</w:t>
            </w:r>
            <w:r w:rsidRPr="004168A3">
              <w:rPr>
                <w:rFonts w:eastAsia="Aptos"/>
                <w:i/>
                <w:iCs/>
              </w:rPr>
              <w:t xml:space="preserve"> COP/MOP)</w:t>
            </w:r>
            <w:r w:rsidR="00310134" w:rsidRPr="004168A3">
              <w:rPr>
                <w:rFonts w:eastAsia="Aptos"/>
                <w:i/>
                <w:iCs/>
              </w:rPr>
              <w:t xml:space="preserve"> (in United States dollars)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88A003C" w14:textId="0633C705" w:rsidR="00962CF7" w:rsidRPr="004168A3" w:rsidRDefault="00962CF7" w:rsidP="00F4676A">
            <w:pPr>
              <w:pStyle w:val="Normal-pool-Table"/>
              <w:keepNext/>
              <w:keepLines/>
              <w:jc w:val="right"/>
              <w:rPr>
                <w:rFonts w:eastAsia="Aptos"/>
                <w:i/>
                <w:iCs/>
              </w:rPr>
            </w:pPr>
            <w:r w:rsidRPr="004168A3">
              <w:rPr>
                <w:rFonts w:eastAsia="Aptos"/>
                <w:i/>
                <w:iCs/>
              </w:rPr>
              <w:t>Estimated n</w:t>
            </w:r>
            <w:r w:rsidR="00310134" w:rsidRPr="004168A3">
              <w:rPr>
                <w:rFonts w:eastAsia="Aptos"/>
                <w:i/>
                <w:iCs/>
              </w:rPr>
              <w:t>umber</w:t>
            </w:r>
            <w:r w:rsidRPr="004168A3">
              <w:rPr>
                <w:rFonts w:eastAsia="Aptos"/>
                <w:i/>
                <w:iCs/>
              </w:rPr>
              <w:t xml:space="preserve"> of </w:t>
            </w:r>
            <w:r w:rsidR="00F13099" w:rsidRPr="004168A3">
              <w:rPr>
                <w:rFonts w:eastAsia="Aptos"/>
                <w:i/>
                <w:iCs/>
              </w:rPr>
              <w:t>co</w:t>
            </w:r>
            <w:r w:rsidR="00F13099" w:rsidRPr="004168A3">
              <w:rPr>
                <w:rFonts w:eastAsia="Aptos"/>
                <w:i/>
                <w:iCs/>
              </w:rPr>
              <w:noBreakHyphen/>
            </w:r>
            <w:r w:rsidRPr="004168A3">
              <w:rPr>
                <w:rFonts w:eastAsia="Aptos"/>
                <w:i/>
                <w:iCs/>
              </w:rPr>
              <w:t xml:space="preserve">chairs and experts </w:t>
            </w:r>
            <w:r w:rsidR="00CE695F" w:rsidRPr="004168A3">
              <w:rPr>
                <w:rFonts w:eastAsia="Aptos"/>
                <w:i/>
                <w:iCs/>
              </w:rPr>
              <w:t xml:space="preserve">from A5 parties </w:t>
            </w:r>
            <w:r w:rsidRPr="004168A3">
              <w:rPr>
                <w:rFonts w:eastAsia="Aptos"/>
                <w:i/>
                <w:iCs/>
              </w:rPr>
              <w:t xml:space="preserve">to </w:t>
            </w:r>
            <w:r w:rsidRPr="00360094">
              <w:rPr>
                <w:rFonts w:eastAsia="Aptos"/>
                <w:i/>
                <w:iCs/>
              </w:rPr>
              <w:t>participate (</w:t>
            </w:r>
            <w:r w:rsidR="00310134" w:rsidRPr="00360094">
              <w:rPr>
                <w:rFonts w:eastAsia="Aptos"/>
                <w:i/>
                <w:iCs/>
              </w:rPr>
              <w:t>a</w:t>
            </w:r>
            <w:r w:rsidRPr="00360094">
              <w:rPr>
                <w:rFonts w:eastAsia="Aptos"/>
                <w:i/>
                <w:iCs/>
              </w:rPr>
              <w:t>verage cost of participation $4,500</w:t>
            </w:r>
            <w:r w:rsidR="00CE695F" w:rsidRPr="004168A3">
              <w:rPr>
                <w:rFonts w:eastAsia="Aptos"/>
                <w:i/>
                <w:iCs/>
              </w:rPr>
              <w:t xml:space="preserve"> per trip</w:t>
            </w:r>
            <w:r w:rsidRPr="00360094">
              <w:rPr>
                <w:rFonts w:eastAsia="Aptos"/>
                <w:i/>
                <w:i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137CE6C" w14:textId="14C7FB05" w:rsidR="00962CF7" w:rsidRPr="00F466F2" w:rsidRDefault="00962CF7" w:rsidP="00F4676A">
            <w:pPr>
              <w:pStyle w:val="Normal-pool-Table"/>
              <w:keepNext/>
              <w:keepLines/>
              <w:jc w:val="right"/>
              <w:rPr>
                <w:rFonts w:eastAsia="Aptos"/>
                <w:i/>
                <w:iCs/>
              </w:rPr>
            </w:pPr>
            <w:r w:rsidRPr="00F466F2">
              <w:rPr>
                <w:rFonts w:eastAsia="Aptos"/>
                <w:i/>
                <w:iCs/>
              </w:rPr>
              <w:t>Estimated costs of participation</w:t>
            </w:r>
            <w:r w:rsidR="00310134">
              <w:rPr>
                <w:rFonts w:eastAsia="Aptos"/>
                <w:i/>
                <w:iCs/>
              </w:rPr>
              <w:t xml:space="preserve"> (in United States dollars)</w:t>
            </w:r>
          </w:p>
        </w:tc>
      </w:tr>
      <w:tr w:rsidR="00962CF7" w:rsidRPr="00F466F2" w14:paraId="133AA91A" w14:textId="77777777" w:rsidTr="00F4676A">
        <w:trPr>
          <w:trHeight w:val="57"/>
          <w:jc w:val="right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3AA8524E" w14:textId="77777777" w:rsidR="00962CF7" w:rsidRPr="00F466F2" w:rsidRDefault="00962CF7" w:rsidP="002D293C">
            <w:pPr>
              <w:pStyle w:val="Normal-pool-Table"/>
              <w:keepNext/>
              <w:keepLines/>
              <w:rPr>
                <w:rFonts w:eastAsia="Aptos"/>
                <w:b/>
                <w:bCs/>
              </w:rPr>
            </w:pPr>
            <w:r w:rsidRPr="00F466F2">
              <w:rPr>
                <w:rFonts w:eastAsia="Aptos"/>
                <w:b/>
                <w:bCs/>
              </w:rPr>
              <w:t>2027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666A40FE" w14:textId="5FB795A0" w:rsidR="00962CF7" w:rsidRPr="004168A3" w:rsidRDefault="00962CF7" w:rsidP="002D293C">
            <w:pPr>
              <w:pStyle w:val="Normal-pool-Table"/>
              <w:keepNext/>
              <w:keepLines/>
              <w:rPr>
                <w:rFonts w:eastAsia="Aptos"/>
              </w:rPr>
            </w:pPr>
            <w:r w:rsidRPr="004168A3">
              <w:rPr>
                <w:rFonts w:eastAsia="Aptos"/>
              </w:rPr>
              <w:t xml:space="preserve">TEAP </w:t>
            </w:r>
            <w:r w:rsidR="00310134" w:rsidRPr="004168A3">
              <w:rPr>
                <w:color w:val="000000"/>
              </w:rPr>
              <w:t>–</w:t>
            </w:r>
            <w:r w:rsidRPr="004168A3">
              <w:rPr>
                <w:rFonts w:eastAsia="Aptos"/>
              </w:rPr>
              <w:t xml:space="preserve"> 1</w:t>
            </w:r>
            <w:r w:rsidRPr="004168A3">
              <w:rPr>
                <w:rFonts w:eastAsia="Aptos"/>
              </w:rPr>
              <w:br/>
              <w:t xml:space="preserve">TOCs </w:t>
            </w:r>
            <w:r w:rsidR="00310134" w:rsidRPr="004168A3">
              <w:rPr>
                <w:color w:val="000000"/>
              </w:rPr>
              <w:t xml:space="preserve">– </w:t>
            </w:r>
            <w:r w:rsidRPr="004168A3">
              <w:rPr>
                <w:rFonts w:eastAsia="Aptos"/>
              </w:rPr>
              <w:t>5</w:t>
            </w:r>
            <w:r w:rsidRPr="004168A3">
              <w:rPr>
                <w:rFonts w:eastAsia="Aptos"/>
              </w:rPr>
              <w:br/>
              <w:t xml:space="preserve">EEAP </w:t>
            </w:r>
            <w:r w:rsidR="00310134" w:rsidRPr="004168A3">
              <w:rPr>
                <w:color w:val="000000"/>
              </w:rPr>
              <w:t>–</w:t>
            </w:r>
            <w:r w:rsidRPr="004168A3">
              <w:rPr>
                <w:rFonts w:eastAsia="Aptos"/>
              </w:rPr>
              <w:t xml:space="preserve"> 1</w:t>
            </w:r>
            <w:r w:rsidRPr="004168A3">
              <w:rPr>
                <w:rFonts w:eastAsia="Aptos"/>
              </w:rPr>
              <w:br/>
              <w:t xml:space="preserve">SAP </w:t>
            </w:r>
            <w:r w:rsidR="00310134" w:rsidRPr="004168A3">
              <w:rPr>
                <w:color w:val="000000"/>
              </w:rPr>
              <w:t>–</w:t>
            </w:r>
            <w:r w:rsidRPr="004168A3">
              <w:rPr>
                <w:rFonts w:eastAsia="Aptos"/>
              </w:rPr>
              <w:t xml:space="preserve"> 0</w:t>
            </w:r>
            <w:r w:rsidRPr="004168A3">
              <w:rPr>
                <w:rFonts w:eastAsia="Aptos"/>
              </w:rPr>
              <w:br/>
              <w:t>Synthesis report</w:t>
            </w:r>
          </w:p>
          <w:p w14:paraId="154C3521" w14:textId="77777777" w:rsidR="00962CF7" w:rsidRPr="004168A3" w:rsidRDefault="00962CF7" w:rsidP="002D293C">
            <w:pPr>
              <w:pStyle w:val="Normal-pool-Table"/>
              <w:keepNext/>
              <w:keepLines/>
              <w:rPr>
                <w:rFonts w:eastAsia="Aptos"/>
              </w:rPr>
            </w:pPr>
            <w:r w:rsidRPr="004168A3">
              <w:rPr>
                <w:rFonts w:eastAsia="Aptos"/>
              </w:rPr>
              <w:t>OEWG49</w:t>
            </w:r>
            <w:r w:rsidRPr="004168A3">
              <w:rPr>
                <w:rFonts w:eastAsia="Aptos"/>
              </w:rPr>
              <w:br/>
              <w:t>COP14/MOP39</w:t>
            </w:r>
          </w:p>
        </w:tc>
        <w:tc>
          <w:tcPr>
            <w:tcW w:w="208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8CAD493" w14:textId="20F417C5" w:rsidR="00962CF7" w:rsidRPr="004168A3" w:rsidRDefault="00962CF7" w:rsidP="00F4676A">
            <w:pPr>
              <w:pStyle w:val="Normal-pool-Table"/>
              <w:keepNext/>
              <w:keepLines/>
              <w:jc w:val="right"/>
              <w:rPr>
                <w:rFonts w:eastAsia="Aptos"/>
              </w:rPr>
            </w:pPr>
            <w:r w:rsidRPr="004168A3">
              <w:rPr>
                <w:rFonts w:eastAsia="Aptos"/>
              </w:rPr>
              <w:t>55 000</w:t>
            </w:r>
          </w:p>
        </w:tc>
        <w:tc>
          <w:tcPr>
            <w:tcW w:w="2447" w:type="dxa"/>
            <w:tcBorders>
              <w:top w:val="single" w:sz="12" w:space="0" w:color="auto"/>
              <w:bottom w:val="single" w:sz="4" w:space="0" w:color="auto"/>
            </w:tcBorders>
          </w:tcPr>
          <w:p w14:paraId="3849C3F9" w14:textId="7BD557A8" w:rsidR="00962CF7" w:rsidRPr="004168A3" w:rsidRDefault="00962CF7" w:rsidP="00F4676A">
            <w:pPr>
              <w:pStyle w:val="Normal-pool-Table"/>
              <w:keepNext/>
              <w:keepLines/>
              <w:jc w:val="right"/>
              <w:rPr>
                <w:rFonts w:eastAsia="Aptos"/>
              </w:rPr>
            </w:pPr>
            <w:r w:rsidRPr="004168A3">
              <w:rPr>
                <w:rFonts w:eastAsia="Aptos"/>
              </w:rPr>
              <w:t>75 participants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0F0069F" w14:textId="4290BB1F" w:rsidR="00962CF7" w:rsidRPr="00F466F2" w:rsidRDefault="00962CF7" w:rsidP="00F4676A">
            <w:pPr>
              <w:pStyle w:val="Normal-pool-Table"/>
              <w:keepNext/>
              <w:keepLines/>
              <w:jc w:val="right"/>
              <w:rPr>
                <w:rFonts w:eastAsia="Aptos"/>
              </w:rPr>
            </w:pPr>
            <w:r w:rsidRPr="00F466F2">
              <w:rPr>
                <w:rFonts w:eastAsia="Aptos"/>
              </w:rPr>
              <w:t>350 000</w:t>
            </w:r>
          </w:p>
        </w:tc>
      </w:tr>
      <w:tr w:rsidR="00962CF7" w:rsidRPr="00F466F2" w14:paraId="7A7225B3" w14:textId="77777777" w:rsidTr="00F4676A">
        <w:trPr>
          <w:trHeight w:val="57"/>
          <w:jc w:val="right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AEEBFB" w14:textId="313979AC" w:rsidR="00962CF7" w:rsidRPr="00F466F2" w:rsidRDefault="00962CF7" w:rsidP="00D02382">
            <w:pPr>
              <w:pStyle w:val="Normal-pool-Table"/>
              <w:rPr>
                <w:rFonts w:eastAsia="Aptos"/>
                <w:b/>
                <w:bCs/>
              </w:rPr>
            </w:pPr>
            <w:r w:rsidRPr="00F466F2">
              <w:rPr>
                <w:rFonts w:eastAsia="Aptos"/>
                <w:b/>
                <w:bCs/>
              </w:rPr>
              <w:t>2028</w:t>
            </w:r>
            <w:r w:rsidR="00D02382">
              <w:rPr>
                <w:rFonts w:eastAsia="Aptos"/>
                <w:b/>
                <w:bCs/>
              </w:rPr>
              <w:t xml:space="preserve"> </w:t>
            </w:r>
            <w:r w:rsidR="00D02382">
              <w:rPr>
                <w:rFonts w:eastAsia="Aptos"/>
                <w:b/>
                <w:bCs/>
              </w:rPr>
              <w:br/>
            </w:r>
            <w:r w:rsidRPr="00F466F2">
              <w:rPr>
                <w:rFonts w:eastAsia="Aptos"/>
                <w:b/>
                <w:bCs/>
              </w:rPr>
              <w:t>Progress reports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9FE921" w14:textId="76A4B21B" w:rsidR="00962CF7" w:rsidRPr="00F466F2" w:rsidRDefault="00962CF7" w:rsidP="00962CF7">
            <w:pPr>
              <w:pStyle w:val="Normal-pool-Table"/>
              <w:rPr>
                <w:rFonts w:eastAsia="Aptos"/>
              </w:rPr>
            </w:pPr>
            <w:r w:rsidRPr="00F466F2">
              <w:rPr>
                <w:rFonts w:eastAsia="Aptos"/>
              </w:rPr>
              <w:t xml:space="preserve">TEAP </w:t>
            </w:r>
            <w:r w:rsidR="00310134">
              <w:rPr>
                <w:color w:val="000000"/>
              </w:rPr>
              <w:t>–</w:t>
            </w:r>
            <w:r w:rsidRPr="00F466F2">
              <w:rPr>
                <w:rFonts w:eastAsia="Aptos"/>
              </w:rPr>
              <w:t xml:space="preserve"> 1</w:t>
            </w:r>
            <w:r w:rsidRPr="00F466F2">
              <w:rPr>
                <w:rFonts w:eastAsia="Aptos"/>
              </w:rPr>
              <w:br/>
              <w:t xml:space="preserve">TOCs </w:t>
            </w:r>
            <w:r w:rsidR="00310134">
              <w:rPr>
                <w:color w:val="000000"/>
              </w:rPr>
              <w:t xml:space="preserve">– </w:t>
            </w:r>
            <w:r w:rsidRPr="00F466F2">
              <w:rPr>
                <w:rFonts w:eastAsia="Aptos"/>
              </w:rPr>
              <w:t>5</w:t>
            </w:r>
            <w:r w:rsidRPr="00F466F2">
              <w:rPr>
                <w:rFonts w:eastAsia="Aptos"/>
              </w:rPr>
              <w:br/>
              <w:t xml:space="preserve">EEAP </w:t>
            </w:r>
            <w:r w:rsidR="00310134">
              <w:rPr>
                <w:color w:val="000000"/>
              </w:rPr>
              <w:t>–</w:t>
            </w:r>
            <w:r w:rsidRPr="00F466F2">
              <w:rPr>
                <w:rFonts w:eastAsia="Aptos"/>
              </w:rPr>
              <w:t xml:space="preserve"> 1</w:t>
            </w:r>
            <w:r w:rsidRPr="00F466F2">
              <w:rPr>
                <w:rFonts w:eastAsia="Aptos"/>
              </w:rPr>
              <w:br/>
              <w:t xml:space="preserve">SAP </w:t>
            </w:r>
            <w:r w:rsidR="00310134">
              <w:rPr>
                <w:color w:val="000000"/>
              </w:rPr>
              <w:t>–</w:t>
            </w:r>
            <w:r w:rsidRPr="00F466F2">
              <w:rPr>
                <w:rFonts w:eastAsia="Aptos"/>
              </w:rPr>
              <w:t xml:space="preserve"> 0</w:t>
            </w:r>
          </w:p>
          <w:p w14:paraId="5DBF74DF" w14:textId="77777777" w:rsidR="00962CF7" w:rsidRPr="00F466F2" w:rsidRDefault="00962CF7" w:rsidP="00962CF7">
            <w:pPr>
              <w:pStyle w:val="Normal-pool-Table"/>
              <w:rPr>
                <w:rFonts w:eastAsia="Aptos"/>
              </w:rPr>
            </w:pPr>
            <w:r w:rsidRPr="00F466F2">
              <w:rPr>
                <w:rFonts w:eastAsia="Aptos"/>
              </w:rPr>
              <w:t>OEWG50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F37FB5" w14:textId="2751A7ED" w:rsidR="00962CF7" w:rsidRPr="00F466F2" w:rsidRDefault="00962CF7" w:rsidP="00F4676A">
            <w:pPr>
              <w:pStyle w:val="Normal-pool-Table"/>
              <w:jc w:val="right"/>
              <w:rPr>
                <w:rFonts w:eastAsia="Aptos"/>
              </w:rPr>
            </w:pPr>
            <w:r w:rsidRPr="006455C8">
              <w:rPr>
                <w:rFonts w:eastAsia="Aptos"/>
              </w:rPr>
              <w:t>25 000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</w:tcPr>
          <w:p w14:paraId="5C76FD6C" w14:textId="67E6C8A7" w:rsidR="00962CF7" w:rsidRPr="00F466F2" w:rsidRDefault="00962CF7" w:rsidP="00F4676A">
            <w:pPr>
              <w:pStyle w:val="Normal-pool-Table"/>
              <w:jc w:val="right"/>
              <w:rPr>
                <w:rFonts w:eastAsia="Aptos"/>
              </w:rPr>
            </w:pPr>
            <w:r w:rsidRPr="00F466F2">
              <w:rPr>
                <w:rFonts w:eastAsia="Aptos"/>
              </w:rPr>
              <w:t>55 participants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E4FAB0" w14:textId="1BACA56F" w:rsidR="00962CF7" w:rsidRPr="00F466F2" w:rsidRDefault="00962CF7" w:rsidP="00F4676A">
            <w:pPr>
              <w:pStyle w:val="Normal-pool-Table"/>
              <w:jc w:val="right"/>
              <w:rPr>
                <w:rFonts w:eastAsia="Aptos"/>
              </w:rPr>
            </w:pPr>
            <w:r w:rsidRPr="00F466F2">
              <w:rPr>
                <w:rFonts w:eastAsia="Aptos"/>
              </w:rPr>
              <w:t>250 000</w:t>
            </w:r>
          </w:p>
        </w:tc>
      </w:tr>
      <w:tr w:rsidR="00962CF7" w:rsidRPr="00F466F2" w14:paraId="4871AAA0" w14:textId="77777777" w:rsidTr="00F4676A">
        <w:trPr>
          <w:trHeight w:val="57"/>
          <w:jc w:val="right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B5D54A" w14:textId="3EDB7773" w:rsidR="00962CF7" w:rsidRPr="00F466F2" w:rsidRDefault="00962CF7" w:rsidP="00D02382">
            <w:pPr>
              <w:pStyle w:val="Normal-pool-Table"/>
              <w:rPr>
                <w:rFonts w:eastAsia="Aptos"/>
                <w:b/>
                <w:bCs/>
              </w:rPr>
            </w:pPr>
            <w:r w:rsidRPr="00F466F2">
              <w:rPr>
                <w:rFonts w:eastAsia="Aptos"/>
                <w:b/>
                <w:bCs/>
              </w:rPr>
              <w:t>2029</w:t>
            </w:r>
            <w:r w:rsidR="00D02382">
              <w:rPr>
                <w:rFonts w:eastAsia="Aptos"/>
                <w:b/>
                <w:bCs/>
              </w:rPr>
              <w:t xml:space="preserve"> </w:t>
            </w:r>
            <w:r w:rsidR="00D02382">
              <w:rPr>
                <w:rFonts w:eastAsia="Aptos"/>
                <w:b/>
                <w:bCs/>
              </w:rPr>
              <w:br/>
            </w:r>
            <w:r w:rsidRPr="00F466F2">
              <w:rPr>
                <w:rFonts w:eastAsia="Aptos"/>
                <w:b/>
                <w:bCs/>
              </w:rPr>
              <w:t>Replenishment report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C454A5" w14:textId="1DAFD70A" w:rsidR="00962CF7" w:rsidRPr="00F466F2" w:rsidRDefault="00962CF7" w:rsidP="00962CF7">
            <w:pPr>
              <w:pStyle w:val="Normal-pool-Table"/>
              <w:rPr>
                <w:rFonts w:eastAsia="Aptos"/>
              </w:rPr>
            </w:pPr>
            <w:r w:rsidRPr="00F466F2">
              <w:rPr>
                <w:rFonts w:eastAsia="Aptos"/>
              </w:rPr>
              <w:t xml:space="preserve">TEAP </w:t>
            </w:r>
            <w:r w:rsidR="00310134">
              <w:rPr>
                <w:color w:val="000000"/>
              </w:rPr>
              <w:t>–</w:t>
            </w:r>
            <w:r w:rsidRPr="00F466F2">
              <w:rPr>
                <w:rFonts w:eastAsia="Aptos"/>
              </w:rPr>
              <w:t xml:space="preserve"> 1</w:t>
            </w:r>
            <w:r w:rsidRPr="00F466F2">
              <w:rPr>
                <w:rFonts w:eastAsia="Aptos"/>
              </w:rPr>
              <w:br/>
              <w:t xml:space="preserve">TF </w:t>
            </w:r>
            <w:r w:rsidR="00310134">
              <w:rPr>
                <w:color w:val="000000"/>
              </w:rPr>
              <w:t>–</w:t>
            </w:r>
            <w:r w:rsidRPr="00F466F2">
              <w:rPr>
                <w:rFonts w:eastAsia="Aptos"/>
              </w:rPr>
              <w:t xml:space="preserve"> 2</w:t>
            </w:r>
          </w:p>
          <w:p w14:paraId="73F012D5" w14:textId="77777777" w:rsidR="00962CF7" w:rsidRPr="00F466F2" w:rsidRDefault="00962CF7" w:rsidP="00962CF7">
            <w:pPr>
              <w:pStyle w:val="Normal-pool-Table"/>
              <w:rPr>
                <w:rFonts w:eastAsia="Aptos"/>
              </w:rPr>
            </w:pPr>
            <w:r w:rsidRPr="00F466F2">
              <w:rPr>
                <w:rFonts w:eastAsia="Aptos"/>
              </w:rPr>
              <w:t>MOP40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0F6DDD" w14:textId="7DD960D6" w:rsidR="00962CF7" w:rsidRPr="00F466F2" w:rsidRDefault="00962CF7" w:rsidP="00F4676A">
            <w:pPr>
              <w:pStyle w:val="Normal-pool-Table"/>
              <w:jc w:val="right"/>
              <w:rPr>
                <w:rFonts w:eastAsia="Aptos"/>
              </w:rPr>
            </w:pPr>
            <w:r w:rsidRPr="00F466F2">
              <w:rPr>
                <w:rFonts w:eastAsia="Aptos"/>
              </w:rPr>
              <w:t>55 000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</w:tcPr>
          <w:p w14:paraId="56F6941F" w14:textId="17C4F587" w:rsidR="00962CF7" w:rsidRPr="00F466F2" w:rsidRDefault="00962CF7" w:rsidP="00F4676A">
            <w:pPr>
              <w:pStyle w:val="Normal-pool-Table"/>
              <w:jc w:val="right"/>
              <w:rPr>
                <w:rFonts w:eastAsia="Aptos"/>
              </w:rPr>
            </w:pPr>
            <w:r w:rsidRPr="00F466F2">
              <w:rPr>
                <w:rFonts w:eastAsia="Aptos"/>
              </w:rPr>
              <w:t>65 participants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9D4520" w14:textId="7A0BF4D6" w:rsidR="00962CF7" w:rsidRPr="00F466F2" w:rsidRDefault="00962CF7" w:rsidP="00F4676A">
            <w:pPr>
              <w:pStyle w:val="Normal-pool-Table"/>
              <w:jc w:val="right"/>
              <w:rPr>
                <w:rFonts w:eastAsia="Aptos"/>
              </w:rPr>
            </w:pPr>
            <w:r w:rsidRPr="00F466F2">
              <w:rPr>
                <w:rFonts w:eastAsia="Aptos"/>
              </w:rPr>
              <w:t>300 000</w:t>
            </w:r>
          </w:p>
        </w:tc>
      </w:tr>
      <w:tr w:rsidR="00962CF7" w:rsidRPr="00F466F2" w14:paraId="4C32F176" w14:textId="77777777" w:rsidTr="00F4676A">
        <w:trPr>
          <w:trHeight w:val="57"/>
          <w:jc w:val="right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AB9956" w14:textId="77777777" w:rsidR="00962CF7" w:rsidRPr="00F466F2" w:rsidRDefault="00962CF7" w:rsidP="00962CF7">
            <w:pPr>
              <w:pStyle w:val="Normal-pool-Table"/>
              <w:rPr>
                <w:rFonts w:eastAsia="Aptos"/>
                <w:b/>
                <w:bCs/>
              </w:rPr>
            </w:pPr>
            <w:r w:rsidRPr="00F466F2">
              <w:rPr>
                <w:rFonts w:eastAsia="Aptos"/>
                <w:b/>
                <w:bCs/>
              </w:rPr>
              <w:t>2030</w:t>
            </w:r>
            <w:r w:rsidRPr="00F466F2">
              <w:rPr>
                <w:rFonts w:eastAsia="Aptos"/>
                <w:b/>
                <w:bCs/>
              </w:rPr>
              <w:br/>
              <w:t>(assessment year)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265096" w14:textId="01738260" w:rsidR="00962CF7" w:rsidRPr="00F466F2" w:rsidRDefault="00962CF7" w:rsidP="00962CF7">
            <w:pPr>
              <w:pStyle w:val="Normal-pool-Table"/>
              <w:rPr>
                <w:rFonts w:eastAsia="Aptos"/>
              </w:rPr>
            </w:pPr>
            <w:r w:rsidRPr="00F466F2">
              <w:rPr>
                <w:rFonts w:eastAsia="Aptos"/>
              </w:rPr>
              <w:t xml:space="preserve">TEAP </w:t>
            </w:r>
            <w:r w:rsidR="00310134">
              <w:rPr>
                <w:color w:val="000000"/>
              </w:rPr>
              <w:t>–</w:t>
            </w:r>
            <w:r w:rsidRPr="00F466F2">
              <w:rPr>
                <w:rFonts w:eastAsia="Aptos"/>
              </w:rPr>
              <w:t xml:space="preserve"> 2</w:t>
            </w:r>
            <w:r w:rsidRPr="00F466F2">
              <w:rPr>
                <w:rFonts w:eastAsia="Aptos"/>
              </w:rPr>
              <w:br/>
              <w:t xml:space="preserve">TOCs </w:t>
            </w:r>
            <w:r w:rsidR="00310134">
              <w:rPr>
                <w:color w:val="000000"/>
              </w:rPr>
              <w:t>–</w:t>
            </w:r>
            <w:r w:rsidRPr="00F466F2">
              <w:rPr>
                <w:rFonts w:eastAsia="Aptos"/>
              </w:rPr>
              <w:t>10</w:t>
            </w:r>
            <w:r w:rsidRPr="00F466F2">
              <w:rPr>
                <w:rFonts w:eastAsia="Aptos"/>
              </w:rPr>
              <w:br/>
              <w:t xml:space="preserve">EEAP </w:t>
            </w:r>
            <w:r w:rsidR="00310134">
              <w:rPr>
                <w:color w:val="000000"/>
              </w:rPr>
              <w:t>–</w:t>
            </w:r>
            <w:r w:rsidRPr="00F466F2">
              <w:rPr>
                <w:rFonts w:eastAsia="Aptos"/>
              </w:rPr>
              <w:t xml:space="preserve"> 2</w:t>
            </w:r>
            <w:r w:rsidRPr="00F466F2">
              <w:rPr>
                <w:rFonts w:eastAsia="Aptos"/>
              </w:rPr>
              <w:br/>
              <w:t xml:space="preserve">SAP </w:t>
            </w:r>
            <w:r w:rsidR="00310134">
              <w:rPr>
                <w:color w:val="000000"/>
              </w:rPr>
              <w:t>–</w:t>
            </w:r>
            <w:r w:rsidRPr="00F466F2">
              <w:rPr>
                <w:rFonts w:eastAsia="Aptos"/>
              </w:rPr>
              <w:t xml:space="preserve"> 1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EE43E4" w14:textId="475D3DB2" w:rsidR="00962CF7" w:rsidRPr="00F466F2" w:rsidRDefault="00962CF7" w:rsidP="00F4676A">
            <w:pPr>
              <w:pStyle w:val="Normal-pool-Table"/>
              <w:jc w:val="right"/>
              <w:rPr>
                <w:rFonts w:eastAsia="Aptos"/>
              </w:rPr>
            </w:pPr>
            <w:r w:rsidRPr="00F466F2">
              <w:rPr>
                <w:rFonts w:eastAsia="Aptos"/>
              </w:rPr>
              <w:t>55 000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</w:tcPr>
          <w:p w14:paraId="20AF3A8D" w14:textId="3514223A" w:rsidR="00962CF7" w:rsidRPr="00F466F2" w:rsidRDefault="00962CF7" w:rsidP="00F4676A">
            <w:pPr>
              <w:pStyle w:val="Normal-pool-Table"/>
              <w:jc w:val="right"/>
              <w:rPr>
                <w:rFonts w:eastAsia="Aptos"/>
              </w:rPr>
            </w:pPr>
            <w:r w:rsidRPr="00F466F2">
              <w:rPr>
                <w:rFonts w:eastAsia="Aptos"/>
              </w:rPr>
              <w:t>85 participants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65F9F4" w14:textId="6071E715" w:rsidR="00962CF7" w:rsidRPr="00F466F2" w:rsidRDefault="00962CF7" w:rsidP="00F4676A">
            <w:pPr>
              <w:pStyle w:val="Normal-pool-Table"/>
              <w:jc w:val="right"/>
              <w:rPr>
                <w:rFonts w:eastAsia="Aptos"/>
              </w:rPr>
            </w:pPr>
            <w:r w:rsidRPr="00F466F2">
              <w:rPr>
                <w:rFonts w:eastAsia="Aptos"/>
              </w:rPr>
              <w:t>380 000</w:t>
            </w:r>
          </w:p>
        </w:tc>
      </w:tr>
      <w:tr w:rsidR="00962CF7" w:rsidRPr="00F466F2" w14:paraId="175A5533" w14:textId="77777777" w:rsidTr="00F4676A">
        <w:trPr>
          <w:trHeight w:val="57"/>
          <w:jc w:val="right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14:paraId="59662464" w14:textId="77777777" w:rsidR="00962CF7" w:rsidRPr="00F466F2" w:rsidRDefault="00962CF7" w:rsidP="00962CF7">
            <w:pPr>
              <w:pStyle w:val="Normal-pool-Table"/>
              <w:rPr>
                <w:rFonts w:eastAsia="Aptos"/>
                <w:b/>
                <w:bCs/>
              </w:rPr>
            </w:pPr>
            <w:r w:rsidRPr="00F466F2">
              <w:rPr>
                <w:rFonts w:eastAsia="Aptos"/>
                <w:b/>
                <w:bCs/>
              </w:rPr>
              <w:t>2031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3E8EF914" w14:textId="5A4255B2" w:rsidR="00962CF7" w:rsidRPr="00F466F2" w:rsidRDefault="00962CF7" w:rsidP="00962CF7">
            <w:pPr>
              <w:pStyle w:val="Normal-pool-Table"/>
              <w:rPr>
                <w:rFonts w:eastAsia="Aptos"/>
              </w:rPr>
            </w:pPr>
            <w:r w:rsidRPr="00F466F2">
              <w:rPr>
                <w:rFonts w:eastAsia="Aptos"/>
              </w:rPr>
              <w:t xml:space="preserve">TEAP </w:t>
            </w:r>
            <w:r w:rsidR="0098513F">
              <w:rPr>
                <w:color w:val="000000"/>
              </w:rPr>
              <w:t>–</w:t>
            </w:r>
            <w:r w:rsidRPr="00F466F2">
              <w:rPr>
                <w:rFonts w:eastAsia="Aptos"/>
              </w:rPr>
              <w:t xml:space="preserve"> 1</w:t>
            </w:r>
            <w:r w:rsidRPr="00F466F2">
              <w:rPr>
                <w:rFonts w:eastAsia="Aptos"/>
              </w:rPr>
              <w:br/>
              <w:t xml:space="preserve">TOCs </w:t>
            </w:r>
            <w:r w:rsidR="00310134">
              <w:rPr>
                <w:color w:val="000000"/>
              </w:rPr>
              <w:t xml:space="preserve">– </w:t>
            </w:r>
            <w:r w:rsidRPr="00F466F2">
              <w:rPr>
                <w:rFonts w:eastAsia="Aptos"/>
              </w:rPr>
              <w:t>5</w:t>
            </w:r>
            <w:r w:rsidRPr="00F466F2">
              <w:rPr>
                <w:rFonts w:eastAsia="Aptos"/>
              </w:rPr>
              <w:br/>
              <w:t xml:space="preserve">EEAP </w:t>
            </w:r>
            <w:r w:rsidR="00310134">
              <w:rPr>
                <w:color w:val="000000"/>
              </w:rPr>
              <w:t>–</w:t>
            </w:r>
            <w:r w:rsidRPr="00F466F2">
              <w:rPr>
                <w:rFonts w:eastAsia="Aptos"/>
              </w:rPr>
              <w:t xml:space="preserve"> 1</w:t>
            </w:r>
            <w:r w:rsidRPr="00F466F2">
              <w:rPr>
                <w:rFonts w:eastAsia="Aptos"/>
              </w:rPr>
              <w:br/>
              <w:t xml:space="preserve">SAP </w:t>
            </w:r>
            <w:r w:rsidR="00310134">
              <w:rPr>
                <w:color w:val="000000"/>
              </w:rPr>
              <w:t>–</w:t>
            </w:r>
            <w:r w:rsidRPr="00F466F2">
              <w:rPr>
                <w:rFonts w:eastAsia="Aptos"/>
              </w:rPr>
              <w:t xml:space="preserve"> 0</w:t>
            </w:r>
            <w:r w:rsidRPr="00F466F2">
              <w:rPr>
                <w:rFonts w:eastAsia="Aptos"/>
              </w:rPr>
              <w:br/>
              <w:t>Synthesis report</w:t>
            </w:r>
          </w:p>
          <w:p w14:paraId="0DF64B8F" w14:textId="77777777" w:rsidR="00962CF7" w:rsidRPr="00F466F2" w:rsidRDefault="00962CF7" w:rsidP="00962CF7">
            <w:pPr>
              <w:pStyle w:val="Normal-pool-Table"/>
              <w:rPr>
                <w:rFonts w:eastAsia="Aptos"/>
              </w:rPr>
            </w:pPr>
            <w:r w:rsidRPr="00F466F2">
              <w:rPr>
                <w:rFonts w:eastAsia="Aptos"/>
              </w:rPr>
              <w:t>ORM14</w:t>
            </w:r>
            <w:r w:rsidRPr="00F466F2">
              <w:rPr>
                <w:rFonts w:eastAsia="Aptos"/>
              </w:rPr>
              <w:br/>
              <w:t>COP15/MOP41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CBD77E1" w14:textId="3DDE70DF" w:rsidR="00962CF7" w:rsidRPr="00F466F2" w:rsidRDefault="00962CF7" w:rsidP="00F4676A">
            <w:pPr>
              <w:pStyle w:val="Normal-pool-Table"/>
              <w:jc w:val="right"/>
              <w:rPr>
                <w:rFonts w:eastAsia="Aptos"/>
              </w:rPr>
            </w:pPr>
            <w:r w:rsidRPr="00F466F2">
              <w:rPr>
                <w:rFonts w:eastAsia="Aptos"/>
              </w:rPr>
              <w:t>25 000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12" w:space="0" w:color="auto"/>
            </w:tcBorders>
          </w:tcPr>
          <w:p w14:paraId="4BACBECA" w14:textId="327EC27E" w:rsidR="00962CF7" w:rsidRPr="00F466F2" w:rsidRDefault="00962CF7" w:rsidP="00F4676A">
            <w:pPr>
              <w:pStyle w:val="Normal-pool-Table"/>
              <w:jc w:val="right"/>
              <w:rPr>
                <w:rFonts w:eastAsia="Aptos"/>
              </w:rPr>
            </w:pPr>
            <w:r w:rsidRPr="00F466F2">
              <w:rPr>
                <w:rFonts w:eastAsia="Aptos"/>
              </w:rPr>
              <w:t>55 participants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D20333C" w14:textId="43F83277" w:rsidR="00962CF7" w:rsidRPr="00F466F2" w:rsidRDefault="00962CF7" w:rsidP="00F4676A">
            <w:pPr>
              <w:pStyle w:val="Normal-pool-Table"/>
              <w:jc w:val="right"/>
              <w:rPr>
                <w:rFonts w:eastAsia="Aptos"/>
              </w:rPr>
            </w:pPr>
            <w:r w:rsidRPr="00F466F2">
              <w:rPr>
                <w:rFonts w:eastAsia="Aptos"/>
              </w:rPr>
              <w:t>250 000</w:t>
            </w:r>
          </w:p>
        </w:tc>
      </w:tr>
    </w:tbl>
    <w:p w14:paraId="4C25AF54" w14:textId="714A77B3" w:rsidR="00EA4D38" w:rsidRPr="00DF251F" w:rsidRDefault="00EA4D38" w:rsidP="00DF251F">
      <w:pPr>
        <w:pStyle w:val="Normal-pool"/>
        <w:tabs>
          <w:tab w:val="clear" w:pos="624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1814"/>
          <w:tab w:val="left" w:pos="2381"/>
          <w:tab w:val="left" w:pos="2948"/>
          <w:tab w:val="left" w:pos="3515"/>
          <w:tab w:val="left" w:pos="4082"/>
        </w:tabs>
        <w:spacing w:before="60"/>
        <w:ind w:left="1247"/>
        <w:rPr>
          <w:bCs/>
          <w:sz w:val="17"/>
          <w:szCs w:val="17"/>
        </w:rPr>
      </w:pPr>
      <w:r w:rsidRPr="00DF251F">
        <w:rPr>
          <w:b/>
          <w:bCs/>
          <w:sz w:val="17"/>
          <w:szCs w:val="17"/>
        </w:rPr>
        <w:tab/>
      </w:r>
      <w:r w:rsidRPr="00DF251F">
        <w:rPr>
          <w:i/>
          <w:iCs/>
          <w:sz w:val="17"/>
          <w:szCs w:val="17"/>
        </w:rPr>
        <w:t>Abbreviations:</w:t>
      </w:r>
      <w:r w:rsidRPr="00DF251F">
        <w:rPr>
          <w:sz w:val="17"/>
          <w:szCs w:val="17"/>
        </w:rPr>
        <w:t xml:space="preserve"> </w:t>
      </w:r>
      <w:r w:rsidR="00036A4B" w:rsidRPr="00F41A17">
        <w:rPr>
          <w:rFonts w:eastAsiaTheme="minorEastAsia"/>
          <w:sz w:val="17"/>
          <w:szCs w:val="17"/>
        </w:rPr>
        <w:t xml:space="preserve">A5 – from parties operating under paragraph 1 of Article 5; </w:t>
      </w:r>
      <w:r w:rsidRPr="00360094">
        <w:rPr>
          <w:sz w:val="17"/>
          <w:szCs w:val="17"/>
        </w:rPr>
        <w:t xml:space="preserve">COP – Conference of the Parties; </w:t>
      </w:r>
      <w:r w:rsidR="0076582E" w:rsidRPr="00360094">
        <w:rPr>
          <w:sz w:val="17"/>
          <w:szCs w:val="17"/>
        </w:rPr>
        <w:t xml:space="preserve">EEAP – Environmental Effects Assessment Panel; </w:t>
      </w:r>
      <w:r w:rsidRPr="00360094">
        <w:rPr>
          <w:sz w:val="17"/>
          <w:szCs w:val="17"/>
        </w:rPr>
        <w:t>MOP – Meeting of the Parties; OEWG</w:t>
      </w:r>
      <w:r w:rsidRPr="00360094">
        <w:rPr>
          <w:bCs/>
          <w:sz w:val="17"/>
          <w:szCs w:val="17"/>
        </w:rPr>
        <w:t xml:space="preserve"> – Open-ended Working Group; ORM – Ozone Research Managers; SAP – Scientific Assessment Panel; TEAP – Technology and Economic Assessment Panel</w:t>
      </w:r>
      <w:r w:rsidR="0076582E" w:rsidRPr="00360094">
        <w:rPr>
          <w:bCs/>
          <w:sz w:val="17"/>
          <w:szCs w:val="17"/>
        </w:rPr>
        <w:t xml:space="preserve">; </w:t>
      </w:r>
      <w:r w:rsidR="009754F4" w:rsidRPr="00360094">
        <w:rPr>
          <w:bCs/>
          <w:sz w:val="17"/>
          <w:szCs w:val="17"/>
        </w:rPr>
        <w:t xml:space="preserve">TF – Trust Fund; </w:t>
      </w:r>
      <w:r w:rsidR="0076582E" w:rsidRPr="00360094">
        <w:rPr>
          <w:bCs/>
          <w:sz w:val="17"/>
          <w:szCs w:val="17"/>
        </w:rPr>
        <w:t>TOC – technical options committee</w:t>
      </w:r>
      <w:r w:rsidRPr="00360094">
        <w:rPr>
          <w:bCs/>
          <w:sz w:val="17"/>
          <w:szCs w:val="17"/>
        </w:rPr>
        <w:t>.</w:t>
      </w:r>
      <w:r w:rsidRPr="00DF251F">
        <w:rPr>
          <w:bCs/>
          <w:sz w:val="17"/>
          <w:szCs w:val="17"/>
        </w:rPr>
        <w:t xml:space="preserve"> </w:t>
      </w:r>
    </w:p>
    <w:p w14:paraId="0F7AC513" w14:textId="77777777" w:rsidR="00962CF7" w:rsidRPr="00F466F2" w:rsidRDefault="00962CF7" w:rsidP="00962CF7">
      <w:pPr>
        <w:pStyle w:val="Normal-pool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962CF7" w:rsidRPr="00F466F2" w14:paraId="23A96CB4" w14:textId="77777777" w:rsidTr="00962CF7">
        <w:tc>
          <w:tcPr>
            <w:tcW w:w="1897" w:type="dxa"/>
          </w:tcPr>
          <w:p w14:paraId="7066A1BD" w14:textId="77777777" w:rsidR="00962CF7" w:rsidRPr="00F466F2" w:rsidRDefault="00962CF7" w:rsidP="00962CF7">
            <w:pPr>
              <w:pStyle w:val="Normal-pool"/>
              <w:spacing w:before="520" w:after="120"/>
            </w:pPr>
          </w:p>
        </w:tc>
        <w:tc>
          <w:tcPr>
            <w:tcW w:w="1897" w:type="dxa"/>
          </w:tcPr>
          <w:p w14:paraId="2C57B557" w14:textId="77777777" w:rsidR="00962CF7" w:rsidRPr="00F466F2" w:rsidRDefault="00962CF7" w:rsidP="00962CF7">
            <w:pPr>
              <w:pStyle w:val="Normal-pool"/>
              <w:spacing w:before="520" w:after="1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3BD490D0" w14:textId="77777777" w:rsidR="00962CF7" w:rsidRPr="00F466F2" w:rsidRDefault="00962CF7" w:rsidP="00962CF7">
            <w:pPr>
              <w:pStyle w:val="Normal-pool"/>
              <w:spacing w:before="520" w:after="120"/>
            </w:pPr>
          </w:p>
        </w:tc>
        <w:tc>
          <w:tcPr>
            <w:tcW w:w="1898" w:type="dxa"/>
          </w:tcPr>
          <w:p w14:paraId="64C45CF8" w14:textId="77777777" w:rsidR="00962CF7" w:rsidRPr="00F466F2" w:rsidRDefault="00962CF7" w:rsidP="00962CF7">
            <w:pPr>
              <w:pStyle w:val="Normal-pool"/>
              <w:spacing w:before="520" w:after="120"/>
            </w:pPr>
          </w:p>
        </w:tc>
        <w:tc>
          <w:tcPr>
            <w:tcW w:w="1898" w:type="dxa"/>
          </w:tcPr>
          <w:p w14:paraId="5C2F7507" w14:textId="77777777" w:rsidR="00962CF7" w:rsidRPr="00F466F2" w:rsidRDefault="00962CF7" w:rsidP="00962CF7">
            <w:pPr>
              <w:pStyle w:val="Normal-pool"/>
              <w:spacing w:before="520" w:after="120"/>
            </w:pPr>
          </w:p>
        </w:tc>
      </w:tr>
    </w:tbl>
    <w:p w14:paraId="6A1EB361" w14:textId="3EA95ECF" w:rsidR="006A5453" w:rsidRPr="00F466F2" w:rsidRDefault="006A5453" w:rsidP="00962CF7">
      <w:pPr>
        <w:pStyle w:val="Normal-pool"/>
      </w:pPr>
    </w:p>
    <w:sectPr w:rsidR="006A5453" w:rsidRPr="00F466F2" w:rsidSect="00B30518">
      <w:pgSz w:w="11907" w:h="16839" w:code="9"/>
      <w:pgMar w:top="907" w:right="992" w:bottom="1418" w:left="1418" w:header="539" w:footer="975" w:gutter="0"/>
      <w:cols w:space="53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9FE2" w14:textId="77777777" w:rsidR="00802427" w:rsidRPr="00DD0E43" w:rsidRDefault="00802427">
      <w:r w:rsidRPr="00DD0E43">
        <w:separator/>
      </w:r>
    </w:p>
  </w:endnote>
  <w:endnote w:type="continuationSeparator" w:id="0">
    <w:p w14:paraId="2A1AEC46" w14:textId="77777777" w:rsidR="00802427" w:rsidRPr="00DD0E43" w:rsidRDefault="00802427">
      <w:r w:rsidRPr="00DD0E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0024" w14:textId="4B9AEAED" w:rsidR="00B30518" w:rsidRPr="00B30518" w:rsidRDefault="00B30518" w:rsidP="00B30518">
    <w:pPr>
      <w:pStyle w:val="Footer-pool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297C" w14:textId="2CEB97B1" w:rsidR="00B30518" w:rsidRPr="00B30518" w:rsidRDefault="00B30518" w:rsidP="00B30518">
    <w:pPr>
      <w:pStyle w:val="Footer-pool"/>
      <w:jc w:val="right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058A" w14:textId="78CE7366" w:rsidR="00B30518" w:rsidRDefault="00F41A17" w:rsidP="00B30518">
    <w:pPr>
      <w:pStyle w:val="Footer-jobnumber"/>
    </w:pPr>
    <w:bookmarkStart w:id="10" w:name="FooterJobDate"/>
    <w:r>
      <w:t>K2610132[E]</w:t>
    </w:r>
    <w:r>
      <w:tab/>
      <w:t>140726</w:t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FC9E" w14:textId="77777777" w:rsidR="00802427" w:rsidRPr="00DD0E43" w:rsidRDefault="00802427" w:rsidP="007A4105">
      <w:pPr>
        <w:pStyle w:val="Footnote-Separato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</w:rPr>
      </w:pPr>
      <w:r w:rsidRPr="00DD0E43">
        <w:separator/>
      </w:r>
    </w:p>
  </w:footnote>
  <w:footnote w:type="continuationSeparator" w:id="0">
    <w:p w14:paraId="686DA6DC" w14:textId="77777777" w:rsidR="00802427" w:rsidRPr="00DD0E43" w:rsidRDefault="00802427" w:rsidP="00C70B49">
      <w:pPr>
        <w:pStyle w:val="Footnote-Separator"/>
      </w:pPr>
      <w:r w:rsidRPr="00DD0E43">
        <w:continuationSeparator/>
      </w:r>
    </w:p>
  </w:footnote>
  <w:footnote w:type="continuationNotice" w:id="1">
    <w:p w14:paraId="18A771E5" w14:textId="77777777" w:rsidR="00802427" w:rsidRPr="00DD0E43" w:rsidRDefault="00802427" w:rsidP="00C70B49">
      <w:pPr>
        <w:pStyle w:val="ASpacer"/>
      </w:pPr>
    </w:p>
  </w:footnote>
  <w:footnote w:id="2">
    <w:p w14:paraId="2F61F16A" w14:textId="27DF1F52" w:rsidR="00892FEA" w:rsidRPr="007A4105" w:rsidRDefault="00892FEA" w:rsidP="007A4105">
      <w:pPr>
        <w:pStyle w:val="Footnote-Text"/>
        <w:rPr>
          <w:szCs w:val="18"/>
        </w:rPr>
      </w:pPr>
      <w:r w:rsidRPr="007A4105">
        <w:rPr>
          <w:rStyle w:val="FootnoteReference"/>
          <w:sz w:val="18"/>
          <w:vertAlign w:val="baseline"/>
        </w:rPr>
        <w:t>*</w:t>
      </w:r>
      <w:r w:rsidRPr="007A4105">
        <w:rPr>
          <w:szCs w:val="18"/>
        </w:rPr>
        <w:t xml:space="preserve"> UNEP/OzL.Pro.WG.1/48/1.</w:t>
      </w:r>
    </w:p>
  </w:footnote>
  <w:footnote w:id="3">
    <w:p w14:paraId="49A81AF6" w14:textId="15CAC727" w:rsidR="001E31EE" w:rsidRPr="007A4105" w:rsidRDefault="001E31EE" w:rsidP="007A4105">
      <w:pPr>
        <w:pStyle w:val="FootnoteText"/>
        <w:tabs>
          <w:tab w:val="left" w:pos="624"/>
        </w:tabs>
        <w:spacing w:before="20" w:after="40"/>
        <w:ind w:left="1247"/>
        <w:rPr>
          <w:sz w:val="18"/>
          <w:szCs w:val="18"/>
        </w:rPr>
      </w:pPr>
      <w:r w:rsidRPr="007A4105">
        <w:rPr>
          <w:rStyle w:val="FootnoteReference"/>
          <w:sz w:val="18"/>
        </w:rPr>
        <w:footnoteRef/>
      </w:r>
      <w:r w:rsidRPr="007A4105">
        <w:rPr>
          <w:sz w:val="18"/>
          <w:szCs w:val="18"/>
        </w:rPr>
        <w:t xml:space="preserve"> </w:t>
      </w:r>
      <w:r w:rsidRPr="007A4105">
        <w:rPr>
          <w:rFonts w:eastAsiaTheme="minorEastAsia"/>
          <w:sz w:val="18"/>
          <w:szCs w:val="18"/>
        </w:rPr>
        <w:t xml:space="preserve">The </w:t>
      </w:r>
      <w:r w:rsidRPr="00631490">
        <w:rPr>
          <w:rFonts w:eastAsiaTheme="minorEastAsia"/>
          <w:sz w:val="18"/>
          <w:szCs w:val="18"/>
        </w:rPr>
        <w:t>latest terms of reference w</w:t>
      </w:r>
      <w:r w:rsidR="00274ECB" w:rsidRPr="00631490">
        <w:rPr>
          <w:rFonts w:eastAsiaTheme="minorEastAsia"/>
          <w:sz w:val="18"/>
          <w:szCs w:val="18"/>
        </w:rPr>
        <w:t>ere</w:t>
      </w:r>
      <w:r w:rsidRPr="00631490">
        <w:rPr>
          <w:rFonts w:eastAsiaTheme="minorEastAsia"/>
          <w:sz w:val="18"/>
          <w:szCs w:val="18"/>
        </w:rPr>
        <w:t xml:space="preserve"> adopted by the parties </w:t>
      </w:r>
      <w:r w:rsidR="0074538A" w:rsidRPr="00631490">
        <w:rPr>
          <w:rFonts w:eastAsiaTheme="minorEastAsia"/>
          <w:sz w:val="18"/>
          <w:szCs w:val="18"/>
        </w:rPr>
        <w:t>in</w:t>
      </w:r>
      <w:r w:rsidRPr="00631490">
        <w:rPr>
          <w:rFonts w:eastAsiaTheme="minorEastAsia"/>
          <w:sz w:val="18"/>
          <w:szCs w:val="18"/>
        </w:rPr>
        <w:t xml:space="preserve"> decision XXIV/8 of the </w:t>
      </w:r>
      <w:r w:rsidR="003E414E" w:rsidRPr="00631490">
        <w:rPr>
          <w:rFonts w:eastAsiaTheme="minorEastAsia"/>
          <w:sz w:val="18"/>
          <w:szCs w:val="18"/>
        </w:rPr>
        <w:t>Twenty-Fourth Meeting of the Parties</w:t>
      </w:r>
      <w:r w:rsidR="00631490" w:rsidRPr="00360094">
        <w:rPr>
          <w:rFonts w:eastAsiaTheme="minorEastAsi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A387" w14:textId="69D3AB30" w:rsidR="00603474" w:rsidRPr="00B30518" w:rsidRDefault="00B30518" w:rsidP="00B30518">
    <w:pPr>
      <w:pStyle w:val="Header-pool"/>
    </w:pPr>
    <w:r>
      <w:fldChar w:fldCharType="begin"/>
    </w:r>
    <w:r>
      <w:instrText xml:space="preserve"> StyleRef A_Symbol </w:instrText>
    </w:r>
    <w:r>
      <w:fldChar w:fldCharType="separate"/>
    </w:r>
    <w:r w:rsidR="00E572AC">
      <w:rPr>
        <w:noProof/>
      </w:rPr>
      <w:t>UNEP/OzL.Pro.WG.1/48/4/Add.1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F541" w14:textId="61627E8F" w:rsidR="00603474" w:rsidRPr="00B30518" w:rsidRDefault="00B30518" w:rsidP="00B30518">
    <w:pPr>
      <w:pStyle w:val="Header-pool"/>
      <w:jc w:val="right"/>
    </w:pPr>
    <w:r>
      <w:fldChar w:fldCharType="begin"/>
    </w:r>
    <w:r>
      <w:instrText xml:space="preserve"> StyleRef A_Symbol </w:instrText>
    </w:r>
    <w:r>
      <w:fldChar w:fldCharType="separate"/>
    </w:r>
    <w:r w:rsidR="00E572AC">
      <w:rPr>
        <w:noProof/>
      </w:rPr>
      <w:t>UNEP/OzL.Pro.WG.1/48/4/Add.1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B0822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0AF36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8A4CA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D0757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0FC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DE79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702E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0A17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441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BAE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2EB7"/>
    <w:multiLevelType w:val="singleLevel"/>
    <w:tmpl w:val="24F2E210"/>
    <w:lvl w:ilvl="0">
      <w:start w:val="1"/>
      <w:numFmt w:val="decimal"/>
      <w:pStyle w:val="Paralevel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12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59C10553"/>
    <w:multiLevelType w:val="hybridMultilevel"/>
    <w:tmpl w:val="D900668A"/>
    <w:lvl w:ilvl="0" w:tplc="809ED36C">
      <w:start w:val="1"/>
      <w:numFmt w:val="lowerLetter"/>
      <w:lvlText w:val="(%1)"/>
      <w:lvlJc w:val="left"/>
      <w:pPr>
        <w:ind w:left="253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254" w:hanging="360"/>
      </w:pPr>
    </w:lvl>
    <w:lvl w:ilvl="2" w:tplc="2000001B" w:tentative="1">
      <w:start w:val="1"/>
      <w:numFmt w:val="lowerRoman"/>
      <w:lvlText w:val="%3."/>
      <w:lvlJc w:val="right"/>
      <w:pPr>
        <w:ind w:left="3974" w:hanging="180"/>
      </w:pPr>
    </w:lvl>
    <w:lvl w:ilvl="3" w:tplc="2000000F" w:tentative="1">
      <w:start w:val="1"/>
      <w:numFmt w:val="decimal"/>
      <w:lvlText w:val="%4."/>
      <w:lvlJc w:val="left"/>
      <w:pPr>
        <w:ind w:left="4694" w:hanging="360"/>
      </w:pPr>
    </w:lvl>
    <w:lvl w:ilvl="4" w:tplc="20000019" w:tentative="1">
      <w:start w:val="1"/>
      <w:numFmt w:val="lowerLetter"/>
      <w:lvlText w:val="%5."/>
      <w:lvlJc w:val="left"/>
      <w:pPr>
        <w:ind w:left="5414" w:hanging="360"/>
      </w:pPr>
    </w:lvl>
    <w:lvl w:ilvl="5" w:tplc="2000001B" w:tentative="1">
      <w:start w:val="1"/>
      <w:numFmt w:val="lowerRoman"/>
      <w:lvlText w:val="%6."/>
      <w:lvlJc w:val="right"/>
      <w:pPr>
        <w:ind w:left="6134" w:hanging="180"/>
      </w:pPr>
    </w:lvl>
    <w:lvl w:ilvl="6" w:tplc="2000000F" w:tentative="1">
      <w:start w:val="1"/>
      <w:numFmt w:val="decimal"/>
      <w:lvlText w:val="%7."/>
      <w:lvlJc w:val="left"/>
      <w:pPr>
        <w:ind w:left="6854" w:hanging="360"/>
      </w:pPr>
    </w:lvl>
    <w:lvl w:ilvl="7" w:tplc="20000019" w:tentative="1">
      <w:start w:val="1"/>
      <w:numFmt w:val="lowerLetter"/>
      <w:lvlText w:val="%8."/>
      <w:lvlJc w:val="left"/>
      <w:pPr>
        <w:ind w:left="7574" w:hanging="360"/>
      </w:pPr>
    </w:lvl>
    <w:lvl w:ilvl="8" w:tplc="2000001B" w:tentative="1">
      <w:start w:val="1"/>
      <w:numFmt w:val="lowerRoman"/>
      <w:lvlText w:val="%9."/>
      <w:lvlJc w:val="right"/>
      <w:pPr>
        <w:ind w:left="8294" w:hanging="180"/>
      </w:pPr>
    </w:lvl>
  </w:abstractNum>
  <w:abstractNum w:abstractNumId="16" w15:restartNumberingAfterBreak="0">
    <w:nsid w:val="695704B4"/>
    <w:multiLevelType w:val="hybridMultilevel"/>
    <w:tmpl w:val="E5AA27F4"/>
    <w:lvl w:ilvl="0" w:tplc="0AC466B8">
      <w:start w:val="1"/>
      <w:numFmt w:val="upperLetter"/>
      <w:pStyle w:val="SubheadingUNEP"/>
      <w:lvlText w:val="%1."/>
      <w:lvlJc w:val="left"/>
      <w:pPr>
        <w:ind w:left="1608" w:hanging="360"/>
      </w:pPr>
      <w:rPr>
        <w:rFonts w:hint="default"/>
        <w:b/>
        <w:bCs/>
      </w:rPr>
    </w:lvl>
    <w:lvl w:ilvl="1" w:tplc="CCB4A886">
      <w:start w:val="1"/>
      <w:numFmt w:val="lowerLetter"/>
      <w:pStyle w:val="Style1"/>
      <w:lvlText w:val="%2."/>
      <w:lvlJc w:val="left"/>
      <w:pPr>
        <w:ind w:left="2064" w:hanging="360"/>
      </w:pPr>
    </w:lvl>
    <w:lvl w:ilvl="2" w:tplc="06428A7E">
      <w:start w:val="1"/>
      <w:numFmt w:val="lowerRoman"/>
      <w:pStyle w:val="Style2"/>
      <w:lvlText w:val="%3."/>
      <w:lvlJc w:val="right"/>
      <w:pPr>
        <w:ind w:left="2784" w:hanging="180"/>
      </w:pPr>
    </w:lvl>
    <w:lvl w:ilvl="3" w:tplc="2000000F" w:tentative="1">
      <w:start w:val="1"/>
      <w:numFmt w:val="decimal"/>
      <w:lvlText w:val="%4."/>
      <w:lvlJc w:val="left"/>
      <w:pPr>
        <w:ind w:left="3504" w:hanging="360"/>
      </w:pPr>
    </w:lvl>
    <w:lvl w:ilvl="4" w:tplc="20000019" w:tentative="1">
      <w:start w:val="1"/>
      <w:numFmt w:val="lowerLetter"/>
      <w:lvlText w:val="%5."/>
      <w:lvlJc w:val="left"/>
      <w:pPr>
        <w:ind w:left="4224" w:hanging="360"/>
      </w:pPr>
    </w:lvl>
    <w:lvl w:ilvl="5" w:tplc="2000001B" w:tentative="1">
      <w:start w:val="1"/>
      <w:numFmt w:val="lowerRoman"/>
      <w:lvlText w:val="%6."/>
      <w:lvlJc w:val="right"/>
      <w:pPr>
        <w:ind w:left="4944" w:hanging="180"/>
      </w:pPr>
    </w:lvl>
    <w:lvl w:ilvl="6" w:tplc="2000000F" w:tentative="1">
      <w:start w:val="1"/>
      <w:numFmt w:val="decimal"/>
      <w:lvlText w:val="%7."/>
      <w:lvlJc w:val="left"/>
      <w:pPr>
        <w:ind w:left="5664" w:hanging="360"/>
      </w:pPr>
    </w:lvl>
    <w:lvl w:ilvl="7" w:tplc="20000019" w:tentative="1">
      <w:start w:val="1"/>
      <w:numFmt w:val="lowerLetter"/>
      <w:lvlText w:val="%8."/>
      <w:lvlJc w:val="left"/>
      <w:pPr>
        <w:ind w:left="6384" w:hanging="360"/>
      </w:pPr>
    </w:lvl>
    <w:lvl w:ilvl="8" w:tplc="2000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7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18" w15:restartNumberingAfterBreak="0">
    <w:nsid w:val="7DAA31BE"/>
    <w:multiLevelType w:val="hybridMultilevel"/>
    <w:tmpl w:val="ADB2FA86"/>
    <w:lvl w:ilvl="0" w:tplc="A6B4E446">
      <w:start w:val="1"/>
      <w:numFmt w:val="upperRoman"/>
      <w:pStyle w:val="HeadingUNEP"/>
      <w:lvlText w:val="%1."/>
      <w:lvlJc w:val="left"/>
      <w:pPr>
        <w:ind w:left="134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560672902">
    <w:abstractNumId w:val="14"/>
  </w:num>
  <w:num w:numId="2" w16cid:durableId="1242644713">
    <w:abstractNumId w:val="17"/>
  </w:num>
  <w:num w:numId="3" w16cid:durableId="1933662228">
    <w:abstractNumId w:val="13"/>
  </w:num>
  <w:num w:numId="4" w16cid:durableId="1991909117">
    <w:abstractNumId w:val="10"/>
  </w:num>
  <w:num w:numId="5" w16cid:durableId="1138956019">
    <w:abstractNumId w:val="12"/>
  </w:num>
  <w:num w:numId="6" w16cid:durableId="1666086754">
    <w:abstractNumId w:val="9"/>
  </w:num>
  <w:num w:numId="7" w16cid:durableId="967929756">
    <w:abstractNumId w:val="7"/>
  </w:num>
  <w:num w:numId="8" w16cid:durableId="276447677">
    <w:abstractNumId w:val="6"/>
  </w:num>
  <w:num w:numId="9" w16cid:durableId="1413309388">
    <w:abstractNumId w:val="5"/>
  </w:num>
  <w:num w:numId="10" w16cid:durableId="1156189173">
    <w:abstractNumId w:val="4"/>
  </w:num>
  <w:num w:numId="11" w16cid:durableId="279840995">
    <w:abstractNumId w:val="8"/>
  </w:num>
  <w:num w:numId="12" w16cid:durableId="1385717521">
    <w:abstractNumId w:val="3"/>
  </w:num>
  <w:num w:numId="13" w16cid:durableId="226190991">
    <w:abstractNumId w:val="2"/>
  </w:num>
  <w:num w:numId="14" w16cid:durableId="343171911">
    <w:abstractNumId w:val="1"/>
  </w:num>
  <w:num w:numId="15" w16cid:durableId="1192569797">
    <w:abstractNumId w:val="0"/>
  </w:num>
  <w:num w:numId="16" w16cid:durableId="1431969749">
    <w:abstractNumId w:val="11"/>
    <w:lvlOverride w:ilvl="0">
      <w:startOverride w:val="1"/>
    </w:lvlOverride>
  </w:num>
  <w:num w:numId="17" w16cid:durableId="375859745">
    <w:abstractNumId w:val="18"/>
  </w:num>
  <w:num w:numId="18" w16cid:durableId="295795592">
    <w:abstractNumId w:val="16"/>
  </w:num>
  <w:num w:numId="19" w16cid:durableId="52894613">
    <w:abstractNumId w:val="15"/>
  </w:num>
  <w:num w:numId="20" w16cid:durableId="160688661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A0"/>
    <w:rsid w:val="00000F37"/>
    <w:rsid w:val="000014BE"/>
    <w:rsid w:val="000017CA"/>
    <w:rsid w:val="00002B71"/>
    <w:rsid w:val="00003472"/>
    <w:rsid w:val="000046E5"/>
    <w:rsid w:val="0000501B"/>
    <w:rsid w:val="00006E03"/>
    <w:rsid w:val="000072CA"/>
    <w:rsid w:val="0001031F"/>
    <w:rsid w:val="0001033B"/>
    <w:rsid w:val="00011465"/>
    <w:rsid w:val="000116ED"/>
    <w:rsid w:val="00011B86"/>
    <w:rsid w:val="000124CD"/>
    <w:rsid w:val="00012E85"/>
    <w:rsid w:val="00012FD6"/>
    <w:rsid w:val="000138A2"/>
    <w:rsid w:val="000138CC"/>
    <w:rsid w:val="000143BA"/>
    <w:rsid w:val="000149E6"/>
    <w:rsid w:val="00016981"/>
    <w:rsid w:val="00016AF3"/>
    <w:rsid w:val="000175C3"/>
    <w:rsid w:val="000176D0"/>
    <w:rsid w:val="000208C8"/>
    <w:rsid w:val="00020ABF"/>
    <w:rsid w:val="00021DAB"/>
    <w:rsid w:val="000228B6"/>
    <w:rsid w:val="00023DB4"/>
    <w:rsid w:val="0002420D"/>
    <w:rsid w:val="0002428C"/>
    <w:rsid w:val="000243C7"/>
    <w:rsid w:val="000247B0"/>
    <w:rsid w:val="00024B5E"/>
    <w:rsid w:val="00024C5B"/>
    <w:rsid w:val="00024E2C"/>
    <w:rsid w:val="00025817"/>
    <w:rsid w:val="00025A1C"/>
    <w:rsid w:val="00026449"/>
    <w:rsid w:val="00026997"/>
    <w:rsid w:val="00026A3C"/>
    <w:rsid w:val="000270BF"/>
    <w:rsid w:val="000271B9"/>
    <w:rsid w:val="00027249"/>
    <w:rsid w:val="00027E4E"/>
    <w:rsid w:val="000309B7"/>
    <w:rsid w:val="00030CA6"/>
    <w:rsid w:val="00030DBF"/>
    <w:rsid w:val="00031428"/>
    <w:rsid w:val="00031F99"/>
    <w:rsid w:val="0003265F"/>
    <w:rsid w:val="00032D10"/>
    <w:rsid w:val="0003322C"/>
    <w:rsid w:val="00033E0B"/>
    <w:rsid w:val="00034006"/>
    <w:rsid w:val="00034262"/>
    <w:rsid w:val="000345E6"/>
    <w:rsid w:val="00035DB8"/>
    <w:rsid w:val="00035EDE"/>
    <w:rsid w:val="00036A4B"/>
    <w:rsid w:val="00036C53"/>
    <w:rsid w:val="00037610"/>
    <w:rsid w:val="00037899"/>
    <w:rsid w:val="00037A22"/>
    <w:rsid w:val="0004014B"/>
    <w:rsid w:val="00040B23"/>
    <w:rsid w:val="000415C7"/>
    <w:rsid w:val="000418ED"/>
    <w:rsid w:val="00041BB2"/>
    <w:rsid w:val="00042E82"/>
    <w:rsid w:val="00042FD9"/>
    <w:rsid w:val="00044354"/>
    <w:rsid w:val="0004447D"/>
    <w:rsid w:val="000449E0"/>
    <w:rsid w:val="00044BE8"/>
    <w:rsid w:val="0004520F"/>
    <w:rsid w:val="00045261"/>
    <w:rsid w:val="00045404"/>
    <w:rsid w:val="000454F9"/>
    <w:rsid w:val="0004588F"/>
    <w:rsid w:val="00046450"/>
    <w:rsid w:val="00046B54"/>
    <w:rsid w:val="00047D47"/>
    <w:rsid w:val="0005018C"/>
    <w:rsid w:val="000509B4"/>
    <w:rsid w:val="00050A38"/>
    <w:rsid w:val="000518A0"/>
    <w:rsid w:val="00053237"/>
    <w:rsid w:val="00053453"/>
    <w:rsid w:val="00054CC7"/>
    <w:rsid w:val="000553CF"/>
    <w:rsid w:val="000554D5"/>
    <w:rsid w:val="000559E5"/>
    <w:rsid w:val="00055D5F"/>
    <w:rsid w:val="00056227"/>
    <w:rsid w:val="00056262"/>
    <w:rsid w:val="000568BD"/>
    <w:rsid w:val="00056B2C"/>
    <w:rsid w:val="00056EE4"/>
    <w:rsid w:val="0006035B"/>
    <w:rsid w:val="0006089E"/>
    <w:rsid w:val="00061017"/>
    <w:rsid w:val="000615AB"/>
    <w:rsid w:val="00062ACA"/>
    <w:rsid w:val="00062D48"/>
    <w:rsid w:val="00063962"/>
    <w:rsid w:val="000644C9"/>
    <w:rsid w:val="0006501C"/>
    <w:rsid w:val="00065CAA"/>
    <w:rsid w:val="00065F5D"/>
    <w:rsid w:val="00066F3F"/>
    <w:rsid w:val="00067245"/>
    <w:rsid w:val="0006751B"/>
    <w:rsid w:val="00067C4A"/>
    <w:rsid w:val="0007030B"/>
    <w:rsid w:val="000712E8"/>
    <w:rsid w:val="0007166E"/>
    <w:rsid w:val="00071886"/>
    <w:rsid w:val="0007188A"/>
    <w:rsid w:val="000739EA"/>
    <w:rsid w:val="000742BC"/>
    <w:rsid w:val="00074C61"/>
    <w:rsid w:val="0007595D"/>
    <w:rsid w:val="00075C95"/>
    <w:rsid w:val="00076A3F"/>
    <w:rsid w:val="00076FBC"/>
    <w:rsid w:val="0007718F"/>
    <w:rsid w:val="00077276"/>
    <w:rsid w:val="0007741C"/>
    <w:rsid w:val="0007746E"/>
    <w:rsid w:val="0008041D"/>
    <w:rsid w:val="00080702"/>
    <w:rsid w:val="000807DC"/>
    <w:rsid w:val="00080837"/>
    <w:rsid w:val="00082217"/>
    <w:rsid w:val="00082767"/>
    <w:rsid w:val="00082A0C"/>
    <w:rsid w:val="00082A8C"/>
    <w:rsid w:val="00082DBF"/>
    <w:rsid w:val="00082DCD"/>
    <w:rsid w:val="00083504"/>
    <w:rsid w:val="00083576"/>
    <w:rsid w:val="000845AE"/>
    <w:rsid w:val="000859AA"/>
    <w:rsid w:val="00085ABD"/>
    <w:rsid w:val="00085B53"/>
    <w:rsid w:val="00085E07"/>
    <w:rsid w:val="0008710B"/>
    <w:rsid w:val="00087465"/>
    <w:rsid w:val="00087559"/>
    <w:rsid w:val="00090BA1"/>
    <w:rsid w:val="000910C8"/>
    <w:rsid w:val="00091CB7"/>
    <w:rsid w:val="000922B7"/>
    <w:rsid w:val="00093AAE"/>
    <w:rsid w:val="00094499"/>
    <w:rsid w:val="00094893"/>
    <w:rsid w:val="0009571C"/>
    <w:rsid w:val="0009640C"/>
    <w:rsid w:val="00096824"/>
    <w:rsid w:val="00096E02"/>
    <w:rsid w:val="0009704F"/>
    <w:rsid w:val="00097178"/>
    <w:rsid w:val="000A0062"/>
    <w:rsid w:val="000A00EB"/>
    <w:rsid w:val="000A0743"/>
    <w:rsid w:val="000A0957"/>
    <w:rsid w:val="000A0B2E"/>
    <w:rsid w:val="000A203A"/>
    <w:rsid w:val="000A22CB"/>
    <w:rsid w:val="000A37B4"/>
    <w:rsid w:val="000A3D28"/>
    <w:rsid w:val="000A4D32"/>
    <w:rsid w:val="000A550F"/>
    <w:rsid w:val="000A5CA3"/>
    <w:rsid w:val="000A6689"/>
    <w:rsid w:val="000A75AE"/>
    <w:rsid w:val="000B21D5"/>
    <w:rsid w:val="000B2290"/>
    <w:rsid w:val="000B22A2"/>
    <w:rsid w:val="000B2648"/>
    <w:rsid w:val="000B2AD8"/>
    <w:rsid w:val="000B3519"/>
    <w:rsid w:val="000B3B2E"/>
    <w:rsid w:val="000B3D3F"/>
    <w:rsid w:val="000B6344"/>
    <w:rsid w:val="000B640B"/>
    <w:rsid w:val="000B6F07"/>
    <w:rsid w:val="000B72C1"/>
    <w:rsid w:val="000B758C"/>
    <w:rsid w:val="000C0052"/>
    <w:rsid w:val="000C2A52"/>
    <w:rsid w:val="000C2A62"/>
    <w:rsid w:val="000C375E"/>
    <w:rsid w:val="000C4156"/>
    <w:rsid w:val="000C46A9"/>
    <w:rsid w:val="000C48F5"/>
    <w:rsid w:val="000C62EA"/>
    <w:rsid w:val="000C6319"/>
    <w:rsid w:val="000C64FD"/>
    <w:rsid w:val="000C6792"/>
    <w:rsid w:val="000C6A0B"/>
    <w:rsid w:val="000C77E5"/>
    <w:rsid w:val="000C7953"/>
    <w:rsid w:val="000C7F24"/>
    <w:rsid w:val="000D0BFF"/>
    <w:rsid w:val="000D0C01"/>
    <w:rsid w:val="000D166C"/>
    <w:rsid w:val="000D1777"/>
    <w:rsid w:val="000D1CC8"/>
    <w:rsid w:val="000D1F37"/>
    <w:rsid w:val="000D2713"/>
    <w:rsid w:val="000D28E0"/>
    <w:rsid w:val="000D2D65"/>
    <w:rsid w:val="000D32CE"/>
    <w:rsid w:val="000D33C0"/>
    <w:rsid w:val="000D3500"/>
    <w:rsid w:val="000D48BE"/>
    <w:rsid w:val="000D49B5"/>
    <w:rsid w:val="000D4EEB"/>
    <w:rsid w:val="000D5884"/>
    <w:rsid w:val="000D6941"/>
    <w:rsid w:val="000D70A3"/>
    <w:rsid w:val="000D71A8"/>
    <w:rsid w:val="000D71B6"/>
    <w:rsid w:val="000D7714"/>
    <w:rsid w:val="000D7A35"/>
    <w:rsid w:val="000D7C39"/>
    <w:rsid w:val="000E0405"/>
    <w:rsid w:val="000E0BFB"/>
    <w:rsid w:val="000E1027"/>
    <w:rsid w:val="000E106D"/>
    <w:rsid w:val="000E19D6"/>
    <w:rsid w:val="000E1F5F"/>
    <w:rsid w:val="000E206C"/>
    <w:rsid w:val="000E26D0"/>
    <w:rsid w:val="000E2A4B"/>
    <w:rsid w:val="000E2BDC"/>
    <w:rsid w:val="000E2F34"/>
    <w:rsid w:val="000E33F1"/>
    <w:rsid w:val="000E3986"/>
    <w:rsid w:val="000E49E4"/>
    <w:rsid w:val="000E6145"/>
    <w:rsid w:val="000E6DD3"/>
    <w:rsid w:val="000E6F01"/>
    <w:rsid w:val="000E7252"/>
    <w:rsid w:val="000E766F"/>
    <w:rsid w:val="000F07DA"/>
    <w:rsid w:val="000F0E89"/>
    <w:rsid w:val="000F13FD"/>
    <w:rsid w:val="000F26C7"/>
    <w:rsid w:val="000F2A88"/>
    <w:rsid w:val="000F3EA4"/>
    <w:rsid w:val="000F415C"/>
    <w:rsid w:val="000F42A6"/>
    <w:rsid w:val="000F4E0A"/>
    <w:rsid w:val="000F5515"/>
    <w:rsid w:val="000F56F3"/>
    <w:rsid w:val="000F65AA"/>
    <w:rsid w:val="000F6CFF"/>
    <w:rsid w:val="000F7079"/>
    <w:rsid w:val="000F7475"/>
    <w:rsid w:val="000F7E1E"/>
    <w:rsid w:val="001001BE"/>
    <w:rsid w:val="00100288"/>
    <w:rsid w:val="00100503"/>
    <w:rsid w:val="0010085D"/>
    <w:rsid w:val="00100E31"/>
    <w:rsid w:val="00102D3C"/>
    <w:rsid w:val="0010355F"/>
    <w:rsid w:val="001035E2"/>
    <w:rsid w:val="001037B1"/>
    <w:rsid w:val="00103F46"/>
    <w:rsid w:val="00104A8F"/>
    <w:rsid w:val="00104C01"/>
    <w:rsid w:val="00104C2F"/>
    <w:rsid w:val="00105487"/>
    <w:rsid w:val="00105583"/>
    <w:rsid w:val="001057D0"/>
    <w:rsid w:val="00105ADF"/>
    <w:rsid w:val="001061D4"/>
    <w:rsid w:val="001077BE"/>
    <w:rsid w:val="00107AE0"/>
    <w:rsid w:val="00107CDA"/>
    <w:rsid w:val="00107D78"/>
    <w:rsid w:val="00107FAB"/>
    <w:rsid w:val="001110EB"/>
    <w:rsid w:val="00111172"/>
    <w:rsid w:val="00113777"/>
    <w:rsid w:val="001142AC"/>
    <w:rsid w:val="001149FD"/>
    <w:rsid w:val="0011514C"/>
    <w:rsid w:val="00115DD2"/>
    <w:rsid w:val="00115F73"/>
    <w:rsid w:val="00116AE2"/>
    <w:rsid w:val="0011749B"/>
    <w:rsid w:val="00117B3F"/>
    <w:rsid w:val="001202E3"/>
    <w:rsid w:val="00121817"/>
    <w:rsid w:val="00121840"/>
    <w:rsid w:val="00122865"/>
    <w:rsid w:val="0012363E"/>
    <w:rsid w:val="00123699"/>
    <w:rsid w:val="00123C75"/>
    <w:rsid w:val="001244C0"/>
    <w:rsid w:val="00125E5D"/>
    <w:rsid w:val="00126F34"/>
    <w:rsid w:val="00127A3A"/>
    <w:rsid w:val="001300ED"/>
    <w:rsid w:val="0013059D"/>
    <w:rsid w:val="00131864"/>
    <w:rsid w:val="00131B99"/>
    <w:rsid w:val="00132776"/>
    <w:rsid w:val="0013381D"/>
    <w:rsid w:val="00133B35"/>
    <w:rsid w:val="00134935"/>
    <w:rsid w:val="0013516D"/>
    <w:rsid w:val="001356DE"/>
    <w:rsid w:val="0013669D"/>
    <w:rsid w:val="0014083A"/>
    <w:rsid w:val="00141A55"/>
    <w:rsid w:val="00141F2F"/>
    <w:rsid w:val="001429A3"/>
    <w:rsid w:val="00142B1E"/>
    <w:rsid w:val="001439E0"/>
    <w:rsid w:val="00144485"/>
    <w:rsid w:val="001446A3"/>
    <w:rsid w:val="00144EFF"/>
    <w:rsid w:val="00145BBB"/>
    <w:rsid w:val="00145F46"/>
    <w:rsid w:val="00147400"/>
    <w:rsid w:val="0014788B"/>
    <w:rsid w:val="001479BE"/>
    <w:rsid w:val="00151D56"/>
    <w:rsid w:val="00152497"/>
    <w:rsid w:val="00153295"/>
    <w:rsid w:val="0015381F"/>
    <w:rsid w:val="00153AC2"/>
    <w:rsid w:val="00153B9B"/>
    <w:rsid w:val="00154054"/>
    <w:rsid w:val="00155395"/>
    <w:rsid w:val="00155B73"/>
    <w:rsid w:val="00155E65"/>
    <w:rsid w:val="00156A35"/>
    <w:rsid w:val="00156E07"/>
    <w:rsid w:val="0015742B"/>
    <w:rsid w:val="00157B24"/>
    <w:rsid w:val="00157CA5"/>
    <w:rsid w:val="0016077F"/>
    <w:rsid w:val="0016124D"/>
    <w:rsid w:val="00161549"/>
    <w:rsid w:val="00162A37"/>
    <w:rsid w:val="00163FED"/>
    <w:rsid w:val="00164F64"/>
    <w:rsid w:val="001654E2"/>
    <w:rsid w:val="00165573"/>
    <w:rsid w:val="0016576E"/>
    <w:rsid w:val="00165D18"/>
    <w:rsid w:val="00166591"/>
    <w:rsid w:val="00166ACD"/>
    <w:rsid w:val="00167B78"/>
    <w:rsid w:val="00167E3A"/>
    <w:rsid w:val="00170C44"/>
    <w:rsid w:val="00170F1F"/>
    <w:rsid w:val="00171C8A"/>
    <w:rsid w:val="001726AA"/>
    <w:rsid w:val="00172C2F"/>
    <w:rsid w:val="00172E2D"/>
    <w:rsid w:val="00172E6C"/>
    <w:rsid w:val="00173366"/>
    <w:rsid w:val="00173D27"/>
    <w:rsid w:val="00173FEA"/>
    <w:rsid w:val="001743BB"/>
    <w:rsid w:val="00174739"/>
    <w:rsid w:val="00175D08"/>
    <w:rsid w:val="001765A7"/>
    <w:rsid w:val="00176F61"/>
    <w:rsid w:val="00180661"/>
    <w:rsid w:val="0018127C"/>
    <w:rsid w:val="00181791"/>
    <w:rsid w:val="00181EC8"/>
    <w:rsid w:val="00181FC0"/>
    <w:rsid w:val="001821BC"/>
    <w:rsid w:val="0018222A"/>
    <w:rsid w:val="00182CFB"/>
    <w:rsid w:val="00184349"/>
    <w:rsid w:val="001843B4"/>
    <w:rsid w:val="00185DA4"/>
    <w:rsid w:val="0018683F"/>
    <w:rsid w:val="001868CB"/>
    <w:rsid w:val="0018711B"/>
    <w:rsid w:val="00187364"/>
    <w:rsid w:val="0019002A"/>
    <w:rsid w:val="0019127C"/>
    <w:rsid w:val="001915BF"/>
    <w:rsid w:val="0019161E"/>
    <w:rsid w:val="0019169D"/>
    <w:rsid w:val="00191E0D"/>
    <w:rsid w:val="00191F72"/>
    <w:rsid w:val="001934F2"/>
    <w:rsid w:val="00193779"/>
    <w:rsid w:val="00194038"/>
    <w:rsid w:val="00194A02"/>
    <w:rsid w:val="00194D94"/>
    <w:rsid w:val="001951AA"/>
    <w:rsid w:val="001953FA"/>
    <w:rsid w:val="00195F33"/>
    <w:rsid w:val="00196009"/>
    <w:rsid w:val="00196917"/>
    <w:rsid w:val="00196A79"/>
    <w:rsid w:val="0019709B"/>
    <w:rsid w:val="001973A6"/>
    <w:rsid w:val="00197420"/>
    <w:rsid w:val="00197ADC"/>
    <w:rsid w:val="00197C63"/>
    <w:rsid w:val="00197CE0"/>
    <w:rsid w:val="001A0647"/>
    <w:rsid w:val="001A159D"/>
    <w:rsid w:val="001A18A1"/>
    <w:rsid w:val="001A1F09"/>
    <w:rsid w:val="001A26BB"/>
    <w:rsid w:val="001A2D9C"/>
    <w:rsid w:val="001A3D55"/>
    <w:rsid w:val="001A4B19"/>
    <w:rsid w:val="001A4D7E"/>
    <w:rsid w:val="001A513A"/>
    <w:rsid w:val="001A5B9D"/>
    <w:rsid w:val="001A5EE1"/>
    <w:rsid w:val="001A6204"/>
    <w:rsid w:val="001A666E"/>
    <w:rsid w:val="001A7827"/>
    <w:rsid w:val="001A7DEC"/>
    <w:rsid w:val="001A7FF9"/>
    <w:rsid w:val="001B09A2"/>
    <w:rsid w:val="001B09E2"/>
    <w:rsid w:val="001B0E92"/>
    <w:rsid w:val="001B1545"/>
    <w:rsid w:val="001B1617"/>
    <w:rsid w:val="001B1C3B"/>
    <w:rsid w:val="001B1F91"/>
    <w:rsid w:val="001B2C29"/>
    <w:rsid w:val="001B3A21"/>
    <w:rsid w:val="001B3C57"/>
    <w:rsid w:val="001B3C90"/>
    <w:rsid w:val="001B4A6A"/>
    <w:rsid w:val="001B504B"/>
    <w:rsid w:val="001B5D70"/>
    <w:rsid w:val="001B5EA4"/>
    <w:rsid w:val="001B628B"/>
    <w:rsid w:val="001B6529"/>
    <w:rsid w:val="001B6B99"/>
    <w:rsid w:val="001B7F29"/>
    <w:rsid w:val="001C08D3"/>
    <w:rsid w:val="001C29FC"/>
    <w:rsid w:val="001C2EB5"/>
    <w:rsid w:val="001C3C81"/>
    <w:rsid w:val="001C3D92"/>
    <w:rsid w:val="001C3F12"/>
    <w:rsid w:val="001C4CF4"/>
    <w:rsid w:val="001C5100"/>
    <w:rsid w:val="001C5605"/>
    <w:rsid w:val="001C57C1"/>
    <w:rsid w:val="001C62A3"/>
    <w:rsid w:val="001C6BEE"/>
    <w:rsid w:val="001C7C78"/>
    <w:rsid w:val="001D0256"/>
    <w:rsid w:val="001D0C1E"/>
    <w:rsid w:val="001D1845"/>
    <w:rsid w:val="001D261D"/>
    <w:rsid w:val="001D2CC8"/>
    <w:rsid w:val="001D3874"/>
    <w:rsid w:val="001D3F08"/>
    <w:rsid w:val="001D46E3"/>
    <w:rsid w:val="001D47F9"/>
    <w:rsid w:val="001D5344"/>
    <w:rsid w:val="001D644D"/>
    <w:rsid w:val="001D66E8"/>
    <w:rsid w:val="001D6A21"/>
    <w:rsid w:val="001D6D01"/>
    <w:rsid w:val="001D7E75"/>
    <w:rsid w:val="001E146A"/>
    <w:rsid w:val="001E1C80"/>
    <w:rsid w:val="001E2093"/>
    <w:rsid w:val="001E22D1"/>
    <w:rsid w:val="001E297D"/>
    <w:rsid w:val="001E2D49"/>
    <w:rsid w:val="001E31EE"/>
    <w:rsid w:val="001E38CB"/>
    <w:rsid w:val="001E3EF7"/>
    <w:rsid w:val="001E56D2"/>
    <w:rsid w:val="001E5715"/>
    <w:rsid w:val="001E5C57"/>
    <w:rsid w:val="001E5F26"/>
    <w:rsid w:val="001E61DF"/>
    <w:rsid w:val="001E6D8E"/>
    <w:rsid w:val="001E6F42"/>
    <w:rsid w:val="001E75F0"/>
    <w:rsid w:val="001E77D2"/>
    <w:rsid w:val="001E7A51"/>
    <w:rsid w:val="001E7D56"/>
    <w:rsid w:val="001E7EDD"/>
    <w:rsid w:val="001F05D5"/>
    <w:rsid w:val="001F0908"/>
    <w:rsid w:val="001F0B12"/>
    <w:rsid w:val="001F0ED2"/>
    <w:rsid w:val="001F1351"/>
    <w:rsid w:val="001F1A25"/>
    <w:rsid w:val="001F26A4"/>
    <w:rsid w:val="001F3192"/>
    <w:rsid w:val="001F4005"/>
    <w:rsid w:val="001F4BF5"/>
    <w:rsid w:val="001F4FB9"/>
    <w:rsid w:val="001F5271"/>
    <w:rsid w:val="001F5691"/>
    <w:rsid w:val="001F5711"/>
    <w:rsid w:val="001F5A9B"/>
    <w:rsid w:val="001F62E4"/>
    <w:rsid w:val="001F6491"/>
    <w:rsid w:val="001F6C0D"/>
    <w:rsid w:val="001F75DE"/>
    <w:rsid w:val="00200407"/>
    <w:rsid w:val="00200D58"/>
    <w:rsid w:val="00200E5B"/>
    <w:rsid w:val="002010C2"/>
    <w:rsid w:val="002013BE"/>
    <w:rsid w:val="002028DB"/>
    <w:rsid w:val="00202BA5"/>
    <w:rsid w:val="002036D9"/>
    <w:rsid w:val="00203B1A"/>
    <w:rsid w:val="00203E9F"/>
    <w:rsid w:val="00204A6F"/>
    <w:rsid w:val="00204ED7"/>
    <w:rsid w:val="00205C15"/>
    <w:rsid w:val="00205EB1"/>
    <w:rsid w:val="00205EBC"/>
    <w:rsid w:val="002063A4"/>
    <w:rsid w:val="00206648"/>
    <w:rsid w:val="00206F97"/>
    <w:rsid w:val="00207E96"/>
    <w:rsid w:val="00210718"/>
    <w:rsid w:val="0021145B"/>
    <w:rsid w:val="00212D85"/>
    <w:rsid w:val="00213C51"/>
    <w:rsid w:val="00213FC2"/>
    <w:rsid w:val="00214277"/>
    <w:rsid w:val="00214BE3"/>
    <w:rsid w:val="00214E1E"/>
    <w:rsid w:val="00215034"/>
    <w:rsid w:val="0021534D"/>
    <w:rsid w:val="00215CA1"/>
    <w:rsid w:val="00216176"/>
    <w:rsid w:val="00216627"/>
    <w:rsid w:val="00216A6D"/>
    <w:rsid w:val="00216F33"/>
    <w:rsid w:val="00217854"/>
    <w:rsid w:val="00217CCD"/>
    <w:rsid w:val="00220304"/>
    <w:rsid w:val="002218CE"/>
    <w:rsid w:val="00223197"/>
    <w:rsid w:val="002231F7"/>
    <w:rsid w:val="00224C83"/>
    <w:rsid w:val="00225167"/>
    <w:rsid w:val="00225628"/>
    <w:rsid w:val="00226019"/>
    <w:rsid w:val="002265E7"/>
    <w:rsid w:val="00226D80"/>
    <w:rsid w:val="00226DDD"/>
    <w:rsid w:val="0022762D"/>
    <w:rsid w:val="00231F32"/>
    <w:rsid w:val="00232303"/>
    <w:rsid w:val="00232D40"/>
    <w:rsid w:val="00232F53"/>
    <w:rsid w:val="00233392"/>
    <w:rsid w:val="00233FC2"/>
    <w:rsid w:val="00233FC7"/>
    <w:rsid w:val="00234319"/>
    <w:rsid w:val="00234806"/>
    <w:rsid w:val="00235302"/>
    <w:rsid w:val="0023534F"/>
    <w:rsid w:val="002359E2"/>
    <w:rsid w:val="00235CCE"/>
    <w:rsid w:val="0023613D"/>
    <w:rsid w:val="00236401"/>
    <w:rsid w:val="00236B8E"/>
    <w:rsid w:val="002378D6"/>
    <w:rsid w:val="00240251"/>
    <w:rsid w:val="0024031B"/>
    <w:rsid w:val="0024060D"/>
    <w:rsid w:val="002408E4"/>
    <w:rsid w:val="00240AF2"/>
    <w:rsid w:val="002417DC"/>
    <w:rsid w:val="00242918"/>
    <w:rsid w:val="00242EE1"/>
    <w:rsid w:val="00243780"/>
    <w:rsid w:val="00243804"/>
    <w:rsid w:val="00243D36"/>
    <w:rsid w:val="00243EF9"/>
    <w:rsid w:val="00244003"/>
    <w:rsid w:val="00244865"/>
    <w:rsid w:val="0024496B"/>
    <w:rsid w:val="00244CD3"/>
    <w:rsid w:val="0024532A"/>
    <w:rsid w:val="002465C7"/>
    <w:rsid w:val="00246AF1"/>
    <w:rsid w:val="00246C5D"/>
    <w:rsid w:val="00246E54"/>
    <w:rsid w:val="0024756C"/>
    <w:rsid w:val="00247657"/>
    <w:rsid w:val="00247707"/>
    <w:rsid w:val="00250F99"/>
    <w:rsid w:val="002518A4"/>
    <w:rsid w:val="00252E63"/>
    <w:rsid w:val="00252E79"/>
    <w:rsid w:val="0025522A"/>
    <w:rsid w:val="002565E4"/>
    <w:rsid w:val="002569E0"/>
    <w:rsid w:val="00256E91"/>
    <w:rsid w:val="00256F4D"/>
    <w:rsid w:val="0025712D"/>
    <w:rsid w:val="0025727C"/>
    <w:rsid w:val="0025753C"/>
    <w:rsid w:val="00257FAC"/>
    <w:rsid w:val="00260EF4"/>
    <w:rsid w:val="0026137E"/>
    <w:rsid w:val="00261669"/>
    <w:rsid w:val="00261A7A"/>
    <w:rsid w:val="00262372"/>
    <w:rsid w:val="00263171"/>
    <w:rsid w:val="00263A7C"/>
    <w:rsid w:val="00264056"/>
    <w:rsid w:val="00264405"/>
    <w:rsid w:val="002644B9"/>
    <w:rsid w:val="002649E1"/>
    <w:rsid w:val="00264A8B"/>
    <w:rsid w:val="00264F7D"/>
    <w:rsid w:val="002661AC"/>
    <w:rsid w:val="002672D2"/>
    <w:rsid w:val="00270889"/>
    <w:rsid w:val="00270EA0"/>
    <w:rsid w:val="002716E4"/>
    <w:rsid w:val="002717F3"/>
    <w:rsid w:val="0027195B"/>
    <w:rsid w:val="00271B24"/>
    <w:rsid w:val="00272E14"/>
    <w:rsid w:val="00273D6B"/>
    <w:rsid w:val="00274547"/>
    <w:rsid w:val="00274ECB"/>
    <w:rsid w:val="00274F96"/>
    <w:rsid w:val="00275042"/>
    <w:rsid w:val="002750BE"/>
    <w:rsid w:val="002753FE"/>
    <w:rsid w:val="0027541F"/>
    <w:rsid w:val="002756A7"/>
    <w:rsid w:val="00275994"/>
    <w:rsid w:val="00276058"/>
    <w:rsid w:val="00276488"/>
    <w:rsid w:val="00276A65"/>
    <w:rsid w:val="00276C54"/>
    <w:rsid w:val="0027709D"/>
    <w:rsid w:val="00277919"/>
    <w:rsid w:val="00277D8B"/>
    <w:rsid w:val="00280348"/>
    <w:rsid w:val="00280761"/>
    <w:rsid w:val="002809B6"/>
    <w:rsid w:val="0028105E"/>
    <w:rsid w:val="00281746"/>
    <w:rsid w:val="002817F3"/>
    <w:rsid w:val="00283698"/>
    <w:rsid w:val="002836D0"/>
    <w:rsid w:val="002839E1"/>
    <w:rsid w:val="00283D21"/>
    <w:rsid w:val="00284713"/>
    <w:rsid w:val="002850F1"/>
    <w:rsid w:val="00285253"/>
    <w:rsid w:val="002853E7"/>
    <w:rsid w:val="00286714"/>
    <w:rsid w:val="00286738"/>
    <w:rsid w:val="00286740"/>
    <w:rsid w:val="00286AE4"/>
    <w:rsid w:val="00286DBA"/>
    <w:rsid w:val="002877F1"/>
    <w:rsid w:val="00287B42"/>
    <w:rsid w:val="00287DF9"/>
    <w:rsid w:val="00290855"/>
    <w:rsid w:val="00290A5E"/>
    <w:rsid w:val="00291073"/>
    <w:rsid w:val="0029173B"/>
    <w:rsid w:val="00291996"/>
    <w:rsid w:val="002929D8"/>
    <w:rsid w:val="00292D49"/>
    <w:rsid w:val="002933D2"/>
    <w:rsid w:val="002935C2"/>
    <w:rsid w:val="00293E21"/>
    <w:rsid w:val="0029454E"/>
    <w:rsid w:val="00294F56"/>
    <w:rsid w:val="00295212"/>
    <w:rsid w:val="00295789"/>
    <w:rsid w:val="00296FAE"/>
    <w:rsid w:val="0029735D"/>
    <w:rsid w:val="00297C0A"/>
    <w:rsid w:val="002A0F6E"/>
    <w:rsid w:val="002A18BD"/>
    <w:rsid w:val="002A1F63"/>
    <w:rsid w:val="002A21F4"/>
    <w:rsid w:val="002A237D"/>
    <w:rsid w:val="002A253D"/>
    <w:rsid w:val="002A27E7"/>
    <w:rsid w:val="002A4C53"/>
    <w:rsid w:val="002A5675"/>
    <w:rsid w:val="002A5B48"/>
    <w:rsid w:val="002A70C0"/>
    <w:rsid w:val="002B0448"/>
    <w:rsid w:val="002B0672"/>
    <w:rsid w:val="002B06ED"/>
    <w:rsid w:val="002B0C06"/>
    <w:rsid w:val="002B1059"/>
    <w:rsid w:val="002B1823"/>
    <w:rsid w:val="002B1B4C"/>
    <w:rsid w:val="002B247F"/>
    <w:rsid w:val="002B33E8"/>
    <w:rsid w:val="002B3503"/>
    <w:rsid w:val="002B462B"/>
    <w:rsid w:val="002B5456"/>
    <w:rsid w:val="002B5738"/>
    <w:rsid w:val="002B60E9"/>
    <w:rsid w:val="002B61FD"/>
    <w:rsid w:val="002B7841"/>
    <w:rsid w:val="002C009F"/>
    <w:rsid w:val="002C145D"/>
    <w:rsid w:val="002C1717"/>
    <w:rsid w:val="002C1FED"/>
    <w:rsid w:val="002C2B66"/>
    <w:rsid w:val="002C2C3E"/>
    <w:rsid w:val="002C3122"/>
    <w:rsid w:val="002C3C17"/>
    <w:rsid w:val="002C3CDB"/>
    <w:rsid w:val="002C4054"/>
    <w:rsid w:val="002C467B"/>
    <w:rsid w:val="002C4873"/>
    <w:rsid w:val="002C533E"/>
    <w:rsid w:val="002C549C"/>
    <w:rsid w:val="002C5525"/>
    <w:rsid w:val="002C651A"/>
    <w:rsid w:val="002C706C"/>
    <w:rsid w:val="002C7D41"/>
    <w:rsid w:val="002C7EAA"/>
    <w:rsid w:val="002D027F"/>
    <w:rsid w:val="002D0C41"/>
    <w:rsid w:val="002D1A4F"/>
    <w:rsid w:val="002D21C5"/>
    <w:rsid w:val="002D2901"/>
    <w:rsid w:val="002D293C"/>
    <w:rsid w:val="002D29AF"/>
    <w:rsid w:val="002D30C2"/>
    <w:rsid w:val="002D3AAE"/>
    <w:rsid w:val="002D3B63"/>
    <w:rsid w:val="002D3E5A"/>
    <w:rsid w:val="002D4500"/>
    <w:rsid w:val="002D4F8C"/>
    <w:rsid w:val="002D5697"/>
    <w:rsid w:val="002D575C"/>
    <w:rsid w:val="002D6101"/>
    <w:rsid w:val="002D62C3"/>
    <w:rsid w:val="002D6A8E"/>
    <w:rsid w:val="002D7A85"/>
    <w:rsid w:val="002D7B60"/>
    <w:rsid w:val="002D7E4D"/>
    <w:rsid w:val="002E0201"/>
    <w:rsid w:val="002E0977"/>
    <w:rsid w:val="002E19D4"/>
    <w:rsid w:val="002E252E"/>
    <w:rsid w:val="002E2E53"/>
    <w:rsid w:val="002E3572"/>
    <w:rsid w:val="002E366C"/>
    <w:rsid w:val="002E36BB"/>
    <w:rsid w:val="002E41A8"/>
    <w:rsid w:val="002E4200"/>
    <w:rsid w:val="002E55D4"/>
    <w:rsid w:val="002E6393"/>
    <w:rsid w:val="002E641F"/>
    <w:rsid w:val="002E6438"/>
    <w:rsid w:val="002E6E93"/>
    <w:rsid w:val="002E7D33"/>
    <w:rsid w:val="002E7D3A"/>
    <w:rsid w:val="002F0362"/>
    <w:rsid w:val="002F03A8"/>
    <w:rsid w:val="002F05FA"/>
    <w:rsid w:val="002F0BC3"/>
    <w:rsid w:val="002F15D9"/>
    <w:rsid w:val="002F17C1"/>
    <w:rsid w:val="002F24EA"/>
    <w:rsid w:val="002F2765"/>
    <w:rsid w:val="002F2C32"/>
    <w:rsid w:val="002F3715"/>
    <w:rsid w:val="002F385F"/>
    <w:rsid w:val="002F3CBE"/>
    <w:rsid w:val="002F4761"/>
    <w:rsid w:val="002F51F7"/>
    <w:rsid w:val="002F5C79"/>
    <w:rsid w:val="002F6127"/>
    <w:rsid w:val="002F62E3"/>
    <w:rsid w:val="002F6FB1"/>
    <w:rsid w:val="002F6FBA"/>
    <w:rsid w:val="00300ADF"/>
    <w:rsid w:val="00301343"/>
    <w:rsid w:val="003014E6"/>
    <w:rsid w:val="0030169C"/>
    <w:rsid w:val="003019E2"/>
    <w:rsid w:val="0030203D"/>
    <w:rsid w:val="00302FBF"/>
    <w:rsid w:val="00303910"/>
    <w:rsid w:val="00303BB3"/>
    <w:rsid w:val="00303DBC"/>
    <w:rsid w:val="003045EB"/>
    <w:rsid w:val="00304E85"/>
    <w:rsid w:val="00305049"/>
    <w:rsid w:val="00305EA3"/>
    <w:rsid w:val="0030616C"/>
    <w:rsid w:val="003066B6"/>
    <w:rsid w:val="00307391"/>
    <w:rsid w:val="00310134"/>
    <w:rsid w:val="003119FE"/>
    <w:rsid w:val="00312500"/>
    <w:rsid w:val="00312543"/>
    <w:rsid w:val="00312964"/>
    <w:rsid w:val="003136CC"/>
    <w:rsid w:val="00313E9B"/>
    <w:rsid w:val="0031413F"/>
    <w:rsid w:val="00314496"/>
    <w:rsid w:val="003148BB"/>
    <w:rsid w:val="003157D7"/>
    <w:rsid w:val="00315A00"/>
    <w:rsid w:val="00315F3B"/>
    <w:rsid w:val="00316093"/>
    <w:rsid w:val="00316AB0"/>
    <w:rsid w:val="003173C9"/>
    <w:rsid w:val="00317976"/>
    <w:rsid w:val="00317AEA"/>
    <w:rsid w:val="0032102F"/>
    <w:rsid w:val="003221E1"/>
    <w:rsid w:val="00322D4F"/>
    <w:rsid w:val="0032305E"/>
    <w:rsid w:val="00323885"/>
    <w:rsid w:val="003240A9"/>
    <w:rsid w:val="00324201"/>
    <w:rsid w:val="0032456C"/>
    <w:rsid w:val="00324A03"/>
    <w:rsid w:val="003258E2"/>
    <w:rsid w:val="00326346"/>
    <w:rsid w:val="0032647A"/>
    <w:rsid w:val="00326E17"/>
    <w:rsid w:val="003275BF"/>
    <w:rsid w:val="003279CC"/>
    <w:rsid w:val="00330525"/>
    <w:rsid w:val="00330EA8"/>
    <w:rsid w:val="00330EE4"/>
    <w:rsid w:val="003312BE"/>
    <w:rsid w:val="00331473"/>
    <w:rsid w:val="00331475"/>
    <w:rsid w:val="00332DC6"/>
    <w:rsid w:val="0033309F"/>
    <w:rsid w:val="003333E6"/>
    <w:rsid w:val="00333B03"/>
    <w:rsid w:val="003344FB"/>
    <w:rsid w:val="00334D22"/>
    <w:rsid w:val="00334DB7"/>
    <w:rsid w:val="00336176"/>
    <w:rsid w:val="003368C3"/>
    <w:rsid w:val="00336BCC"/>
    <w:rsid w:val="00337D8B"/>
    <w:rsid w:val="00337D94"/>
    <w:rsid w:val="00340D50"/>
    <w:rsid w:val="00341D18"/>
    <w:rsid w:val="00343A15"/>
    <w:rsid w:val="00343C22"/>
    <w:rsid w:val="00343E9E"/>
    <w:rsid w:val="003461D3"/>
    <w:rsid w:val="00346283"/>
    <w:rsid w:val="00347171"/>
    <w:rsid w:val="00350869"/>
    <w:rsid w:val="00350E8F"/>
    <w:rsid w:val="00351A93"/>
    <w:rsid w:val="00351ABE"/>
    <w:rsid w:val="00351F90"/>
    <w:rsid w:val="00352660"/>
    <w:rsid w:val="00352842"/>
    <w:rsid w:val="00353526"/>
    <w:rsid w:val="003546F1"/>
    <w:rsid w:val="00354AEE"/>
    <w:rsid w:val="003554EB"/>
    <w:rsid w:val="003558CC"/>
    <w:rsid w:val="00355A8D"/>
    <w:rsid w:val="00355EA9"/>
    <w:rsid w:val="00355EAC"/>
    <w:rsid w:val="0035617F"/>
    <w:rsid w:val="003561F5"/>
    <w:rsid w:val="003577ED"/>
    <w:rsid w:val="003578DE"/>
    <w:rsid w:val="00357B1E"/>
    <w:rsid w:val="00357D08"/>
    <w:rsid w:val="00360094"/>
    <w:rsid w:val="003606C3"/>
    <w:rsid w:val="00360D29"/>
    <w:rsid w:val="00361623"/>
    <w:rsid w:val="003623F2"/>
    <w:rsid w:val="003637BA"/>
    <w:rsid w:val="00364638"/>
    <w:rsid w:val="00364EB9"/>
    <w:rsid w:val="003651DB"/>
    <w:rsid w:val="003651FB"/>
    <w:rsid w:val="00365329"/>
    <w:rsid w:val="00365F6B"/>
    <w:rsid w:val="00366786"/>
    <w:rsid w:val="003667BE"/>
    <w:rsid w:val="003667F7"/>
    <w:rsid w:val="00366946"/>
    <w:rsid w:val="00366973"/>
    <w:rsid w:val="00366F70"/>
    <w:rsid w:val="00370BF9"/>
    <w:rsid w:val="00371132"/>
    <w:rsid w:val="00371340"/>
    <w:rsid w:val="00371467"/>
    <w:rsid w:val="003716C6"/>
    <w:rsid w:val="00371894"/>
    <w:rsid w:val="00371DC1"/>
    <w:rsid w:val="0037250E"/>
    <w:rsid w:val="0037332B"/>
    <w:rsid w:val="003733C9"/>
    <w:rsid w:val="00373A0A"/>
    <w:rsid w:val="003741CB"/>
    <w:rsid w:val="003750C6"/>
    <w:rsid w:val="00375471"/>
    <w:rsid w:val="003759E2"/>
    <w:rsid w:val="003767A0"/>
    <w:rsid w:val="00376A63"/>
    <w:rsid w:val="00377BD0"/>
    <w:rsid w:val="00377C40"/>
    <w:rsid w:val="00380030"/>
    <w:rsid w:val="00380997"/>
    <w:rsid w:val="00380B0E"/>
    <w:rsid w:val="003815D1"/>
    <w:rsid w:val="00382081"/>
    <w:rsid w:val="00382A25"/>
    <w:rsid w:val="00382E4B"/>
    <w:rsid w:val="00383017"/>
    <w:rsid w:val="0038411E"/>
    <w:rsid w:val="00384E21"/>
    <w:rsid w:val="00385748"/>
    <w:rsid w:val="0038620F"/>
    <w:rsid w:val="003863FF"/>
    <w:rsid w:val="00386999"/>
    <w:rsid w:val="00386B9B"/>
    <w:rsid w:val="00386BE9"/>
    <w:rsid w:val="00387AD8"/>
    <w:rsid w:val="00387D13"/>
    <w:rsid w:val="00387D4E"/>
    <w:rsid w:val="00387EBF"/>
    <w:rsid w:val="00390145"/>
    <w:rsid w:val="003918BE"/>
    <w:rsid w:val="00393981"/>
    <w:rsid w:val="00394379"/>
    <w:rsid w:val="00394818"/>
    <w:rsid w:val="003948CA"/>
    <w:rsid w:val="00394CDB"/>
    <w:rsid w:val="00394FDF"/>
    <w:rsid w:val="00395EE0"/>
    <w:rsid w:val="00396257"/>
    <w:rsid w:val="0039699B"/>
    <w:rsid w:val="003977A5"/>
    <w:rsid w:val="00397807"/>
    <w:rsid w:val="00397C87"/>
    <w:rsid w:val="00397DA1"/>
    <w:rsid w:val="00397EB8"/>
    <w:rsid w:val="003A006C"/>
    <w:rsid w:val="003A063F"/>
    <w:rsid w:val="003A07AB"/>
    <w:rsid w:val="003A086E"/>
    <w:rsid w:val="003A1A50"/>
    <w:rsid w:val="003A1E51"/>
    <w:rsid w:val="003A258E"/>
    <w:rsid w:val="003A2CB8"/>
    <w:rsid w:val="003A37B8"/>
    <w:rsid w:val="003A41F7"/>
    <w:rsid w:val="003A42AF"/>
    <w:rsid w:val="003A48D6"/>
    <w:rsid w:val="003A4E6C"/>
    <w:rsid w:val="003A4FD0"/>
    <w:rsid w:val="003A69D1"/>
    <w:rsid w:val="003A7401"/>
    <w:rsid w:val="003A7705"/>
    <w:rsid w:val="003B0075"/>
    <w:rsid w:val="003B0BE8"/>
    <w:rsid w:val="003B1545"/>
    <w:rsid w:val="003B1A64"/>
    <w:rsid w:val="003B1E02"/>
    <w:rsid w:val="003B256D"/>
    <w:rsid w:val="003B2622"/>
    <w:rsid w:val="003B2AC7"/>
    <w:rsid w:val="003B2B9A"/>
    <w:rsid w:val="003B3B68"/>
    <w:rsid w:val="003B470F"/>
    <w:rsid w:val="003B6241"/>
    <w:rsid w:val="003B7003"/>
    <w:rsid w:val="003B70B9"/>
    <w:rsid w:val="003C035E"/>
    <w:rsid w:val="003C0808"/>
    <w:rsid w:val="003C0E50"/>
    <w:rsid w:val="003C13F8"/>
    <w:rsid w:val="003C2141"/>
    <w:rsid w:val="003C253C"/>
    <w:rsid w:val="003C30B5"/>
    <w:rsid w:val="003C3267"/>
    <w:rsid w:val="003C35E5"/>
    <w:rsid w:val="003C3DAA"/>
    <w:rsid w:val="003C409D"/>
    <w:rsid w:val="003C463A"/>
    <w:rsid w:val="003C4CCA"/>
    <w:rsid w:val="003C4FE6"/>
    <w:rsid w:val="003C59BD"/>
    <w:rsid w:val="003C5BA6"/>
    <w:rsid w:val="003C5CA4"/>
    <w:rsid w:val="003C603F"/>
    <w:rsid w:val="003C6A86"/>
    <w:rsid w:val="003C6B12"/>
    <w:rsid w:val="003C6DD0"/>
    <w:rsid w:val="003C75B7"/>
    <w:rsid w:val="003C798E"/>
    <w:rsid w:val="003D0D81"/>
    <w:rsid w:val="003D0DE3"/>
    <w:rsid w:val="003D10B2"/>
    <w:rsid w:val="003D1879"/>
    <w:rsid w:val="003D27D0"/>
    <w:rsid w:val="003D2913"/>
    <w:rsid w:val="003D29C4"/>
    <w:rsid w:val="003D3F3C"/>
    <w:rsid w:val="003D4B07"/>
    <w:rsid w:val="003D5976"/>
    <w:rsid w:val="003D5A43"/>
    <w:rsid w:val="003D6955"/>
    <w:rsid w:val="003D757C"/>
    <w:rsid w:val="003D7B57"/>
    <w:rsid w:val="003E008B"/>
    <w:rsid w:val="003E013F"/>
    <w:rsid w:val="003E0C72"/>
    <w:rsid w:val="003E22CD"/>
    <w:rsid w:val="003E2A2C"/>
    <w:rsid w:val="003E344E"/>
    <w:rsid w:val="003E3735"/>
    <w:rsid w:val="003E414E"/>
    <w:rsid w:val="003E4EC6"/>
    <w:rsid w:val="003E5069"/>
    <w:rsid w:val="003E694B"/>
    <w:rsid w:val="003E69DE"/>
    <w:rsid w:val="003E74B0"/>
    <w:rsid w:val="003E7529"/>
    <w:rsid w:val="003E7623"/>
    <w:rsid w:val="003E7A9A"/>
    <w:rsid w:val="003E7F81"/>
    <w:rsid w:val="003F084D"/>
    <w:rsid w:val="003F0E85"/>
    <w:rsid w:val="003F1BB7"/>
    <w:rsid w:val="003F2738"/>
    <w:rsid w:val="003F2F84"/>
    <w:rsid w:val="003F3563"/>
    <w:rsid w:val="003F474E"/>
    <w:rsid w:val="003F5D51"/>
    <w:rsid w:val="003F6FF5"/>
    <w:rsid w:val="003F6FFF"/>
    <w:rsid w:val="003F7743"/>
    <w:rsid w:val="00400462"/>
    <w:rsid w:val="00400D1E"/>
    <w:rsid w:val="00400E6C"/>
    <w:rsid w:val="00401314"/>
    <w:rsid w:val="00401B37"/>
    <w:rsid w:val="004029A9"/>
    <w:rsid w:val="00402BFE"/>
    <w:rsid w:val="0040357B"/>
    <w:rsid w:val="00403AE1"/>
    <w:rsid w:val="00403C14"/>
    <w:rsid w:val="00403C3E"/>
    <w:rsid w:val="004044DD"/>
    <w:rsid w:val="00404CB5"/>
    <w:rsid w:val="00405251"/>
    <w:rsid w:val="00405CDC"/>
    <w:rsid w:val="0040663B"/>
    <w:rsid w:val="004069AE"/>
    <w:rsid w:val="00406FA6"/>
    <w:rsid w:val="00407098"/>
    <w:rsid w:val="00407C53"/>
    <w:rsid w:val="00410C55"/>
    <w:rsid w:val="004125AD"/>
    <w:rsid w:val="00412B36"/>
    <w:rsid w:val="00412B7B"/>
    <w:rsid w:val="00412D78"/>
    <w:rsid w:val="00413B2F"/>
    <w:rsid w:val="00413C9E"/>
    <w:rsid w:val="00414198"/>
    <w:rsid w:val="0041431B"/>
    <w:rsid w:val="00414597"/>
    <w:rsid w:val="004149C6"/>
    <w:rsid w:val="00414A0F"/>
    <w:rsid w:val="00414A19"/>
    <w:rsid w:val="00414A1C"/>
    <w:rsid w:val="00415A3D"/>
    <w:rsid w:val="00415C59"/>
    <w:rsid w:val="00415FAD"/>
    <w:rsid w:val="0041604D"/>
    <w:rsid w:val="00416681"/>
    <w:rsid w:val="00416854"/>
    <w:rsid w:val="004168A3"/>
    <w:rsid w:val="00416E70"/>
    <w:rsid w:val="00416EBF"/>
    <w:rsid w:val="00417725"/>
    <w:rsid w:val="0041779A"/>
    <w:rsid w:val="00417B99"/>
    <w:rsid w:val="0042023F"/>
    <w:rsid w:val="00420FA1"/>
    <w:rsid w:val="00421267"/>
    <w:rsid w:val="004216B0"/>
    <w:rsid w:val="00421A73"/>
    <w:rsid w:val="00423827"/>
    <w:rsid w:val="00423B03"/>
    <w:rsid w:val="00423B96"/>
    <w:rsid w:val="004243EA"/>
    <w:rsid w:val="00425A03"/>
    <w:rsid w:val="00425C6E"/>
    <w:rsid w:val="00425FB4"/>
    <w:rsid w:val="00426F70"/>
    <w:rsid w:val="004274AB"/>
    <w:rsid w:val="004302BC"/>
    <w:rsid w:val="0043094B"/>
    <w:rsid w:val="00431061"/>
    <w:rsid w:val="00431113"/>
    <w:rsid w:val="00431141"/>
    <w:rsid w:val="0043114B"/>
    <w:rsid w:val="00431DDA"/>
    <w:rsid w:val="00431E22"/>
    <w:rsid w:val="00432223"/>
    <w:rsid w:val="00432CD7"/>
    <w:rsid w:val="00433F2E"/>
    <w:rsid w:val="00433FCF"/>
    <w:rsid w:val="00434079"/>
    <w:rsid w:val="00434C8A"/>
    <w:rsid w:val="0043515C"/>
    <w:rsid w:val="00435546"/>
    <w:rsid w:val="00436AF5"/>
    <w:rsid w:val="00436EE4"/>
    <w:rsid w:val="004372FE"/>
    <w:rsid w:val="004379FB"/>
    <w:rsid w:val="00437A84"/>
    <w:rsid w:val="00437E97"/>
    <w:rsid w:val="00437F26"/>
    <w:rsid w:val="004400F0"/>
    <w:rsid w:val="00440792"/>
    <w:rsid w:val="0044128F"/>
    <w:rsid w:val="004419AB"/>
    <w:rsid w:val="00442646"/>
    <w:rsid w:val="00442C47"/>
    <w:rsid w:val="00442D6D"/>
    <w:rsid w:val="00443558"/>
    <w:rsid w:val="0044406D"/>
    <w:rsid w:val="00444097"/>
    <w:rsid w:val="00445487"/>
    <w:rsid w:val="004454F1"/>
    <w:rsid w:val="0044577D"/>
    <w:rsid w:val="004462B3"/>
    <w:rsid w:val="004466C0"/>
    <w:rsid w:val="00446729"/>
    <w:rsid w:val="00446B19"/>
    <w:rsid w:val="00446C38"/>
    <w:rsid w:val="00446CE6"/>
    <w:rsid w:val="00446D63"/>
    <w:rsid w:val="00446F4E"/>
    <w:rsid w:val="00447F9F"/>
    <w:rsid w:val="00450734"/>
    <w:rsid w:val="004508EC"/>
    <w:rsid w:val="004524E6"/>
    <w:rsid w:val="0045253B"/>
    <w:rsid w:val="004530A2"/>
    <w:rsid w:val="00453850"/>
    <w:rsid w:val="0045398C"/>
    <w:rsid w:val="004545A5"/>
    <w:rsid w:val="00454769"/>
    <w:rsid w:val="00454BC4"/>
    <w:rsid w:val="004552FD"/>
    <w:rsid w:val="004556D0"/>
    <w:rsid w:val="00455ADB"/>
    <w:rsid w:val="00456D58"/>
    <w:rsid w:val="00460489"/>
    <w:rsid w:val="0046100B"/>
    <w:rsid w:val="00461F97"/>
    <w:rsid w:val="0046372F"/>
    <w:rsid w:val="00463F83"/>
    <w:rsid w:val="00464662"/>
    <w:rsid w:val="00465B7F"/>
    <w:rsid w:val="00465F4E"/>
    <w:rsid w:val="00466531"/>
    <w:rsid w:val="0046662B"/>
    <w:rsid w:val="00466991"/>
    <w:rsid w:val="004700E1"/>
    <w:rsid w:val="0047064C"/>
    <w:rsid w:val="004715DB"/>
    <w:rsid w:val="0047164F"/>
    <w:rsid w:val="00471C31"/>
    <w:rsid w:val="00471E48"/>
    <w:rsid w:val="0047210E"/>
    <w:rsid w:val="00472F5C"/>
    <w:rsid w:val="004731BC"/>
    <w:rsid w:val="00473A6D"/>
    <w:rsid w:val="00473F2F"/>
    <w:rsid w:val="00474028"/>
    <w:rsid w:val="00474D90"/>
    <w:rsid w:val="00475010"/>
    <w:rsid w:val="0047541D"/>
    <w:rsid w:val="00475512"/>
    <w:rsid w:val="004757D9"/>
    <w:rsid w:val="00476235"/>
    <w:rsid w:val="0047638A"/>
    <w:rsid w:val="00476F57"/>
    <w:rsid w:val="00477028"/>
    <w:rsid w:val="00477362"/>
    <w:rsid w:val="00477371"/>
    <w:rsid w:val="00477AFF"/>
    <w:rsid w:val="00480360"/>
    <w:rsid w:val="0048124E"/>
    <w:rsid w:val="004815E1"/>
    <w:rsid w:val="00481F0B"/>
    <w:rsid w:val="00482499"/>
    <w:rsid w:val="00482826"/>
    <w:rsid w:val="00483101"/>
    <w:rsid w:val="00483656"/>
    <w:rsid w:val="00483B50"/>
    <w:rsid w:val="00484B1C"/>
    <w:rsid w:val="004851E5"/>
    <w:rsid w:val="0048549C"/>
    <w:rsid w:val="00486315"/>
    <w:rsid w:val="004864A4"/>
    <w:rsid w:val="00487045"/>
    <w:rsid w:val="00490010"/>
    <w:rsid w:val="004905B2"/>
    <w:rsid w:val="004910E9"/>
    <w:rsid w:val="00491119"/>
    <w:rsid w:val="00491E61"/>
    <w:rsid w:val="004921DE"/>
    <w:rsid w:val="00493472"/>
    <w:rsid w:val="0049385E"/>
    <w:rsid w:val="004944E9"/>
    <w:rsid w:val="00494AFA"/>
    <w:rsid w:val="00495188"/>
    <w:rsid w:val="004952FD"/>
    <w:rsid w:val="00495364"/>
    <w:rsid w:val="004953A6"/>
    <w:rsid w:val="00495AA5"/>
    <w:rsid w:val="00495BFE"/>
    <w:rsid w:val="0049659B"/>
    <w:rsid w:val="00496D4C"/>
    <w:rsid w:val="004A0E84"/>
    <w:rsid w:val="004A1939"/>
    <w:rsid w:val="004A2AA8"/>
    <w:rsid w:val="004A3006"/>
    <w:rsid w:val="004A30E1"/>
    <w:rsid w:val="004A324A"/>
    <w:rsid w:val="004A3659"/>
    <w:rsid w:val="004A3671"/>
    <w:rsid w:val="004A42E1"/>
    <w:rsid w:val="004A4E80"/>
    <w:rsid w:val="004A54F8"/>
    <w:rsid w:val="004A5B41"/>
    <w:rsid w:val="004A5CA7"/>
    <w:rsid w:val="004A5E54"/>
    <w:rsid w:val="004A6090"/>
    <w:rsid w:val="004A6678"/>
    <w:rsid w:val="004A6F7E"/>
    <w:rsid w:val="004B0C7D"/>
    <w:rsid w:val="004B1191"/>
    <w:rsid w:val="004B135E"/>
    <w:rsid w:val="004B1430"/>
    <w:rsid w:val="004B162C"/>
    <w:rsid w:val="004B2B10"/>
    <w:rsid w:val="004B2EB2"/>
    <w:rsid w:val="004B2F7B"/>
    <w:rsid w:val="004B3456"/>
    <w:rsid w:val="004B3C12"/>
    <w:rsid w:val="004B471F"/>
    <w:rsid w:val="004B5845"/>
    <w:rsid w:val="004B5E15"/>
    <w:rsid w:val="004B6E3F"/>
    <w:rsid w:val="004C020C"/>
    <w:rsid w:val="004C0935"/>
    <w:rsid w:val="004C19F8"/>
    <w:rsid w:val="004C1C68"/>
    <w:rsid w:val="004C2CB5"/>
    <w:rsid w:val="004C387D"/>
    <w:rsid w:val="004C3C94"/>
    <w:rsid w:val="004C3DBE"/>
    <w:rsid w:val="004C3F7D"/>
    <w:rsid w:val="004C4C2B"/>
    <w:rsid w:val="004C4D9D"/>
    <w:rsid w:val="004C509C"/>
    <w:rsid w:val="004C5564"/>
    <w:rsid w:val="004C59A9"/>
    <w:rsid w:val="004C5A8A"/>
    <w:rsid w:val="004C5C96"/>
    <w:rsid w:val="004C5DA5"/>
    <w:rsid w:val="004C6AF5"/>
    <w:rsid w:val="004C744E"/>
    <w:rsid w:val="004C756D"/>
    <w:rsid w:val="004C7E8F"/>
    <w:rsid w:val="004D06A4"/>
    <w:rsid w:val="004D087B"/>
    <w:rsid w:val="004D0A8B"/>
    <w:rsid w:val="004D0DF9"/>
    <w:rsid w:val="004D10D1"/>
    <w:rsid w:val="004D1843"/>
    <w:rsid w:val="004D1AFB"/>
    <w:rsid w:val="004D225B"/>
    <w:rsid w:val="004D25EC"/>
    <w:rsid w:val="004D3708"/>
    <w:rsid w:val="004D3FB2"/>
    <w:rsid w:val="004D437E"/>
    <w:rsid w:val="004D4843"/>
    <w:rsid w:val="004D5E8C"/>
    <w:rsid w:val="004D60EA"/>
    <w:rsid w:val="004D6136"/>
    <w:rsid w:val="004D6462"/>
    <w:rsid w:val="004D6526"/>
    <w:rsid w:val="004D7C85"/>
    <w:rsid w:val="004E072B"/>
    <w:rsid w:val="004E0E81"/>
    <w:rsid w:val="004E0E92"/>
    <w:rsid w:val="004E1E3D"/>
    <w:rsid w:val="004E2CB6"/>
    <w:rsid w:val="004E3588"/>
    <w:rsid w:val="004E3B64"/>
    <w:rsid w:val="004E3D78"/>
    <w:rsid w:val="004E46E6"/>
    <w:rsid w:val="004E5721"/>
    <w:rsid w:val="004E58CA"/>
    <w:rsid w:val="004E596C"/>
    <w:rsid w:val="004E59D4"/>
    <w:rsid w:val="004E6BCB"/>
    <w:rsid w:val="004E7062"/>
    <w:rsid w:val="004E79AC"/>
    <w:rsid w:val="004E7B10"/>
    <w:rsid w:val="004F012B"/>
    <w:rsid w:val="004F0151"/>
    <w:rsid w:val="004F03E5"/>
    <w:rsid w:val="004F118B"/>
    <w:rsid w:val="004F1A81"/>
    <w:rsid w:val="004F1AAD"/>
    <w:rsid w:val="004F2505"/>
    <w:rsid w:val="004F31BB"/>
    <w:rsid w:val="004F34AA"/>
    <w:rsid w:val="004F36DA"/>
    <w:rsid w:val="004F494D"/>
    <w:rsid w:val="004F4F20"/>
    <w:rsid w:val="004F4FFB"/>
    <w:rsid w:val="004F5466"/>
    <w:rsid w:val="004F5725"/>
    <w:rsid w:val="004F6173"/>
    <w:rsid w:val="004F62D0"/>
    <w:rsid w:val="004F67D2"/>
    <w:rsid w:val="004F7AC4"/>
    <w:rsid w:val="005014B4"/>
    <w:rsid w:val="00501E05"/>
    <w:rsid w:val="0050204F"/>
    <w:rsid w:val="00502446"/>
    <w:rsid w:val="00502A19"/>
    <w:rsid w:val="00503113"/>
    <w:rsid w:val="00504DDC"/>
    <w:rsid w:val="005051BB"/>
    <w:rsid w:val="005052B7"/>
    <w:rsid w:val="00506946"/>
    <w:rsid w:val="00506BB3"/>
    <w:rsid w:val="00506F33"/>
    <w:rsid w:val="0050717A"/>
    <w:rsid w:val="005106B2"/>
    <w:rsid w:val="00511125"/>
    <w:rsid w:val="00512632"/>
    <w:rsid w:val="0051313D"/>
    <w:rsid w:val="00513ACF"/>
    <w:rsid w:val="00513E82"/>
    <w:rsid w:val="00514400"/>
    <w:rsid w:val="005144F6"/>
    <w:rsid w:val="00514E9D"/>
    <w:rsid w:val="00514F57"/>
    <w:rsid w:val="00515709"/>
    <w:rsid w:val="00516501"/>
    <w:rsid w:val="0051691E"/>
    <w:rsid w:val="00517350"/>
    <w:rsid w:val="00517BD3"/>
    <w:rsid w:val="00517E95"/>
    <w:rsid w:val="00517FF8"/>
    <w:rsid w:val="005218D9"/>
    <w:rsid w:val="00521A72"/>
    <w:rsid w:val="005223F9"/>
    <w:rsid w:val="0052277F"/>
    <w:rsid w:val="00522A1E"/>
    <w:rsid w:val="00523496"/>
    <w:rsid w:val="00523554"/>
    <w:rsid w:val="00523997"/>
    <w:rsid w:val="00523F35"/>
    <w:rsid w:val="00524319"/>
    <w:rsid w:val="00524441"/>
    <w:rsid w:val="005253DD"/>
    <w:rsid w:val="005257AB"/>
    <w:rsid w:val="005267E9"/>
    <w:rsid w:val="005317B8"/>
    <w:rsid w:val="00532781"/>
    <w:rsid w:val="00532820"/>
    <w:rsid w:val="005328B9"/>
    <w:rsid w:val="00532DC6"/>
    <w:rsid w:val="00532E47"/>
    <w:rsid w:val="00533388"/>
    <w:rsid w:val="005339D3"/>
    <w:rsid w:val="0053424C"/>
    <w:rsid w:val="005348EC"/>
    <w:rsid w:val="00535F7C"/>
    <w:rsid w:val="00536186"/>
    <w:rsid w:val="00536826"/>
    <w:rsid w:val="00536880"/>
    <w:rsid w:val="00537AD4"/>
    <w:rsid w:val="0054029D"/>
    <w:rsid w:val="00540E0D"/>
    <w:rsid w:val="0054125E"/>
    <w:rsid w:val="00542926"/>
    <w:rsid w:val="005429D6"/>
    <w:rsid w:val="00543086"/>
    <w:rsid w:val="00543182"/>
    <w:rsid w:val="0054405A"/>
    <w:rsid w:val="00544971"/>
    <w:rsid w:val="00544CBB"/>
    <w:rsid w:val="00545A58"/>
    <w:rsid w:val="00545A88"/>
    <w:rsid w:val="00546155"/>
    <w:rsid w:val="00546789"/>
    <w:rsid w:val="00550518"/>
    <w:rsid w:val="00550902"/>
    <w:rsid w:val="00551987"/>
    <w:rsid w:val="00551B4A"/>
    <w:rsid w:val="00552834"/>
    <w:rsid w:val="00552A46"/>
    <w:rsid w:val="00552CB5"/>
    <w:rsid w:val="00552CD6"/>
    <w:rsid w:val="00553823"/>
    <w:rsid w:val="00553831"/>
    <w:rsid w:val="0055398B"/>
    <w:rsid w:val="0055410C"/>
    <w:rsid w:val="00554B8C"/>
    <w:rsid w:val="00556742"/>
    <w:rsid w:val="005570BA"/>
    <w:rsid w:val="005577E9"/>
    <w:rsid w:val="0056006B"/>
    <w:rsid w:val="00560136"/>
    <w:rsid w:val="00560871"/>
    <w:rsid w:val="00560930"/>
    <w:rsid w:val="00560F30"/>
    <w:rsid w:val="00561C46"/>
    <w:rsid w:val="00561EE8"/>
    <w:rsid w:val="00562585"/>
    <w:rsid w:val="0056281F"/>
    <w:rsid w:val="00562D77"/>
    <w:rsid w:val="0056345C"/>
    <w:rsid w:val="00563C3C"/>
    <w:rsid w:val="00563E97"/>
    <w:rsid w:val="00564D2D"/>
    <w:rsid w:val="00565208"/>
    <w:rsid w:val="00565A56"/>
    <w:rsid w:val="00565F55"/>
    <w:rsid w:val="005667CF"/>
    <w:rsid w:val="00566C5E"/>
    <w:rsid w:val="005673AD"/>
    <w:rsid w:val="0056771E"/>
    <w:rsid w:val="00567CD4"/>
    <w:rsid w:val="005703EB"/>
    <w:rsid w:val="0057056C"/>
    <w:rsid w:val="005709BE"/>
    <w:rsid w:val="00570A0E"/>
    <w:rsid w:val="00571E0F"/>
    <w:rsid w:val="005721D3"/>
    <w:rsid w:val="0057315F"/>
    <w:rsid w:val="0057394D"/>
    <w:rsid w:val="00574699"/>
    <w:rsid w:val="00574E44"/>
    <w:rsid w:val="0057529C"/>
    <w:rsid w:val="005755C4"/>
    <w:rsid w:val="00575DF1"/>
    <w:rsid w:val="00576104"/>
    <w:rsid w:val="00576919"/>
    <w:rsid w:val="00576F66"/>
    <w:rsid w:val="005772E2"/>
    <w:rsid w:val="00577358"/>
    <w:rsid w:val="005776E3"/>
    <w:rsid w:val="00577CA7"/>
    <w:rsid w:val="00580246"/>
    <w:rsid w:val="005805BC"/>
    <w:rsid w:val="00580E6F"/>
    <w:rsid w:val="00580EB4"/>
    <w:rsid w:val="00581D45"/>
    <w:rsid w:val="00581F04"/>
    <w:rsid w:val="005821C3"/>
    <w:rsid w:val="005822E0"/>
    <w:rsid w:val="00582835"/>
    <w:rsid w:val="005828FB"/>
    <w:rsid w:val="00582B02"/>
    <w:rsid w:val="0058388E"/>
    <w:rsid w:val="00583E08"/>
    <w:rsid w:val="00584C94"/>
    <w:rsid w:val="00584CA5"/>
    <w:rsid w:val="00584FDE"/>
    <w:rsid w:val="00585659"/>
    <w:rsid w:val="005858D5"/>
    <w:rsid w:val="0058595C"/>
    <w:rsid w:val="00586399"/>
    <w:rsid w:val="005864C0"/>
    <w:rsid w:val="00586B16"/>
    <w:rsid w:val="005903A3"/>
    <w:rsid w:val="005910B0"/>
    <w:rsid w:val="00591B7F"/>
    <w:rsid w:val="0059250A"/>
    <w:rsid w:val="005931CA"/>
    <w:rsid w:val="005932CA"/>
    <w:rsid w:val="00593E28"/>
    <w:rsid w:val="005940BC"/>
    <w:rsid w:val="005945BA"/>
    <w:rsid w:val="00594AE1"/>
    <w:rsid w:val="00594BA0"/>
    <w:rsid w:val="005954BD"/>
    <w:rsid w:val="00595BC6"/>
    <w:rsid w:val="00596C59"/>
    <w:rsid w:val="00596E10"/>
    <w:rsid w:val="00596E68"/>
    <w:rsid w:val="00596E71"/>
    <w:rsid w:val="00597596"/>
    <w:rsid w:val="005977D6"/>
    <w:rsid w:val="005A09D8"/>
    <w:rsid w:val="005A0A96"/>
    <w:rsid w:val="005A1773"/>
    <w:rsid w:val="005A2ED6"/>
    <w:rsid w:val="005A3C2E"/>
    <w:rsid w:val="005A50D6"/>
    <w:rsid w:val="005A567B"/>
    <w:rsid w:val="005B060E"/>
    <w:rsid w:val="005B0A2E"/>
    <w:rsid w:val="005B2ABA"/>
    <w:rsid w:val="005B2B68"/>
    <w:rsid w:val="005B39BA"/>
    <w:rsid w:val="005B3B02"/>
    <w:rsid w:val="005B3DCE"/>
    <w:rsid w:val="005B442F"/>
    <w:rsid w:val="005B44D1"/>
    <w:rsid w:val="005B4CD4"/>
    <w:rsid w:val="005B4D79"/>
    <w:rsid w:val="005B59A1"/>
    <w:rsid w:val="005B6B83"/>
    <w:rsid w:val="005C0C94"/>
    <w:rsid w:val="005C0F62"/>
    <w:rsid w:val="005C1AC9"/>
    <w:rsid w:val="005C1CE4"/>
    <w:rsid w:val="005C24F8"/>
    <w:rsid w:val="005C27E9"/>
    <w:rsid w:val="005C328C"/>
    <w:rsid w:val="005C4637"/>
    <w:rsid w:val="005C4A60"/>
    <w:rsid w:val="005C4D1A"/>
    <w:rsid w:val="005C58A1"/>
    <w:rsid w:val="005C6098"/>
    <w:rsid w:val="005C60D3"/>
    <w:rsid w:val="005C67C8"/>
    <w:rsid w:val="005C6F29"/>
    <w:rsid w:val="005C787B"/>
    <w:rsid w:val="005C7B16"/>
    <w:rsid w:val="005C7C3E"/>
    <w:rsid w:val="005D0249"/>
    <w:rsid w:val="005D0C75"/>
    <w:rsid w:val="005D20A3"/>
    <w:rsid w:val="005D21D8"/>
    <w:rsid w:val="005D2269"/>
    <w:rsid w:val="005D3095"/>
    <w:rsid w:val="005D3C52"/>
    <w:rsid w:val="005D4C8C"/>
    <w:rsid w:val="005D51C0"/>
    <w:rsid w:val="005D54D3"/>
    <w:rsid w:val="005D5905"/>
    <w:rsid w:val="005D6E8C"/>
    <w:rsid w:val="005E06FC"/>
    <w:rsid w:val="005E08E8"/>
    <w:rsid w:val="005E0EA6"/>
    <w:rsid w:val="005E1184"/>
    <w:rsid w:val="005E23F2"/>
    <w:rsid w:val="005E2C16"/>
    <w:rsid w:val="005E38A1"/>
    <w:rsid w:val="005E41EC"/>
    <w:rsid w:val="005E4686"/>
    <w:rsid w:val="005E4844"/>
    <w:rsid w:val="005E5246"/>
    <w:rsid w:val="005E5BEB"/>
    <w:rsid w:val="005E5D26"/>
    <w:rsid w:val="005E6192"/>
    <w:rsid w:val="005E7342"/>
    <w:rsid w:val="005E7722"/>
    <w:rsid w:val="005E7F8A"/>
    <w:rsid w:val="005F08AA"/>
    <w:rsid w:val="005F100C"/>
    <w:rsid w:val="005F149C"/>
    <w:rsid w:val="005F2ADC"/>
    <w:rsid w:val="005F3C12"/>
    <w:rsid w:val="005F41E7"/>
    <w:rsid w:val="005F42F6"/>
    <w:rsid w:val="005F516C"/>
    <w:rsid w:val="005F5E42"/>
    <w:rsid w:val="005F60D4"/>
    <w:rsid w:val="005F6629"/>
    <w:rsid w:val="005F68DA"/>
    <w:rsid w:val="005F735C"/>
    <w:rsid w:val="005F75E6"/>
    <w:rsid w:val="005F794B"/>
    <w:rsid w:val="005F7CB0"/>
    <w:rsid w:val="006005B7"/>
    <w:rsid w:val="00600FF5"/>
    <w:rsid w:val="006012AC"/>
    <w:rsid w:val="006014DD"/>
    <w:rsid w:val="00601641"/>
    <w:rsid w:val="00601690"/>
    <w:rsid w:val="00601D0B"/>
    <w:rsid w:val="00601FC4"/>
    <w:rsid w:val="0060215A"/>
    <w:rsid w:val="00602357"/>
    <w:rsid w:val="0060263E"/>
    <w:rsid w:val="00602828"/>
    <w:rsid w:val="0060290E"/>
    <w:rsid w:val="00602BAE"/>
    <w:rsid w:val="00602D2C"/>
    <w:rsid w:val="00603474"/>
    <w:rsid w:val="0060352A"/>
    <w:rsid w:val="0060395F"/>
    <w:rsid w:val="00604800"/>
    <w:rsid w:val="00605349"/>
    <w:rsid w:val="0060583B"/>
    <w:rsid w:val="00607716"/>
    <w:rsid w:val="0060773B"/>
    <w:rsid w:val="00607D94"/>
    <w:rsid w:val="0061055A"/>
    <w:rsid w:val="00610A35"/>
    <w:rsid w:val="0061138A"/>
    <w:rsid w:val="006120F7"/>
    <w:rsid w:val="00612250"/>
    <w:rsid w:val="006122BE"/>
    <w:rsid w:val="0061306B"/>
    <w:rsid w:val="00613D83"/>
    <w:rsid w:val="006154F5"/>
    <w:rsid w:val="006157B5"/>
    <w:rsid w:val="006162A8"/>
    <w:rsid w:val="006163C1"/>
    <w:rsid w:val="00617377"/>
    <w:rsid w:val="00617A42"/>
    <w:rsid w:val="006203B2"/>
    <w:rsid w:val="00620683"/>
    <w:rsid w:val="006219D2"/>
    <w:rsid w:val="006219EA"/>
    <w:rsid w:val="00621DA4"/>
    <w:rsid w:val="00622286"/>
    <w:rsid w:val="00622503"/>
    <w:rsid w:val="0062334F"/>
    <w:rsid w:val="00623387"/>
    <w:rsid w:val="00623D6E"/>
    <w:rsid w:val="00624342"/>
    <w:rsid w:val="006243A2"/>
    <w:rsid w:val="006256BB"/>
    <w:rsid w:val="00625A2E"/>
    <w:rsid w:val="00625FD5"/>
    <w:rsid w:val="0062622F"/>
    <w:rsid w:val="00626948"/>
    <w:rsid w:val="00626FC6"/>
    <w:rsid w:val="00627DD6"/>
    <w:rsid w:val="00630066"/>
    <w:rsid w:val="006303B4"/>
    <w:rsid w:val="00630D9A"/>
    <w:rsid w:val="00630E5E"/>
    <w:rsid w:val="00631490"/>
    <w:rsid w:val="0063216B"/>
    <w:rsid w:val="00633434"/>
    <w:rsid w:val="00633A6D"/>
    <w:rsid w:val="00633CEB"/>
    <w:rsid w:val="00633CED"/>
    <w:rsid w:val="00633D3D"/>
    <w:rsid w:val="00633F3A"/>
    <w:rsid w:val="006357A6"/>
    <w:rsid w:val="00635B7E"/>
    <w:rsid w:val="00636755"/>
    <w:rsid w:val="0063678A"/>
    <w:rsid w:val="00637541"/>
    <w:rsid w:val="006377EB"/>
    <w:rsid w:val="006378E5"/>
    <w:rsid w:val="00637FD5"/>
    <w:rsid w:val="006400C4"/>
    <w:rsid w:val="00640D78"/>
    <w:rsid w:val="00641703"/>
    <w:rsid w:val="006431A6"/>
    <w:rsid w:val="00643FA1"/>
    <w:rsid w:val="006440CC"/>
    <w:rsid w:val="006443FB"/>
    <w:rsid w:val="00644FA9"/>
    <w:rsid w:val="006455C8"/>
    <w:rsid w:val="006459F6"/>
    <w:rsid w:val="006475DA"/>
    <w:rsid w:val="00647DAE"/>
    <w:rsid w:val="006501AD"/>
    <w:rsid w:val="006511D4"/>
    <w:rsid w:val="00651840"/>
    <w:rsid w:val="00651BFA"/>
    <w:rsid w:val="006523B0"/>
    <w:rsid w:val="00652B24"/>
    <w:rsid w:val="006533B3"/>
    <w:rsid w:val="0065345B"/>
    <w:rsid w:val="0065362C"/>
    <w:rsid w:val="00653704"/>
    <w:rsid w:val="00655352"/>
    <w:rsid w:val="006554B9"/>
    <w:rsid w:val="006562AE"/>
    <w:rsid w:val="00656321"/>
    <w:rsid w:val="00660AC5"/>
    <w:rsid w:val="00660BB7"/>
    <w:rsid w:val="00660E8A"/>
    <w:rsid w:val="006612A3"/>
    <w:rsid w:val="00662184"/>
    <w:rsid w:val="00662210"/>
    <w:rsid w:val="00663265"/>
    <w:rsid w:val="00663A80"/>
    <w:rsid w:val="006641FE"/>
    <w:rsid w:val="00664BFA"/>
    <w:rsid w:val="00665A4B"/>
    <w:rsid w:val="00665D8D"/>
    <w:rsid w:val="0066603D"/>
    <w:rsid w:val="006668C5"/>
    <w:rsid w:val="006676B1"/>
    <w:rsid w:val="006710B2"/>
    <w:rsid w:val="0067168C"/>
    <w:rsid w:val="00671B15"/>
    <w:rsid w:val="0067202E"/>
    <w:rsid w:val="006723E8"/>
    <w:rsid w:val="006729D2"/>
    <w:rsid w:val="00672B96"/>
    <w:rsid w:val="006731FE"/>
    <w:rsid w:val="006732E2"/>
    <w:rsid w:val="00673347"/>
    <w:rsid w:val="00673416"/>
    <w:rsid w:val="00673578"/>
    <w:rsid w:val="00673589"/>
    <w:rsid w:val="006735D4"/>
    <w:rsid w:val="00673CC0"/>
    <w:rsid w:val="00674890"/>
    <w:rsid w:val="0067540A"/>
    <w:rsid w:val="00675479"/>
    <w:rsid w:val="006757DF"/>
    <w:rsid w:val="00675A98"/>
    <w:rsid w:val="00676514"/>
    <w:rsid w:val="006765D4"/>
    <w:rsid w:val="006768CA"/>
    <w:rsid w:val="006778BD"/>
    <w:rsid w:val="00677A40"/>
    <w:rsid w:val="00677BD7"/>
    <w:rsid w:val="00677C5D"/>
    <w:rsid w:val="00680890"/>
    <w:rsid w:val="00681175"/>
    <w:rsid w:val="0068171E"/>
    <w:rsid w:val="0068290E"/>
    <w:rsid w:val="00682CE0"/>
    <w:rsid w:val="00683EFE"/>
    <w:rsid w:val="00685153"/>
    <w:rsid w:val="00686629"/>
    <w:rsid w:val="006869C4"/>
    <w:rsid w:val="0068765F"/>
    <w:rsid w:val="00687AA2"/>
    <w:rsid w:val="0069030F"/>
    <w:rsid w:val="00690883"/>
    <w:rsid w:val="00692E2A"/>
    <w:rsid w:val="00693446"/>
    <w:rsid w:val="00693979"/>
    <w:rsid w:val="00693E9B"/>
    <w:rsid w:val="00694A91"/>
    <w:rsid w:val="00694C38"/>
    <w:rsid w:val="00695C80"/>
    <w:rsid w:val="00696DFF"/>
    <w:rsid w:val="0069704F"/>
    <w:rsid w:val="00697642"/>
    <w:rsid w:val="00697FB0"/>
    <w:rsid w:val="006A0C3F"/>
    <w:rsid w:val="006A0ECA"/>
    <w:rsid w:val="006A1E61"/>
    <w:rsid w:val="006A2918"/>
    <w:rsid w:val="006A367C"/>
    <w:rsid w:val="006A374F"/>
    <w:rsid w:val="006A3C1A"/>
    <w:rsid w:val="006A3F70"/>
    <w:rsid w:val="006A440D"/>
    <w:rsid w:val="006A4C09"/>
    <w:rsid w:val="006A5453"/>
    <w:rsid w:val="006A6C0D"/>
    <w:rsid w:val="006A769A"/>
    <w:rsid w:val="006A76F2"/>
    <w:rsid w:val="006A7B8D"/>
    <w:rsid w:val="006A7EBF"/>
    <w:rsid w:val="006B0A48"/>
    <w:rsid w:val="006B0BEF"/>
    <w:rsid w:val="006B294A"/>
    <w:rsid w:val="006B34FE"/>
    <w:rsid w:val="006B4378"/>
    <w:rsid w:val="006B44BF"/>
    <w:rsid w:val="006B4D67"/>
    <w:rsid w:val="006B5019"/>
    <w:rsid w:val="006B6178"/>
    <w:rsid w:val="006B6249"/>
    <w:rsid w:val="006B6896"/>
    <w:rsid w:val="006B6EA4"/>
    <w:rsid w:val="006B74FC"/>
    <w:rsid w:val="006B7591"/>
    <w:rsid w:val="006B790F"/>
    <w:rsid w:val="006B7BC5"/>
    <w:rsid w:val="006C01ED"/>
    <w:rsid w:val="006C0284"/>
    <w:rsid w:val="006C07A1"/>
    <w:rsid w:val="006C0A90"/>
    <w:rsid w:val="006C0C82"/>
    <w:rsid w:val="006C12CD"/>
    <w:rsid w:val="006C29F1"/>
    <w:rsid w:val="006C3B5E"/>
    <w:rsid w:val="006C3DDA"/>
    <w:rsid w:val="006C4F49"/>
    <w:rsid w:val="006C4F6D"/>
    <w:rsid w:val="006C5774"/>
    <w:rsid w:val="006C57C1"/>
    <w:rsid w:val="006C6FE6"/>
    <w:rsid w:val="006C7FFB"/>
    <w:rsid w:val="006D01A9"/>
    <w:rsid w:val="006D0253"/>
    <w:rsid w:val="006D0EA1"/>
    <w:rsid w:val="006D1ECE"/>
    <w:rsid w:val="006D2053"/>
    <w:rsid w:val="006D2BF8"/>
    <w:rsid w:val="006D2DBE"/>
    <w:rsid w:val="006D3277"/>
    <w:rsid w:val="006D3E4B"/>
    <w:rsid w:val="006D4300"/>
    <w:rsid w:val="006D496C"/>
    <w:rsid w:val="006D617A"/>
    <w:rsid w:val="006D704E"/>
    <w:rsid w:val="006D77E9"/>
    <w:rsid w:val="006D79E9"/>
    <w:rsid w:val="006D7EFB"/>
    <w:rsid w:val="006E052D"/>
    <w:rsid w:val="006E14CD"/>
    <w:rsid w:val="006E1589"/>
    <w:rsid w:val="006E1C0C"/>
    <w:rsid w:val="006E23D7"/>
    <w:rsid w:val="006E289F"/>
    <w:rsid w:val="006E2F6E"/>
    <w:rsid w:val="006E48F7"/>
    <w:rsid w:val="006E571F"/>
    <w:rsid w:val="006E5D65"/>
    <w:rsid w:val="006E6672"/>
    <w:rsid w:val="006E6722"/>
    <w:rsid w:val="006E7C3E"/>
    <w:rsid w:val="006E7D44"/>
    <w:rsid w:val="006E7F34"/>
    <w:rsid w:val="006F009A"/>
    <w:rsid w:val="006F10F1"/>
    <w:rsid w:val="006F1E1A"/>
    <w:rsid w:val="006F1E51"/>
    <w:rsid w:val="006F22F9"/>
    <w:rsid w:val="006F265A"/>
    <w:rsid w:val="006F276A"/>
    <w:rsid w:val="006F282C"/>
    <w:rsid w:val="006F3484"/>
    <w:rsid w:val="006F37D7"/>
    <w:rsid w:val="006F380E"/>
    <w:rsid w:val="006F5503"/>
    <w:rsid w:val="006F5A7A"/>
    <w:rsid w:val="006F5BCE"/>
    <w:rsid w:val="006F63CD"/>
    <w:rsid w:val="006F63F6"/>
    <w:rsid w:val="006F6BC6"/>
    <w:rsid w:val="0070148D"/>
    <w:rsid w:val="007026BE"/>
    <w:rsid w:val="007027B9"/>
    <w:rsid w:val="00702936"/>
    <w:rsid w:val="007029B4"/>
    <w:rsid w:val="00704470"/>
    <w:rsid w:val="0070466F"/>
    <w:rsid w:val="007046BC"/>
    <w:rsid w:val="00704E3A"/>
    <w:rsid w:val="00704FE8"/>
    <w:rsid w:val="0070635E"/>
    <w:rsid w:val="00707398"/>
    <w:rsid w:val="007076D2"/>
    <w:rsid w:val="00711305"/>
    <w:rsid w:val="007113D8"/>
    <w:rsid w:val="00711E97"/>
    <w:rsid w:val="00712846"/>
    <w:rsid w:val="00712850"/>
    <w:rsid w:val="00713D8F"/>
    <w:rsid w:val="00713EF0"/>
    <w:rsid w:val="00713F5F"/>
    <w:rsid w:val="00714437"/>
    <w:rsid w:val="00714AB8"/>
    <w:rsid w:val="007154BF"/>
    <w:rsid w:val="00715E88"/>
    <w:rsid w:val="007160F9"/>
    <w:rsid w:val="00716E6D"/>
    <w:rsid w:val="00717D5C"/>
    <w:rsid w:val="00717E55"/>
    <w:rsid w:val="0072071F"/>
    <w:rsid w:val="0072188C"/>
    <w:rsid w:val="00721A7C"/>
    <w:rsid w:val="00721BD2"/>
    <w:rsid w:val="00722287"/>
    <w:rsid w:val="00723474"/>
    <w:rsid w:val="00724267"/>
    <w:rsid w:val="00724288"/>
    <w:rsid w:val="007246C9"/>
    <w:rsid w:val="00724B34"/>
    <w:rsid w:val="0072508B"/>
    <w:rsid w:val="00725365"/>
    <w:rsid w:val="007253D6"/>
    <w:rsid w:val="00725E33"/>
    <w:rsid w:val="0072630F"/>
    <w:rsid w:val="00726AC1"/>
    <w:rsid w:val="00727FCC"/>
    <w:rsid w:val="0073110D"/>
    <w:rsid w:val="00732257"/>
    <w:rsid w:val="00732F80"/>
    <w:rsid w:val="0073324B"/>
    <w:rsid w:val="00733C58"/>
    <w:rsid w:val="007340AD"/>
    <w:rsid w:val="00734240"/>
    <w:rsid w:val="007342A4"/>
    <w:rsid w:val="007347B4"/>
    <w:rsid w:val="00734AF7"/>
    <w:rsid w:val="00734CAA"/>
    <w:rsid w:val="0073533F"/>
    <w:rsid w:val="00735906"/>
    <w:rsid w:val="00736583"/>
    <w:rsid w:val="00736D45"/>
    <w:rsid w:val="007371DB"/>
    <w:rsid w:val="00737220"/>
    <w:rsid w:val="00737318"/>
    <w:rsid w:val="00737D98"/>
    <w:rsid w:val="0074010B"/>
    <w:rsid w:val="007404A2"/>
    <w:rsid w:val="00741A23"/>
    <w:rsid w:val="00741D5E"/>
    <w:rsid w:val="00742F37"/>
    <w:rsid w:val="007437B1"/>
    <w:rsid w:val="00743E7D"/>
    <w:rsid w:val="0074487A"/>
    <w:rsid w:val="00744EC8"/>
    <w:rsid w:val="0074538A"/>
    <w:rsid w:val="00745CD4"/>
    <w:rsid w:val="00746CD0"/>
    <w:rsid w:val="00746CFA"/>
    <w:rsid w:val="00746EF0"/>
    <w:rsid w:val="00746EFC"/>
    <w:rsid w:val="007475EE"/>
    <w:rsid w:val="00750319"/>
    <w:rsid w:val="00750FE9"/>
    <w:rsid w:val="00751745"/>
    <w:rsid w:val="00751929"/>
    <w:rsid w:val="00751F8F"/>
    <w:rsid w:val="00752CA1"/>
    <w:rsid w:val="007534FE"/>
    <w:rsid w:val="00754254"/>
    <w:rsid w:val="00754527"/>
    <w:rsid w:val="0075473A"/>
    <w:rsid w:val="0075477F"/>
    <w:rsid w:val="00755106"/>
    <w:rsid w:val="00755153"/>
    <w:rsid w:val="0075533C"/>
    <w:rsid w:val="00755696"/>
    <w:rsid w:val="0075592C"/>
    <w:rsid w:val="00757581"/>
    <w:rsid w:val="007601BC"/>
    <w:rsid w:val="00760EC3"/>
    <w:rsid w:val="007611A0"/>
    <w:rsid w:val="00763076"/>
    <w:rsid w:val="007639B7"/>
    <w:rsid w:val="007646B8"/>
    <w:rsid w:val="00765538"/>
    <w:rsid w:val="0076582E"/>
    <w:rsid w:val="007658A0"/>
    <w:rsid w:val="00766D30"/>
    <w:rsid w:val="00766EB4"/>
    <w:rsid w:val="0076778B"/>
    <w:rsid w:val="007709A2"/>
    <w:rsid w:val="007713D4"/>
    <w:rsid w:val="00771517"/>
    <w:rsid w:val="00771643"/>
    <w:rsid w:val="007717B0"/>
    <w:rsid w:val="00771992"/>
    <w:rsid w:val="007726B5"/>
    <w:rsid w:val="00773496"/>
    <w:rsid w:val="00773A5C"/>
    <w:rsid w:val="0077426D"/>
    <w:rsid w:val="00774602"/>
    <w:rsid w:val="00774DF1"/>
    <w:rsid w:val="00776A73"/>
    <w:rsid w:val="007773E8"/>
    <w:rsid w:val="00777537"/>
    <w:rsid w:val="00777714"/>
    <w:rsid w:val="00781106"/>
    <w:rsid w:val="00781699"/>
    <w:rsid w:val="00781956"/>
    <w:rsid w:val="00782DF4"/>
    <w:rsid w:val="00783907"/>
    <w:rsid w:val="00783F5B"/>
    <w:rsid w:val="007841A1"/>
    <w:rsid w:val="00784343"/>
    <w:rsid w:val="007851E9"/>
    <w:rsid w:val="0078545E"/>
    <w:rsid w:val="00785679"/>
    <w:rsid w:val="0078712E"/>
    <w:rsid w:val="007872DA"/>
    <w:rsid w:val="00791241"/>
    <w:rsid w:val="007913EC"/>
    <w:rsid w:val="00791543"/>
    <w:rsid w:val="00791B7B"/>
    <w:rsid w:val="00791C99"/>
    <w:rsid w:val="00791D74"/>
    <w:rsid w:val="00791DB4"/>
    <w:rsid w:val="007921A2"/>
    <w:rsid w:val="007922F5"/>
    <w:rsid w:val="00793434"/>
    <w:rsid w:val="0079385A"/>
    <w:rsid w:val="007939C3"/>
    <w:rsid w:val="00793E63"/>
    <w:rsid w:val="007947D9"/>
    <w:rsid w:val="00795B5B"/>
    <w:rsid w:val="00795CF1"/>
    <w:rsid w:val="00795E47"/>
    <w:rsid w:val="00796162"/>
    <w:rsid w:val="007963BD"/>
    <w:rsid w:val="0079699C"/>
    <w:rsid w:val="00796D3F"/>
    <w:rsid w:val="007A0539"/>
    <w:rsid w:val="007A1683"/>
    <w:rsid w:val="007A2D42"/>
    <w:rsid w:val="007A36F8"/>
    <w:rsid w:val="007A37C6"/>
    <w:rsid w:val="007A4105"/>
    <w:rsid w:val="007A428D"/>
    <w:rsid w:val="007A4300"/>
    <w:rsid w:val="007A5C12"/>
    <w:rsid w:val="007A6187"/>
    <w:rsid w:val="007A6482"/>
    <w:rsid w:val="007A6650"/>
    <w:rsid w:val="007A7567"/>
    <w:rsid w:val="007A7CB0"/>
    <w:rsid w:val="007B0874"/>
    <w:rsid w:val="007B0BD4"/>
    <w:rsid w:val="007B1161"/>
    <w:rsid w:val="007B14B6"/>
    <w:rsid w:val="007B1E72"/>
    <w:rsid w:val="007B22E7"/>
    <w:rsid w:val="007B22FE"/>
    <w:rsid w:val="007B235B"/>
    <w:rsid w:val="007B3F25"/>
    <w:rsid w:val="007B5211"/>
    <w:rsid w:val="007B5CCB"/>
    <w:rsid w:val="007B68A3"/>
    <w:rsid w:val="007B7DDD"/>
    <w:rsid w:val="007C13E3"/>
    <w:rsid w:val="007C13ED"/>
    <w:rsid w:val="007C1E8F"/>
    <w:rsid w:val="007C2541"/>
    <w:rsid w:val="007C258D"/>
    <w:rsid w:val="007C2D9E"/>
    <w:rsid w:val="007C344A"/>
    <w:rsid w:val="007C4244"/>
    <w:rsid w:val="007C4556"/>
    <w:rsid w:val="007C4DC1"/>
    <w:rsid w:val="007C4FB2"/>
    <w:rsid w:val="007C5702"/>
    <w:rsid w:val="007C72AA"/>
    <w:rsid w:val="007C7795"/>
    <w:rsid w:val="007D01F2"/>
    <w:rsid w:val="007D2562"/>
    <w:rsid w:val="007D27F7"/>
    <w:rsid w:val="007D2BF5"/>
    <w:rsid w:val="007D2C88"/>
    <w:rsid w:val="007D2CEF"/>
    <w:rsid w:val="007D33BB"/>
    <w:rsid w:val="007D4732"/>
    <w:rsid w:val="007D47EC"/>
    <w:rsid w:val="007D60F5"/>
    <w:rsid w:val="007D66A8"/>
    <w:rsid w:val="007D6DAE"/>
    <w:rsid w:val="007D773D"/>
    <w:rsid w:val="007D77A2"/>
    <w:rsid w:val="007D7C6A"/>
    <w:rsid w:val="007E003F"/>
    <w:rsid w:val="007E188B"/>
    <w:rsid w:val="007E2267"/>
    <w:rsid w:val="007E25AE"/>
    <w:rsid w:val="007E3ECC"/>
    <w:rsid w:val="007E4A78"/>
    <w:rsid w:val="007E55A8"/>
    <w:rsid w:val="007E56F3"/>
    <w:rsid w:val="007E5752"/>
    <w:rsid w:val="007E5B8A"/>
    <w:rsid w:val="007E5F4D"/>
    <w:rsid w:val="007E5F69"/>
    <w:rsid w:val="007E6686"/>
    <w:rsid w:val="007E73AC"/>
    <w:rsid w:val="007E761C"/>
    <w:rsid w:val="007F099B"/>
    <w:rsid w:val="007F0E37"/>
    <w:rsid w:val="007F1326"/>
    <w:rsid w:val="007F217E"/>
    <w:rsid w:val="007F28D8"/>
    <w:rsid w:val="007F2DCC"/>
    <w:rsid w:val="007F2FA3"/>
    <w:rsid w:val="007F35AD"/>
    <w:rsid w:val="007F3E92"/>
    <w:rsid w:val="007F3F3C"/>
    <w:rsid w:val="007F405C"/>
    <w:rsid w:val="007F4612"/>
    <w:rsid w:val="007F4E1F"/>
    <w:rsid w:val="007F55F2"/>
    <w:rsid w:val="007F5BC6"/>
    <w:rsid w:val="007F5C97"/>
    <w:rsid w:val="007F67CC"/>
    <w:rsid w:val="007F6F91"/>
    <w:rsid w:val="007F707C"/>
    <w:rsid w:val="007F781A"/>
    <w:rsid w:val="00800D47"/>
    <w:rsid w:val="00800DD1"/>
    <w:rsid w:val="00801642"/>
    <w:rsid w:val="00801BCF"/>
    <w:rsid w:val="00801BE7"/>
    <w:rsid w:val="00802427"/>
    <w:rsid w:val="00802B8C"/>
    <w:rsid w:val="00802E72"/>
    <w:rsid w:val="00803697"/>
    <w:rsid w:val="00803E57"/>
    <w:rsid w:val="00803FBC"/>
    <w:rsid w:val="008046BE"/>
    <w:rsid w:val="00804815"/>
    <w:rsid w:val="00804CD7"/>
    <w:rsid w:val="0080560F"/>
    <w:rsid w:val="00805F1D"/>
    <w:rsid w:val="00806CB0"/>
    <w:rsid w:val="00807A43"/>
    <w:rsid w:val="00807ADF"/>
    <w:rsid w:val="00810894"/>
    <w:rsid w:val="008108AA"/>
    <w:rsid w:val="00811115"/>
    <w:rsid w:val="00811632"/>
    <w:rsid w:val="00811736"/>
    <w:rsid w:val="00811C0C"/>
    <w:rsid w:val="008121EE"/>
    <w:rsid w:val="008125F7"/>
    <w:rsid w:val="00813443"/>
    <w:rsid w:val="00814A2D"/>
    <w:rsid w:val="008152A6"/>
    <w:rsid w:val="008152F8"/>
    <w:rsid w:val="0081545E"/>
    <w:rsid w:val="0081560B"/>
    <w:rsid w:val="0081604F"/>
    <w:rsid w:val="008162C0"/>
    <w:rsid w:val="008164F2"/>
    <w:rsid w:val="00816B73"/>
    <w:rsid w:val="00816C6F"/>
    <w:rsid w:val="0081788E"/>
    <w:rsid w:val="00817AEE"/>
    <w:rsid w:val="00817B5F"/>
    <w:rsid w:val="00820DE7"/>
    <w:rsid w:val="0082116B"/>
    <w:rsid w:val="00821395"/>
    <w:rsid w:val="00821A01"/>
    <w:rsid w:val="008228AD"/>
    <w:rsid w:val="00822EB7"/>
    <w:rsid w:val="00822F37"/>
    <w:rsid w:val="00823D2C"/>
    <w:rsid w:val="0082478D"/>
    <w:rsid w:val="008249DA"/>
    <w:rsid w:val="00824D99"/>
    <w:rsid w:val="00825C83"/>
    <w:rsid w:val="00826816"/>
    <w:rsid w:val="00826A3D"/>
    <w:rsid w:val="00826CD5"/>
    <w:rsid w:val="00827721"/>
    <w:rsid w:val="00827C14"/>
    <w:rsid w:val="00827EFA"/>
    <w:rsid w:val="0083088A"/>
    <w:rsid w:val="00830E26"/>
    <w:rsid w:val="008317D9"/>
    <w:rsid w:val="00832013"/>
    <w:rsid w:val="0083209E"/>
    <w:rsid w:val="00832F46"/>
    <w:rsid w:val="008333C1"/>
    <w:rsid w:val="00834B6C"/>
    <w:rsid w:val="00835699"/>
    <w:rsid w:val="0083690E"/>
    <w:rsid w:val="00837087"/>
    <w:rsid w:val="00840C57"/>
    <w:rsid w:val="00840E80"/>
    <w:rsid w:val="00841280"/>
    <w:rsid w:val="00842487"/>
    <w:rsid w:val="00842B21"/>
    <w:rsid w:val="00842D92"/>
    <w:rsid w:val="00842F33"/>
    <w:rsid w:val="00843566"/>
    <w:rsid w:val="00843576"/>
    <w:rsid w:val="00843B64"/>
    <w:rsid w:val="008441E1"/>
    <w:rsid w:val="008442B7"/>
    <w:rsid w:val="0084463C"/>
    <w:rsid w:val="00844800"/>
    <w:rsid w:val="00846638"/>
    <w:rsid w:val="00846D8B"/>
    <w:rsid w:val="00846F06"/>
    <w:rsid w:val="00846F51"/>
    <w:rsid w:val="008470BD"/>
    <w:rsid w:val="008472A9"/>
    <w:rsid w:val="008478FC"/>
    <w:rsid w:val="00847C1D"/>
    <w:rsid w:val="008501FE"/>
    <w:rsid w:val="008505D1"/>
    <w:rsid w:val="0085079B"/>
    <w:rsid w:val="008512B6"/>
    <w:rsid w:val="00851422"/>
    <w:rsid w:val="00851540"/>
    <w:rsid w:val="008525EB"/>
    <w:rsid w:val="008532B0"/>
    <w:rsid w:val="00854C0C"/>
    <w:rsid w:val="00856071"/>
    <w:rsid w:val="00856216"/>
    <w:rsid w:val="00856802"/>
    <w:rsid w:val="00856FA5"/>
    <w:rsid w:val="00857727"/>
    <w:rsid w:val="00857AF3"/>
    <w:rsid w:val="00860120"/>
    <w:rsid w:val="008602CF"/>
    <w:rsid w:val="008609A7"/>
    <w:rsid w:val="00860CBF"/>
    <w:rsid w:val="00860FD7"/>
    <w:rsid w:val="008610AD"/>
    <w:rsid w:val="00862212"/>
    <w:rsid w:val="008627C8"/>
    <w:rsid w:val="00862875"/>
    <w:rsid w:val="00862D2F"/>
    <w:rsid w:val="00863224"/>
    <w:rsid w:val="008648AD"/>
    <w:rsid w:val="00864D00"/>
    <w:rsid w:val="00865CCE"/>
    <w:rsid w:val="00866D93"/>
    <w:rsid w:val="00867944"/>
    <w:rsid w:val="0086799F"/>
    <w:rsid w:val="00867BFF"/>
    <w:rsid w:val="00867F35"/>
    <w:rsid w:val="0087031E"/>
    <w:rsid w:val="00870361"/>
    <w:rsid w:val="00870D3C"/>
    <w:rsid w:val="0087173D"/>
    <w:rsid w:val="00871A33"/>
    <w:rsid w:val="00871B96"/>
    <w:rsid w:val="00872107"/>
    <w:rsid w:val="008726A0"/>
    <w:rsid w:val="00873382"/>
    <w:rsid w:val="008735EB"/>
    <w:rsid w:val="00874965"/>
    <w:rsid w:val="0087575F"/>
    <w:rsid w:val="00875A91"/>
    <w:rsid w:val="00875CDB"/>
    <w:rsid w:val="00875FB9"/>
    <w:rsid w:val="0087602B"/>
    <w:rsid w:val="0088075D"/>
    <w:rsid w:val="0088090D"/>
    <w:rsid w:val="00881A32"/>
    <w:rsid w:val="0088480A"/>
    <w:rsid w:val="00884C3B"/>
    <w:rsid w:val="00885D28"/>
    <w:rsid w:val="00886EAD"/>
    <w:rsid w:val="008871AC"/>
    <w:rsid w:val="008871F9"/>
    <w:rsid w:val="008872D0"/>
    <w:rsid w:val="0088757A"/>
    <w:rsid w:val="008905E3"/>
    <w:rsid w:val="008914BC"/>
    <w:rsid w:val="00891A9A"/>
    <w:rsid w:val="00891CA5"/>
    <w:rsid w:val="00892332"/>
    <w:rsid w:val="00892B20"/>
    <w:rsid w:val="00892B8C"/>
    <w:rsid w:val="00892C0C"/>
    <w:rsid w:val="00892FEA"/>
    <w:rsid w:val="0089307A"/>
    <w:rsid w:val="008957DD"/>
    <w:rsid w:val="0089654C"/>
    <w:rsid w:val="00896D05"/>
    <w:rsid w:val="00897D98"/>
    <w:rsid w:val="00897EC7"/>
    <w:rsid w:val="008A0941"/>
    <w:rsid w:val="008A0BF8"/>
    <w:rsid w:val="008A19E0"/>
    <w:rsid w:val="008A1D3C"/>
    <w:rsid w:val="008A1F7B"/>
    <w:rsid w:val="008A24BA"/>
    <w:rsid w:val="008A26B4"/>
    <w:rsid w:val="008A26E8"/>
    <w:rsid w:val="008A43DB"/>
    <w:rsid w:val="008A43E1"/>
    <w:rsid w:val="008A4452"/>
    <w:rsid w:val="008A4D4C"/>
    <w:rsid w:val="008A5100"/>
    <w:rsid w:val="008A5445"/>
    <w:rsid w:val="008A6318"/>
    <w:rsid w:val="008A6DF2"/>
    <w:rsid w:val="008A7351"/>
    <w:rsid w:val="008A7628"/>
    <w:rsid w:val="008A7807"/>
    <w:rsid w:val="008B0293"/>
    <w:rsid w:val="008B0D6B"/>
    <w:rsid w:val="008B11DE"/>
    <w:rsid w:val="008B155B"/>
    <w:rsid w:val="008B18F4"/>
    <w:rsid w:val="008B253B"/>
    <w:rsid w:val="008B28C9"/>
    <w:rsid w:val="008B36A4"/>
    <w:rsid w:val="008B3832"/>
    <w:rsid w:val="008B383F"/>
    <w:rsid w:val="008B39EA"/>
    <w:rsid w:val="008B3F8E"/>
    <w:rsid w:val="008B4169"/>
    <w:rsid w:val="008B4CC9"/>
    <w:rsid w:val="008B5ABB"/>
    <w:rsid w:val="008B7978"/>
    <w:rsid w:val="008C005F"/>
    <w:rsid w:val="008C0B87"/>
    <w:rsid w:val="008C0C6A"/>
    <w:rsid w:val="008C13F0"/>
    <w:rsid w:val="008C1B8B"/>
    <w:rsid w:val="008C39E0"/>
    <w:rsid w:val="008C3AEF"/>
    <w:rsid w:val="008C3E4E"/>
    <w:rsid w:val="008C3E98"/>
    <w:rsid w:val="008C4AAD"/>
    <w:rsid w:val="008C5955"/>
    <w:rsid w:val="008C6DE8"/>
    <w:rsid w:val="008C71C0"/>
    <w:rsid w:val="008C7C31"/>
    <w:rsid w:val="008C7DA4"/>
    <w:rsid w:val="008D0EF5"/>
    <w:rsid w:val="008D1AB2"/>
    <w:rsid w:val="008D29E2"/>
    <w:rsid w:val="008D337F"/>
    <w:rsid w:val="008D3AE0"/>
    <w:rsid w:val="008D3E27"/>
    <w:rsid w:val="008D4404"/>
    <w:rsid w:val="008D4508"/>
    <w:rsid w:val="008D493A"/>
    <w:rsid w:val="008D4A5F"/>
    <w:rsid w:val="008D4C38"/>
    <w:rsid w:val="008D75BA"/>
    <w:rsid w:val="008D765E"/>
    <w:rsid w:val="008D7C99"/>
    <w:rsid w:val="008E0538"/>
    <w:rsid w:val="008E0BDF"/>
    <w:rsid w:val="008E0FCB"/>
    <w:rsid w:val="008E2B10"/>
    <w:rsid w:val="008E2B60"/>
    <w:rsid w:val="008E342C"/>
    <w:rsid w:val="008E3749"/>
    <w:rsid w:val="008E5045"/>
    <w:rsid w:val="008E5662"/>
    <w:rsid w:val="008E5D37"/>
    <w:rsid w:val="008E6EBB"/>
    <w:rsid w:val="008E7019"/>
    <w:rsid w:val="008E71F4"/>
    <w:rsid w:val="008F11C5"/>
    <w:rsid w:val="008F12A6"/>
    <w:rsid w:val="008F19B5"/>
    <w:rsid w:val="008F2F0F"/>
    <w:rsid w:val="008F3738"/>
    <w:rsid w:val="008F3A59"/>
    <w:rsid w:val="008F3D65"/>
    <w:rsid w:val="008F5003"/>
    <w:rsid w:val="008F59A6"/>
    <w:rsid w:val="008F5F77"/>
    <w:rsid w:val="008F6308"/>
    <w:rsid w:val="009003C3"/>
    <w:rsid w:val="0090069C"/>
    <w:rsid w:val="00900C6D"/>
    <w:rsid w:val="00900EC5"/>
    <w:rsid w:val="009024F4"/>
    <w:rsid w:val="00903007"/>
    <w:rsid w:val="0090438C"/>
    <w:rsid w:val="0090490C"/>
    <w:rsid w:val="00906FC8"/>
    <w:rsid w:val="00907D78"/>
    <w:rsid w:val="00910351"/>
    <w:rsid w:val="00910CBC"/>
    <w:rsid w:val="00912940"/>
    <w:rsid w:val="00912A7A"/>
    <w:rsid w:val="009146A9"/>
    <w:rsid w:val="009147FB"/>
    <w:rsid w:val="00914E9A"/>
    <w:rsid w:val="00914F6B"/>
    <w:rsid w:val="009155A6"/>
    <w:rsid w:val="009165C1"/>
    <w:rsid w:val="009172E4"/>
    <w:rsid w:val="009211EF"/>
    <w:rsid w:val="00921542"/>
    <w:rsid w:val="0092178C"/>
    <w:rsid w:val="009227A6"/>
    <w:rsid w:val="009230F8"/>
    <w:rsid w:val="00923993"/>
    <w:rsid w:val="0092493F"/>
    <w:rsid w:val="00924E45"/>
    <w:rsid w:val="00924FEA"/>
    <w:rsid w:val="0092566E"/>
    <w:rsid w:val="009265EA"/>
    <w:rsid w:val="00926712"/>
    <w:rsid w:val="00926F25"/>
    <w:rsid w:val="009276BA"/>
    <w:rsid w:val="0092781C"/>
    <w:rsid w:val="00927845"/>
    <w:rsid w:val="009301AA"/>
    <w:rsid w:val="00930B88"/>
    <w:rsid w:val="00930CAF"/>
    <w:rsid w:val="00930D89"/>
    <w:rsid w:val="009317C4"/>
    <w:rsid w:val="00931ABD"/>
    <w:rsid w:val="00931B2C"/>
    <w:rsid w:val="00932487"/>
    <w:rsid w:val="00932834"/>
    <w:rsid w:val="009328AD"/>
    <w:rsid w:val="00932C0A"/>
    <w:rsid w:val="009333BA"/>
    <w:rsid w:val="009342AC"/>
    <w:rsid w:val="0093557B"/>
    <w:rsid w:val="00935BB0"/>
    <w:rsid w:val="0093685F"/>
    <w:rsid w:val="00937308"/>
    <w:rsid w:val="009377D4"/>
    <w:rsid w:val="009378DC"/>
    <w:rsid w:val="00937E54"/>
    <w:rsid w:val="009406C0"/>
    <w:rsid w:val="00940DCC"/>
    <w:rsid w:val="0094179A"/>
    <w:rsid w:val="0094236C"/>
    <w:rsid w:val="00942405"/>
    <w:rsid w:val="00942991"/>
    <w:rsid w:val="00942F64"/>
    <w:rsid w:val="009433F2"/>
    <w:rsid w:val="00943CCA"/>
    <w:rsid w:val="00943D3D"/>
    <w:rsid w:val="0094459E"/>
    <w:rsid w:val="00944B8D"/>
    <w:rsid w:val="00944DBC"/>
    <w:rsid w:val="00944E29"/>
    <w:rsid w:val="00945508"/>
    <w:rsid w:val="00945710"/>
    <w:rsid w:val="00946250"/>
    <w:rsid w:val="009506A4"/>
    <w:rsid w:val="00950977"/>
    <w:rsid w:val="00950B72"/>
    <w:rsid w:val="00951690"/>
    <w:rsid w:val="00951A7B"/>
    <w:rsid w:val="009526CE"/>
    <w:rsid w:val="00953752"/>
    <w:rsid w:val="00953DEB"/>
    <w:rsid w:val="0095449E"/>
    <w:rsid w:val="00954D34"/>
    <w:rsid w:val="009557C9"/>
    <w:rsid w:val="009561FD"/>
    <w:rsid w:val="009564A6"/>
    <w:rsid w:val="00956AD3"/>
    <w:rsid w:val="00956EAD"/>
    <w:rsid w:val="009572A3"/>
    <w:rsid w:val="00960B4E"/>
    <w:rsid w:val="00961471"/>
    <w:rsid w:val="00961A33"/>
    <w:rsid w:val="00961A74"/>
    <w:rsid w:val="009628B9"/>
    <w:rsid w:val="00962CF7"/>
    <w:rsid w:val="00962DD5"/>
    <w:rsid w:val="00963BB7"/>
    <w:rsid w:val="00963F77"/>
    <w:rsid w:val="00964ADA"/>
    <w:rsid w:val="009658A3"/>
    <w:rsid w:val="0096593F"/>
    <w:rsid w:val="009663CD"/>
    <w:rsid w:val="00966647"/>
    <w:rsid w:val="00966848"/>
    <w:rsid w:val="00966D4A"/>
    <w:rsid w:val="00967027"/>
    <w:rsid w:val="00967358"/>
    <w:rsid w:val="009674DF"/>
    <w:rsid w:val="0096754E"/>
    <w:rsid w:val="00967621"/>
    <w:rsid w:val="0096787D"/>
    <w:rsid w:val="00967E6A"/>
    <w:rsid w:val="00967EE4"/>
    <w:rsid w:val="0097002E"/>
    <w:rsid w:val="0097059E"/>
    <w:rsid w:val="00971130"/>
    <w:rsid w:val="00971999"/>
    <w:rsid w:val="0097254A"/>
    <w:rsid w:val="00972B28"/>
    <w:rsid w:val="00973043"/>
    <w:rsid w:val="00973094"/>
    <w:rsid w:val="0097314F"/>
    <w:rsid w:val="009734EE"/>
    <w:rsid w:val="00973531"/>
    <w:rsid w:val="009735A7"/>
    <w:rsid w:val="00973C3F"/>
    <w:rsid w:val="00974BD4"/>
    <w:rsid w:val="00974C69"/>
    <w:rsid w:val="009751E0"/>
    <w:rsid w:val="0097523F"/>
    <w:rsid w:val="009754F4"/>
    <w:rsid w:val="00975D33"/>
    <w:rsid w:val="009767A9"/>
    <w:rsid w:val="00977FB3"/>
    <w:rsid w:val="00980567"/>
    <w:rsid w:val="009806FD"/>
    <w:rsid w:val="00980797"/>
    <w:rsid w:val="0098135A"/>
    <w:rsid w:val="00981537"/>
    <w:rsid w:val="00981589"/>
    <w:rsid w:val="00981D25"/>
    <w:rsid w:val="00982021"/>
    <w:rsid w:val="0098278D"/>
    <w:rsid w:val="00982D5E"/>
    <w:rsid w:val="00983127"/>
    <w:rsid w:val="00983204"/>
    <w:rsid w:val="009832DC"/>
    <w:rsid w:val="0098388E"/>
    <w:rsid w:val="009840B3"/>
    <w:rsid w:val="009840EB"/>
    <w:rsid w:val="0098513F"/>
    <w:rsid w:val="009851A0"/>
    <w:rsid w:val="009852F3"/>
    <w:rsid w:val="00986AE7"/>
    <w:rsid w:val="0098700C"/>
    <w:rsid w:val="00987B48"/>
    <w:rsid w:val="009908CA"/>
    <w:rsid w:val="0099139A"/>
    <w:rsid w:val="0099169D"/>
    <w:rsid w:val="00991B81"/>
    <w:rsid w:val="009927B1"/>
    <w:rsid w:val="00993005"/>
    <w:rsid w:val="009935AC"/>
    <w:rsid w:val="00995052"/>
    <w:rsid w:val="009951D3"/>
    <w:rsid w:val="00995478"/>
    <w:rsid w:val="009956B4"/>
    <w:rsid w:val="00995EF6"/>
    <w:rsid w:val="00996B0F"/>
    <w:rsid w:val="00997D38"/>
    <w:rsid w:val="009A0030"/>
    <w:rsid w:val="009A0627"/>
    <w:rsid w:val="009A089E"/>
    <w:rsid w:val="009A169B"/>
    <w:rsid w:val="009A1AA8"/>
    <w:rsid w:val="009A1ACD"/>
    <w:rsid w:val="009A1CDF"/>
    <w:rsid w:val="009A23AE"/>
    <w:rsid w:val="009A28B3"/>
    <w:rsid w:val="009A293C"/>
    <w:rsid w:val="009A2997"/>
    <w:rsid w:val="009A4108"/>
    <w:rsid w:val="009A4908"/>
    <w:rsid w:val="009A5416"/>
    <w:rsid w:val="009A5BA9"/>
    <w:rsid w:val="009A5F0B"/>
    <w:rsid w:val="009A6054"/>
    <w:rsid w:val="009A60F5"/>
    <w:rsid w:val="009A6481"/>
    <w:rsid w:val="009A6A52"/>
    <w:rsid w:val="009B032D"/>
    <w:rsid w:val="009B136B"/>
    <w:rsid w:val="009B174F"/>
    <w:rsid w:val="009B1E9C"/>
    <w:rsid w:val="009B36A4"/>
    <w:rsid w:val="009B3DC1"/>
    <w:rsid w:val="009B490B"/>
    <w:rsid w:val="009B4A0F"/>
    <w:rsid w:val="009B4C81"/>
    <w:rsid w:val="009B53D8"/>
    <w:rsid w:val="009B5502"/>
    <w:rsid w:val="009B578A"/>
    <w:rsid w:val="009B57FF"/>
    <w:rsid w:val="009B5C92"/>
    <w:rsid w:val="009B6679"/>
    <w:rsid w:val="009B7069"/>
    <w:rsid w:val="009B70EC"/>
    <w:rsid w:val="009B741A"/>
    <w:rsid w:val="009C024A"/>
    <w:rsid w:val="009C0561"/>
    <w:rsid w:val="009C0EBD"/>
    <w:rsid w:val="009C0FEC"/>
    <w:rsid w:val="009C11D2"/>
    <w:rsid w:val="009C21F1"/>
    <w:rsid w:val="009C2D3C"/>
    <w:rsid w:val="009C3008"/>
    <w:rsid w:val="009C3061"/>
    <w:rsid w:val="009C3152"/>
    <w:rsid w:val="009C3B37"/>
    <w:rsid w:val="009C3DE2"/>
    <w:rsid w:val="009C44D3"/>
    <w:rsid w:val="009C4E33"/>
    <w:rsid w:val="009C5AB2"/>
    <w:rsid w:val="009C65EB"/>
    <w:rsid w:val="009C6AAC"/>
    <w:rsid w:val="009C6C70"/>
    <w:rsid w:val="009C781F"/>
    <w:rsid w:val="009C7BA6"/>
    <w:rsid w:val="009D0922"/>
    <w:rsid w:val="009D0B63"/>
    <w:rsid w:val="009D0DDD"/>
    <w:rsid w:val="009D126A"/>
    <w:rsid w:val="009D13D6"/>
    <w:rsid w:val="009D1E8A"/>
    <w:rsid w:val="009D1ED7"/>
    <w:rsid w:val="009D2187"/>
    <w:rsid w:val="009D23E3"/>
    <w:rsid w:val="009D26F9"/>
    <w:rsid w:val="009D2A3B"/>
    <w:rsid w:val="009D2C24"/>
    <w:rsid w:val="009D2EE4"/>
    <w:rsid w:val="009D3CF3"/>
    <w:rsid w:val="009D4433"/>
    <w:rsid w:val="009D468C"/>
    <w:rsid w:val="009D5977"/>
    <w:rsid w:val="009D5D68"/>
    <w:rsid w:val="009D70DD"/>
    <w:rsid w:val="009D760D"/>
    <w:rsid w:val="009D7683"/>
    <w:rsid w:val="009E0008"/>
    <w:rsid w:val="009E05FE"/>
    <w:rsid w:val="009E0E5F"/>
    <w:rsid w:val="009E13E5"/>
    <w:rsid w:val="009E1A50"/>
    <w:rsid w:val="009E22FE"/>
    <w:rsid w:val="009E307E"/>
    <w:rsid w:val="009E31A5"/>
    <w:rsid w:val="009E39A8"/>
    <w:rsid w:val="009E3A6E"/>
    <w:rsid w:val="009E3E42"/>
    <w:rsid w:val="009E433F"/>
    <w:rsid w:val="009E47E3"/>
    <w:rsid w:val="009E49BF"/>
    <w:rsid w:val="009E564C"/>
    <w:rsid w:val="009E5906"/>
    <w:rsid w:val="009E5BDC"/>
    <w:rsid w:val="009E65D0"/>
    <w:rsid w:val="009E769D"/>
    <w:rsid w:val="009F29D6"/>
    <w:rsid w:val="009F31C1"/>
    <w:rsid w:val="009F42E1"/>
    <w:rsid w:val="009F45F0"/>
    <w:rsid w:val="009F467A"/>
    <w:rsid w:val="009F4769"/>
    <w:rsid w:val="009F48F2"/>
    <w:rsid w:val="009F4E92"/>
    <w:rsid w:val="009F52A5"/>
    <w:rsid w:val="009F605F"/>
    <w:rsid w:val="009F60FA"/>
    <w:rsid w:val="009F61E7"/>
    <w:rsid w:val="009F7A30"/>
    <w:rsid w:val="009F7DAD"/>
    <w:rsid w:val="00A00DFF"/>
    <w:rsid w:val="00A00EF1"/>
    <w:rsid w:val="00A023DD"/>
    <w:rsid w:val="00A0242E"/>
    <w:rsid w:val="00A02E9D"/>
    <w:rsid w:val="00A035CA"/>
    <w:rsid w:val="00A03A4A"/>
    <w:rsid w:val="00A048B0"/>
    <w:rsid w:val="00A052BD"/>
    <w:rsid w:val="00A05429"/>
    <w:rsid w:val="00A06991"/>
    <w:rsid w:val="00A069BF"/>
    <w:rsid w:val="00A07870"/>
    <w:rsid w:val="00A07920"/>
    <w:rsid w:val="00A07DAC"/>
    <w:rsid w:val="00A07F19"/>
    <w:rsid w:val="00A102BD"/>
    <w:rsid w:val="00A123F7"/>
    <w:rsid w:val="00A1348D"/>
    <w:rsid w:val="00A13AF9"/>
    <w:rsid w:val="00A14248"/>
    <w:rsid w:val="00A142D1"/>
    <w:rsid w:val="00A1489E"/>
    <w:rsid w:val="00A148C4"/>
    <w:rsid w:val="00A14B8A"/>
    <w:rsid w:val="00A1506B"/>
    <w:rsid w:val="00A151CF"/>
    <w:rsid w:val="00A15374"/>
    <w:rsid w:val="00A15857"/>
    <w:rsid w:val="00A158C9"/>
    <w:rsid w:val="00A15CEA"/>
    <w:rsid w:val="00A1656A"/>
    <w:rsid w:val="00A16CE2"/>
    <w:rsid w:val="00A16F14"/>
    <w:rsid w:val="00A20222"/>
    <w:rsid w:val="00A20FC4"/>
    <w:rsid w:val="00A2193F"/>
    <w:rsid w:val="00A21BD3"/>
    <w:rsid w:val="00A21F93"/>
    <w:rsid w:val="00A22699"/>
    <w:rsid w:val="00A2327D"/>
    <w:rsid w:val="00A232EE"/>
    <w:rsid w:val="00A23FD0"/>
    <w:rsid w:val="00A24C05"/>
    <w:rsid w:val="00A25EE7"/>
    <w:rsid w:val="00A2609C"/>
    <w:rsid w:val="00A26690"/>
    <w:rsid w:val="00A27191"/>
    <w:rsid w:val="00A27872"/>
    <w:rsid w:val="00A27E03"/>
    <w:rsid w:val="00A27E7B"/>
    <w:rsid w:val="00A30F7E"/>
    <w:rsid w:val="00A3128A"/>
    <w:rsid w:val="00A31368"/>
    <w:rsid w:val="00A318D6"/>
    <w:rsid w:val="00A324C8"/>
    <w:rsid w:val="00A3275F"/>
    <w:rsid w:val="00A335E2"/>
    <w:rsid w:val="00A33947"/>
    <w:rsid w:val="00A33B1C"/>
    <w:rsid w:val="00A33B8F"/>
    <w:rsid w:val="00A33CF8"/>
    <w:rsid w:val="00A34077"/>
    <w:rsid w:val="00A34933"/>
    <w:rsid w:val="00A34B7D"/>
    <w:rsid w:val="00A35D44"/>
    <w:rsid w:val="00A35EC9"/>
    <w:rsid w:val="00A36F83"/>
    <w:rsid w:val="00A37529"/>
    <w:rsid w:val="00A375DA"/>
    <w:rsid w:val="00A404CD"/>
    <w:rsid w:val="00A40512"/>
    <w:rsid w:val="00A40960"/>
    <w:rsid w:val="00A4175F"/>
    <w:rsid w:val="00A427B2"/>
    <w:rsid w:val="00A44187"/>
    <w:rsid w:val="00A44411"/>
    <w:rsid w:val="00A4485D"/>
    <w:rsid w:val="00A44B39"/>
    <w:rsid w:val="00A468A9"/>
    <w:rsid w:val="00A469FA"/>
    <w:rsid w:val="00A504E9"/>
    <w:rsid w:val="00A5072A"/>
    <w:rsid w:val="00A508DE"/>
    <w:rsid w:val="00A50E94"/>
    <w:rsid w:val="00A5164C"/>
    <w:rsid w:val="00A51ADA"/>
    <w:rsid w:val="00A51C92"/>
    <w:rsid w:val="00A528A2"/>
    <w:rsid w:val="00A52D14"/>
    <w:rsid w:val="00A53179"/>
    <w:rsid w:val="00A53D7F"/>
    <w:rsid w:val="00A54199"/>
    <w:rsid w:val="00A55B01"/>
    <w:rsid w:val="00A55C81"/>
    <w:rsid w:val="00A56B5B"/>
    <w:rsid w:val="00A57E5E"/>
    <w:rsid w:val="00A60254"/>
    <w:rsid w:val="00A603FF"/>
    <w:rsid w:val="00A6178A"/>
    <w:rsid w:val="00A61C2A"/>
    <w:rsid w:val="00A62485"/>
    <w:rsid w:val="00A624F9"/>
    <w:rsid w:val="00A633A6"/>
    <w:rsid w:val="00A644F8"/>
    <w:rsid w:val="00A649EB"/>
    <w:rsid w:val="00A6532E"/>
    <w:rsid w:val="00A65506"/>
    <w:rsid w:val="00A657DD"/>
    <w:rsid w:val="00A65E80"/>
    <w:rsid w:val="00A65F27"/>
    <w:rsid w:val="00A65F91"/>
    <w:rsid w:val="00A662AF"/>
    <w:rsid w:val="00A666A6"/>
    <w:rsid w:val="00A66E6B"/>
    <w:rsid w:val="00A66F78"/>
    <w:rsid w:val="00A675FD"/>
    <w:rsid w:val="00A703D7"/>
    <w:rsid w:val="00A71138"/>
    <w:rsid w:val="00A714A3"/>
    <w:rsid w:val="00A716E3"/>
    <w:rsid w:val="00A71DA1"/>
    <w:rsid w:val="00A72437"/>
    <w:rsid w:val="00A745DC"/>
    <w:rsid w:val="00A75408"/>
    <w:rsid w:val="00A760E7"/>
    <w:rsid w:val="00A765CA"/>
    <w:rsid w:val="00A77355"/>
    <w:rsid w:val="00A80611"/>
    <w:rsid w:val="00A80F99"/>
    <w:rsid w:val="00A814C9"/>
    <w:rsid w:val="00A81A13"/>
    <w:rsid w:val="00A81BB3"/>
    <w:rsid w:val="00A821F9"/>
    <w:rsid w:val="00A8274E"/>
    <w:rsid w:val="00A83129"/>
    <w:rsid w:val="00A84B15"/>
    <w:rsid w:val="00A8508F"/>
    <w:rsid w:val="00A850B5"/>
    <w:rsid w:val="00A85190"/>
    <w:rsid w:val="00A856E5"/>
    <w:rsid w:val="00A85D8F"/>
    <w:rsid w:val="00A8611B"/>
    <w:rsid w:val="00A86856"/>
    <w:rsid w:val="00A86FB8"/>
    <w:rsid w:val="00A87016"/>
    <w:rsid w:val="00A87B50"/>
    <w:rsid w:val="00A87D67"/>
    <w:rsid w:val="00A87F2B"/>
    <w:rsid w:val="00A900D8"/>
    <w:rsid w:val="00A91314"/>
    <w:rsid w:val="00A9270A"/>
    <w:rsid w:val="00A92F3D"/>
    <w:rsid w:val="00A93329"/>
    <w:rsid w:val="00A93E0D"/>
    <w:rsid w:val="00A93E82"/>
    <w:rsid w:val="00A9544F"/>
    <w:rsid w:val="00A95830"/>
    <w:rsid w:val="00A958E3"/>
    <w:rsid w:val="00A959C9"/>
    <w:rsid w:val="00A96B38"/>
    <w:rsid w:val="00A97360"/>
    <w:rsid w:val="00A977F7"/>
    <w:rsid w:val="00A97EFE"/>
    <w:rsid w:val="00AA058E"/>
    <w:rsid w:val="00AA0DC9"/>
    <w:rsid w:val="00AA39FD"/>
    <w:rsid w:val="00AA3E49"/>
    <w:rsid w:val="00AA4950"/>
    <w:rsid w:val="00AA50E6"/>
    <w:rsid w:val="00AA7AE5"/>
    <w:rsid w:val="00AB0645"/>
    <w:rsid w:val="00AB0E4B"/>
    <w:rsid w:val="00AB0E70"/>
    <w:rsid w:val="00AB1A44"/>
    <w:rsid w:val="00AB1F69"/>
    <w:rsid w:val="00AB29D8"/>
    <w:rsid w:val="00AB2E8C"/>
    <w:rsid w:val="00AB3709"/>
    <w:rsid w:val="00AB4036"/>
    <w:rsid w:val="00AB47BB"/>
    <w:rsid w:val="00AB49F5"/>
    <w:rsid w:val="00AB4A53"/>
    <w:rsid w:val="00AB5340"/>
    <w:rsid w:val="00AB53EB"/>
    <w:rsid w:val="00AB5750"/>
    <w:rsid w:val="00AB6BD5"/>
    <w:rsid w:val="00AC010E"/>
    <w:rsid w:val="00AC01CC"/>
    <w:rsid w:val="00AC0692"/>
    <w:rsid w:val="00AC0CD1"/>
    <w:rsid w:val="00AC0FF9"/>
    <w:rsid w:val="00AC16B8"/>
    <w:rsid w:val="00AC17CB"/>
    <w:rsid w:val="00AC1902"/>
    <w:rsid w:val="00AC1C0A"/>
    <w:rsid w:val="00AC2CAD"/>
    <w:rsid w:val="00AC439C"/>
    <w:rsid w:val="00AC45B0"/>
    <w:rsid w:val="00AC48D2"/>
    <w:rsid w:val="00AC5BAF"/>
    <w:rsid w:val="00AC631D"/>
    <w:rsid w:val="00AC7851"/>
    <w:rsid w:val="00AC78FD"/>
    <w:rsid w:val="00AC7C96"/>
    <w:rsid w:val="00AD0694"/>
    <w:rsid w:val="00AD0C2F"/>
    <w:rsid w:val="00AD31B7"/>
    <w:rsid w:val="00AD3E4D"/>
    <w:rsid w:val="00AD49B3"/>
    <w:rsid w:val="00AD4B11"/>
    <w:rsid w:val="00AD6B77"/>
    <w:rsid w:val="00AD7684"/>
    <w:rsid w:val="00AD7BF7"/>
    <w:rsid w:val="00AD7C33"/>
    <w:rsid w:val="00AD7DFE"/>
    <w:rsid w:val="00AE04D7"/>
    <w:rsid w:val="00AE0F3E"/>
    <w:rsid w:val="00AE1385"/>
    <w:rsid w:val="00AE143B"/>
    <w:rsid w:val="00AE189C"/>
    <w:rsid w:val="00AE1D50"/>
    <w:rsid w:val="00AE1E64"/>
    <w:rsid w:val="00AE237D"/>
    <w:rsid w:val="00AE2A3D"/>
    <w:rsid w:val="00AE2B3F"/>
    <w:rsid w:val="00AE2FEF"/>
    <w:rsid w:val="00AE3ECA"/>
    <w:rsid w:val="00AE44DA"/>
    <w:rsid w:val="00AE502A"/>
    <w:rsid w:val="00AE5332"/>
    <w:rsid w:val="00AE558C"/>
    <w:rsid w:val="00AE596E"/>
    <w:rsid w:val="00AE6DBF"/>
    <w:rsid w:val="00AE6FF8"/>
    <w:rsid w:val="00AE7198"/>
    <w:rsid w:val="00AE73DF"/>
    <w:rsid w:val="00AF0B8C"/>
    <w:rsid w:val="00AF0C06"/>
    <w:rsid w:val="00AF0DF7"/>
    <w:rsid w:val="00AF1960"/>
    <w:rsid w:val="00AF1BD5"/>
    <w:rsid w:val="00AF3579"/>
    <w:rsid w:val="00AF3AEB"/>
    <w:rsid w:val="00AF4087"/>
    <w:rsid w:val="00AF4616"/>
    <w:rsid w:val="00AF4F21"/>
    <w:rsid w:val="00AF5708"/>
    <w:rsid w:val="00AF6DFC"/>
    <w:rsid w:val="00AF7196"/>
    <w:rsid w:val="00AF75BC"/>
    <w:rsid w:val="00AF791D"/>
    <w:rsid w:val="00AF79E2"/>
    <w:rsid w:val="00AF7C07"/>
    <w:rsid w:val="00AF7C8A"/>
    <w:rsid w:val="00AF7ECC"/>
    <w:rsid w:val="00AF7EE8"/>
    <w:rsid w:val="00B00674"/>
    <w:rsid w:val="00B00C0F"/>
    <w:rsid w:val="00B00D5B"/>
    <w:rsid w:val="00B01123"/>
    <w:rsid w:val="00B0150B"/>
    <w:rsid w:val="00B01AC4"/>
    <w:rsid w:val="00B01DB2"/>
    <w:rsid w:val="00B01E08"/>
    <w:rsid w:val="00B03235"/>
    <w:rsid w:val="00B04C52"/>
    <w:rsid w:val="00B04C5C"/>
    <w:rsid w:val="00B04EDE"/>
    <w:rsid w:val="00B05354"/>
    <w:rsid w:val="00B072F4"/>
    <w:rsid w:val="00B07E1F"/>
    <w:rsid w:val="00B10643"/>
    <w:rsid w:val="00B10800"/>
    <w:rsid w:val="00B11A9B"/>
    <w:rsid w:val="00B11DE7"/>
    <w:rsid w:val="00B11E29"/>
    <w:rsid w:val="00B1267C"/>
    <w:rsid w:val="00B12B78"/>
    <w:rsid w:val="00B134FC"/>
    <w:rsid w:val="00B144E4"/>
    <w:rsid w:val="00B15595"/>
    <w:rsid w:val="00B16384"/>
    <w:rsid w:val="00B16696"/>
    <w:rsid w:val="00B16B39"/>
    <w:rsid w:val="00B171A2"/>
    <w:rsid w:val="00B17736"/>
    <w:rsid w:val="00B17DE0"/>
    <w:rsid w:val="00B205DB"/>
    <w:rsid w:val="00B212BC"/>
    <w:rsid w:val="00B21A3C"/>
    <w:rsid w:val="00B22602"/>
    <w:rsid w:val="00B2275B"/>
    <w:rsid w:val="00B22C93"/>
    <w:rsid w:val="00B237E3"/>
    <w:rsid w:val="00B24C91"/>
    <w:rsid w:val="00B24C97"/>
    <w:rsid w:val="00B24F6E"/>
    <w:rsid w:val="00B25542"/>
    <w:rsid w:val="00B25B55"/>
    <w:rsid w:val="00B25DC9"/>
    <w:rsid w:val="00B263B7"/>
    <w:rsid w:val="00B27260"/>
    <w:rsid w:val="00B27589"/>
    <w:rsid w:val="00B27E52"/>
    <w:rsid w:val="00B30518"/>
    <w:rsid w:val="00B30A43"/>
    <w:rsid w:val="00B32293"/>
    <w:rsid w:val="00B3229E"/>
    <w:rsid w:val="00B323A5"/>
    <w:rsid w:val="00B3295D"/>
    <w:rsid w:val="00B32E7F"/>
    <w:rsid w:val="00B33A5D"/>
    <w:rsid w:val="00B34365"/>
    <w:rsid w:val="00B34E6C"/>
    <w:rsid w:val="00B351A0"/>
    <w:rsid w:val="00B37178"/>
    <w:rsid w:val="00B37729"/>
    <w:rsid w:val="00B37EF9"/>
    <w:rsid w:val="00B405B7"/>
    <w:rsid w:val="00B40A9B"/>
    <w:rsid w:val="00B4230D"/>
    <w:rsid w:val="00B42403"/>
    <w:rsid w:val="00B42777"/>
    <w:rsid w:val="00B42B83"/>
    <w:rsid w:val="00B431BD"/>
    <w:rsid w:val="00B43C73"/>
    <w:rsid w:val="00B445FF"/>
    <w:rsid w:val="00B44C74"/>
    <w:rsid w:val="00B45431"/>
    <w:rsid w:val="00B45DC5"/>
    <w:rsid w:val="00B45E6D"/>
    <w:rsid w:val="00B464C9"/>
    <w:rsid w:val="00B46905"/>
    <w:rsid w:val="00B46FEA"/>
    <w:rsid w:val="00B47793"/>
    <w:rsid w:val="00B47E67"/>
    <w:rsid w:val="00B5126F"/>
    <w:rsid w:val="00B51B1D"/>
    <w:rsid w:val="00B52222"/>
    <w:rsid w:val="00B523A2"/>
    <w:rsid w:val="00B52E10"/>
    <w:rsid w:val="00B535DF"/>
    <w:rsid w:val="00B54906"/>
    <w:rsid w:val="00B54E0C"/>
    <w:rsid w:val="00B54FE7"/>
    <w:rsid w:val="00B551BA"/>
    <w:rsid w:val="00B55EED"/>
    <w:rsid w:val="00B5634D"/>
    <w:rsid w:val="00B578C9"/>
    <w:rsid w:val="00B57C47"/>
    <w:rsid w:val="00B57E4C"/>
    <w:rsid w:val="00B57E75"/>
    <w:rsid w:val="00B60791"/>
    <w:rsid w:val="00B6096D"/>
    <w:rsid w:val="00B60CE4"/>
    <w:rsid w:val="00B61B66"/>
    <w:rsid w:val="00B61D2B"/>
    <w:rsid w:val="00B61E77"/>
    <w:rsid w:val="00B6215D"/>
    <w:rsid w:val="00B623F3"/>
    <w:rsid w:val="00B62908"/>
    <w:rsid w:val="00B62C56"/>
    <w:rsid w:val="00B62DB7"/>
    <w:rsid w:val="00B62FFD"/>
    <w:rsid w:val="00B63DB3"/>
    <w:rsid w:val="00B63FE3"/>
    <w:rsid w:val="00B65402"/>
    <w:rsid w:val="00B66901"/>
    <w:rsid w:val="00B71E6D"/>
    <w:rsid w:val="00B72070"/>
    <w:rsid w:val="00B7245B"/>
    <w:rsid w:val="00B724A6"/>
    <w:rsid w:val="00B727AB"/>
    <w:rsid w:val="00B7280E"/>
    <w:rsid w:val="00B72C19"/>
    <w:rsid w:val="00B72D7D"/>
    <w:rsid w:val="00B73DBE"/>
    <w:rsid w:val="00B740C8"/>
    <w:rsid w:val="00B74785"/>
    <w:rsid w:val="00B749D6"/>
    <w:rsid w:val="00B75A8A"/>
    <w:rsid w:val="00B75FA6"/>
    <w:rsid w:val="00B76746"/>
    <w:rsid w:val="00B775AE"/>
    <w:rsid w:val="00B77899"/>
    <w:rsid w:val="00B77926"/>
    <w:rsid w:val="00B779E1"/>
    <w:rsid w:val="00B77AC1"/>
    <w:rsid w:val="00B80CB9"/>
    <w:rsid w:val="00B8113E"/>
    <w:rsid w:val="00B81A32"/>
    <w:rsid w:val="00B82CC0"/>
    <w:rsid w:val="00B82EAE"/>
    <w:rsid w:val="00B83D7B"/>
    <w:rsid w:val="00B8422F"/>
    <w:rsid w:val="00B84481"/>
    <w:rsid w:val="00B8449E"/>
    <w:rsid w:val="00B84577"/>
    <w:rsid w:val="00B84823"/>
    <w:rsid w:val="00B85093"/>
    <w:rsid w:val="00B851F0"/>
    <w:rsid w:val="00B8550C"/>
    <w:rsid w:val="00B8563A"/>
    <w:rsid w:val="00B859A3"/>
    <w:rsid w:val="00B8603E"/>
    <w:rsid w:val="00B86CA7"/>
    <w:rsid w:val="00B86DE4"/>
    <w:rsid w:val="00B876ED"/>
    <w:rsid w:val="00B9036D"/>
    <w:rsid w:val="00B903DB"/>
    <w:rsid w:val="00B907A5"/>
    <w:rsid w:val="00B919CA"/>
    <w:rsid w:val="00B91EE1"/>
    <w:rsid w:val="00B9240C"/>
    <w:rsid w:val="00B93BD4"/>
    <w:rsid w:val="00B93F4D"/>
    <w:rsid w:val="00B947A9"/>
    <w:rsid w:val="00B94996"/>
    <w:rsid w:val="00B94F07"/>
    <w:rsid w:val="00B9505C"/>
    <w:rsid w:val="00B953AE"/>
    <w:rsid w:val="00B954E6"/>
    <w:rsid w:val="00B95897"/>
    <w:rsid w:val="00B96194"/>
    <w:rsid w:val="00B969A6"/>
    <w:rsid w:val="00B96A45"/>
    <w:rsid w:val="00B96E76"/>
    <w:rsid w:val="00B96F43"/>
    <w:rsid w:val="00B972E5"/>
    <w:rsid w:val="00B97394"/>
    <w:rsid w:val="00B97F00"/>
    <w:rsid w:val="00BA0090"/>
    <w:rsid w:val="00BA039B"/>
    <w:rsid w:val="00BA06CC"/>
    <w:rsid w:val="00BA0835"/>
    <w:rsid w:val="00BA0D1E"/>
    <w:rsid w:val="00BA1A67"/>
    <w:rsid w:val="00BA1F07"/>
    <w:rsid w:val="00BA2490"/>
    <w:rsid w:val="00BA25D3"/>
    <w:rsid w:val="00BA26B7"/>
    <w:rsid w:val="00BA2941"/>
    <w:rsid w:val="00BA2E8F"/>
    <w:rsid w:val="00BA2F10"/>
    <w:rsid w:val="00BA44F3"/>
    <w:rsid w:val="00BA50F1"/>
    <w:rsid w:val="00BA5164"/>
    <w:rsid w:val="00BA5880"/>
    <w:rsid w:val="00BA7F53"/>
    <w:rsid w:val="00BB020C"/>
    <w:rsid w:val="00BB1241"/>
    <w:rsid w:val="00BB24FA"/>
    <w:rsid w:val="00BB30A7"/>
    <w:rsid w:val="00BB3354"/>
    <w:rsid w:val="00BB367B"/>
    <w:rsid w:val="00BB4245"/>
    <w:rsid w:val="00BB4544"/>
    <w:rsid w:val="00BB49DE"/>
    <w:rsid w:val="00BB4A75"/>
    <w:rsid w:val="00BB4BF6"/>
    <w:rsid w:val="00BB4CC0"/>
    <w:rsid w:val="00BB56AD"/>
    <w:rsid w:val="00BB59BE"/>
    <w:rsid w:val="00BB6005"/>
    <w:rsid w:val="00BB6414"/>
    <w:rsid w:val="00BB64D6"/>
    <w:rsid w:val="00BB7070"/>
    <w:rsid w:val="00BC07FE"/>
    <w:rsid w:val="00BC14C6"/>
    <w:rsid w:val="00BC1B0F"/>
    <w:rsid w:val="00BC2165"/>
    <w:rsid w:val="00BC25B3"/>
    <w:rsid w:val="00BC2829"/>
    <w:rsid w:val="00BC2C97"/>
    <w:rsid w:val="00BC31B5"/>
    <w:rsid w:val="00BC31E0"/>
    <w:rsid w:val="00BC3EE1"/>
    <w:rsid w:val="00BC3FA4"/>
    <w:rsid w:val="00BC437D"/>
    <w:rsid w:val="00BC58CB"/>
    <w:rsid w:val="00BC6421"/>
    <w:rsid w:val="00BC6696"/>
    <w:rsid w:val="00BC66AA"/>
    <w:rsid w:val="00BC6712"/>
    <w:rsid w:val="00BC6939"/>
    <w:rsid w:val="00BD0163"/>
    <w:rsid w:val="00BD0629"/>
    <w:rsid w:val="00BD1148"/>
    <w:rsid w:val="00BD159E"/>
    <w:rsid w:val="00BD1897"/>
    <w:rsid w:val="00BD1CD2"/>
    <w:rsid w:val="00BD270E"/>
    <w:rsid w:val="00BD2E5A"/>
    <w:rsid w:val="00BD31AE"/>
    <w:rsid w:val="00BD4032"/>
    <w:rsid w:val="00BD418C"/>
    <w:rsid w:val="00BD4ACB"/>
    <w:rsid w:val="00BD541E"/>
    <w:rsid w:val="00BD5D5C"/>
    <w:rsid w:val="00BD6610"/>
    <w:rsid w:val="00BD6AB8"/>
    <w:rsid w:val="00BD6FE1"/>
    <w:rsid w:val="00BD73F6"/>
    <w:rsid w:val="00BE0430"/>
    <w:rsid w:val="00BE0688"/>
    <w:rsid w:val="00BE0E3F"/>
    <w:rsid w:val="00BE16FA"/>
    <w:rsid w:val="00BE256F"/>
    <w:rsid w:val="00BE3232"/>
    <w:rsid w:val="00BE3378"/>
    <w:rsid w:val="00BE3996"/>
    <w:rsid w:val="00BE3ECC"/>
    <w:rsid w:val="00BE4C27"/>
    <w:rsid w:val="00BE53E7"/>
    <w:rsid w:val="00BE5B5F"/>
    <w:rsid w:val="00BE5F44"/>
    <w:rsid w:val="00BE5FF9"/>
    <w:rsid w:val="00BE69A8"/>
    <w:rsid w:val="00BE78E8"/>
    <w:rsid w:val="00BF19A2"/>
    <w:rsid w:val="00BF1E12"/>
    <w:rsid w:val="00BF2541"/>
    <w:rsid w:val="00BF254D"/>
    <w:rsid w:val="00BF2557"/>
    <w:rsid w:val="00BF3A04"/>
    <w:rsid w:val="00BF47BB"/>
    <w:rsid w:val="00BF4B2F"/>
    <w:rsid w:val="00BF5A15"/>
    <w:rsid w:val="00BF5D56"/>
    <w:rsid w:val="00BF6BEB"/>
    <w:rsid w:val="00BF71F4"/>
    <w:rsid w:val="00C00438"/>
    <w:rsid w:val="00C00C64"/>
    <w:rsid w:val="00C00E6C"/>
    <w:rsid w:val="00C0106D"/>
    <w:rsid w:val="00C01408"/>
    <w:rsid w:val="00C01F3B"/>
    <w:rsid w:val="00C026FB"/>
    <w:rsid w:val="00C02D07"/>
    <w:rsid w:val="00C02E52"/>
    <w:rsid w:val="00C02FDD"/>
    <w:rsid w:val="00C04047"/>
    <w:rsid w:val="00C044FC"/>
    <w:rsid w:val="00C04D07"/>
    <w:rsid w:val="00C054EC"/>
    <w:rsid w:val="00C05E13"/>
    <w:rsid w:val="00C06378"/>
    <w:rsid w:val="00C06C20"/>
    <w:rsid w:val="00C07B05"/>
    <w:rsid w:val="00C07F59"/>
    <w:rsid w:val="00C1031F"/>
    <w:rsid w:val="00C107D5"/>
    <w:rsid w:val="00C1160A"/>
    <w:rsid w:val="00C11A6E"/>
    <w:rsid w:val="00C11C21"/>
    <w:rsid w:val="00C121FA"/>
    <w:rsid w:val="00C126BB"/>
    <w:rsid w:val="00C12946"/>
    <w:rsid w:val="00C15840"/>
    <w:rsid w:val="00C16B63"/>
    <w:rsid w:val="00C16DAB"/>
    <w:rsid w:val="00C16E19"/>
    <w:rsid w:val="00C17AD0"/>
    <w:rsid w:val="00C17E5B"/>
    <w:rsid w:val="00C20A9E"/>
    <w:rsid w:val="00C20C0E"/>
    <w:rsid w:val="00C2140A"/>
    <w:rsid w:val="00C22A9C"/>
    <w:rsid w:val="00C23176"/>
    <w:rsid w:val="00C23776"/>
    <w:rsid w:val="00C239FB"/>
    <w:rsid w:val="00C2499B"/>
    <w:rsid w:val="00C25255"/>
    <w:rsid w:val="00C25C94"/>
    <w:rsid w:val="00C25F55"/>
    <w:rsid w:val="00C26F19"/>
    <w:rsid w:val="00C26F55"/>
    <w:rsid w:val="00C271BD"/>
    <w:rsid w:val="00C27670"/>
    <w:rsid w:val="00C27F87"/>
    <w:rsid w:val="00C305C5"/>
    <w:rsid w:val="00C309E8"/>
    <w:rsid w:val="00C30C63"/>
    <w:rsid w:val="00C3140A"/>
    <w:rsid w:val="00C3198E"/>
    <w:rsid w:val="00C31DF8"/>
    <w:rsid w:val="00C324D1"/>
    <w:rsid w:val="00C327E3"/>
    <w:rsid w:val="00C32B00"/>
    <w:rsid w:val="00C32B37"/>
    <w:rsid w:val="00C32B8C"/>
    <w:rsid w:val="00C32F18"/>
    <w:rsid w:val="00C33176"/>
    <w:rsid w:val="00C3327D"/>
    <w:rsid w:val="00C332A9"/>
    <w:rsid w:val="00C33857"/>
    <w:rsid w:val="00C346E9"/>
    <w:rsid w:val="00C35463"/>
    <w:rsid w:val="00C36666"/>
    <w:rsid w:val="00C36B8B"/>
    <w:rsid w:val="00C370CD"/>
    <w:rsid w:val="00C374AA"/>
    <w:rsid w:val="00C378E9"/>
    <w:rsid w:val="00C378F5"/>
    <w:rsid w:val="00C37B18"/>
    <w:rsid w:val="00C37F4B"/>
    <w:rsid w:val="00C37F5B"/>
    <w:rsid w:val="00C40267"/>
    <w:rsid w:val="00C40882"/>
    <w:rsid w:val="00C40B16"/>
    <w:rsid w:val="00C40E33"/>
    <w:rsid w:val="00C4268E"/>
    <w:rsid w:val="00C452C9"/>
    <w:rsid w:val="00C46249"/>
    <w:rsid w:val="00C4629F"/>
    <w:rsid w:val="00C47582"/>
    <w:rsid w:val="00C47DBF"/>
    <w:rsid w:val="00C47E0F"/>
    <w:rsid w:val="00C51BBE"/>
    <w:rsid w:val="00C5336A"/>
    <w:rsid w:val="00C535A4"/>
    <w:rsid w:val="00C53666"/>
    <w:rsid w:val="00C53DC1"/>
    <w:rsid w:val="00C543E0"/>
    <w:rsid w:val="00C54D17"/>
    <w:rsid w:val="00C552FF"/>
    <w:rsid w:val="00C5548F"/>
    <w:rsid w:val="00C554C7"/>
    <w:rsid w:val="00C55770"/>
    <w:rsid w:val="00C558DA"/>
    <w:rsid w:val="00C559C7"/>
    <w:rsid w:val="00C55AF3"/>
    <w:rsid w:val="00C56E3B"/>
    <w:rsid w:val="00C57162"/>
    <w:rsid w:val="00C57809"/>
    <w:rsid w:val="00C60218"/>
    <w:rsid w:val="00C60713"/>
    <w:rsid w:val="00C613F2"/>
    <w:rsid w:val="00C61998"/>
    <w:rsid w:val="00C619AA"/>
    <w:rsid w:val="00C62369"/>
    <w:rsid w:val="00C624E1"/>
    <w:rsid w:val="00C62AB0"/>
    <w:rsid w:val="00C62B9A"/>
    <w:rsid w:val="00C6355E"/>
    <w:rsid w:val="00C638C9"/>
    <w:rsid w:val="00C639DE"/>
    <w:rsid w:val="00C63E17"/>
    <w:rsid w:val="00C6418D"/>
    <w:rsid w:val="00C6421D"/>
    <w:rsid w:val="00C644F1"/>
    <w:rsid w:val="00C64DF9"/>
    <w:rsid w:val="00C64ED6"/>
    <w:rsid w:val="00C65F22"/>
    <w:rsid w:val="00C66D0F"/>
    <w:rsid w:val="00C66FA2"/>
    <w:rsid w:val="00C70649"/>
    <w:rsid w:val="00C7073F"/>
    <w:rsid w:val="00C70AAF"/>
    <w:rsid w:val="00C70B49"/>
    <w:rsid w:val="00C71EB9"/>
    <w:rsid w:val="00C721E4"/>
    <w:rsid w:val="00C724C5"/>
    <w:rsid w:val="00C72AD6"/>
    <w:rsid w:val="00C75740"/>
    <w:rsid w:val="00C75C7C"/>
    <w:rsid w:val="00C76425"/>
    <w:rsid w:val="00C76D34"/>
    <w:rsid w:val="00C77653"/>
    <w:rsid w:val="00C777E1"/>
    <w:rsid w:val="00C7791F"/>
    <w:rsid w:val="00C77FDC"/>
    <w:rsid w:val="00C8063B"/>
    <w:rsid w:val="00C80738"/>
    <w:rsid w:val="00C808B2"/>
    <w:rsid w:val="00C818C5"/>
    <w:rsid w:val="00C81951"/>
    <w:rsid w:val="00C81F88"/>
    <w:rsid w:val="00C83726"/>
    <w:rsid w:val="00C8396C"/>
    <w:rsid w:val="00C83A8F"/>
    <w:rsid w:val="00C84193"/>
    <w:rsid w:val="00C84759"/>
    <w:rsid w:val="00C84BA5"/>
    <w:rsid w:val="00C84F98"/>
    <w:rsid w:val="00C8526B"/>
    <w:rsid w:val="00C859A5"/>
    <w:rsid w:val="00C85B4C"/>
    <w:rsid w:val="00C85E25"/>
    <w:rsid w:val="00C86E2E"/>
    <w:rsid w:val="00C87392"/>
    <w:rsid w:val="00C90300"/>
    <w:rsid w:val="00C90BA6"/>
    <w:rsid w:val="00C90BD0"/>
    <w:rsid w:val="00C910AB"/>
    <w:rsid w:val="00C918A0"/>
    <w:rsid w:val="00C91B26"/>
    <w:rsid w:val="00C9260E"/>
    <w:rsid w:val="00C92CC8"/>
    <w:rsid w:val="00C933A3"/>
    <w:rsid w:val="00C93827"/>
    <w:rsid w:val="00C939FD"/>
    <w:rsid w:val="00C94272"/>
    <w:rsid w:val="00C942D5"/>
    <w:rsid w:val="00C94622"/>
    <w:rsid w:val="00C95493"/>
    <w:rsid w:val="00C9559B"/>
    <w:rsid w:val="00C962AA"/>
    <w:rsid w:val="00C96509"/>
    <w:rsid w:val="00C9691E"/>
    <w:rsid w:val="00C97232"/>
    <w:rsid w:val="00C972E5"/>
    <w:rsid w:val="00C97578"/>
    <w:rsid w:val="00CA0475"/>
    <w:rsid w:val="00CA13F6"/>
    <w:rsid w:val="00CA158C"/>
    <w:rsid w:val="00CA19CB"/>
    <w:rsid w:val="00CA2D34"/>
    <w:rsid w:val="00CA3967"/>
    <w:rsid w:val="00CA5B0E"/>
    <w:rsid w:val="00CA60EE"/>
    <w:rsid w:val="00CA62C5"/>
    <w:rsid w:val="00CA6C7F"/>
    <w:rsid w:val="00CA7357"/>
    <w:rsid w:val="00CA78AF"/>
    <w:rsid w:val="00CA7CEA"/>
    <w:rsid w:val="00CB10FD"/>
    <w:rsid w:val="00CB1224"/>
    <w:rsid w:val="00CB1434"/>
    <w:rsid w:val="00CB1DBE"/>
    <w:rsid w:val="00CB2945"/>
    <w:rsid w:val="00CB2F88"/>
    <w:rsid w:val="00CB327D"/>
    <w:rsid w:val="00CB3F30"/>
    <w:rsid w:val="00CB4048"/>
    <w:rsid w:val="00CB4390"/>
    <w:rsid w:val="00CB4654"/>
    <w:rsid w:val="00CB58F9"/>
    <w:rsid w:val="00CB6BFE"/>
    <w:rsid w:val="00CB6C91"/>
    <w:rsid w:val="00CB6CBC"/>
    <w:rsid w:val="00CB6D57"/>
    <w:rsid w:val="00CB6F8C"/>
    <w:rsid w:val="00CB7B26"/>
    <w:rsid w:val="00CB7B9C"/>
    <w:rsid w:val="00CB7E23"/>
    <w:rsid w:val="00CC0035"/>
    <w:rsid w:val="00CC0260"/>
    <w:rsid w:val="00CC0CF7"/>
    <w:rsid w:val="00CC0ED7"/>
    <w:rsid w:val="00CC10A6"/>
    <w:rsid w:val="00CC15F5"/>
    <w:rsid w:val="00CC239B"/>
    <w:rsid w:val="00CC30F4"/>
    <w:rsid w:val="00CC356A"/>
    <w:rsid w:val="00CC3782"/>
    <w:rsid w:val="00CC44D3"/>
    <w:rsid w:val="00CC6030"/>
    <w:rsid w:val="00CC616C"/>
    <w:rsid w:val="00CC7149"/>
    <w:rsid w:val="00CC7519"/>
    <w:rsid w:val="00CC7B6A"/>
    <w:rsid w:val="00CC7CFD"/>
    <w:rsid w:val="00CC7F48"/>
    <w:rsid w:val="00CD0EB7"/>
    <w:rsid w:val="00CD2634"/>
    <w:rsid w:val="00CD302D"/>
    <w:rsid w:val="00CD32C4"/>
    <w:rsid w:val="00CD34BE"/>
    <w:rsid w:val="00CD3B68"/>
    <w:rsid w:val="00CD3D64"/>
    <w:rsid w:val="00CD460D"/>
    <w:rsid w:val="00CD5306"/>
    <w:rsid w:val="00CD5EB8"/>
    <w:rsid w:val="00CD5EE2"/>
    <w:rsid w:val="00CD6600"/>
    <w:rsid w:val="00CD6AC7"/>
    <w:rsid w:val="00CD6C5E"/>
    <w:rsid w:val="00CD6D1D"/>
    <w:rsid w:val="00CD6D90"/>
    <w:rsid w:val="00CD7044"/>
    <w:rsid w:val="00CD7199"/>
    <w:rsid w:val="00CD790A"/>
    <w:rsid w:val="00CD79AF"/>
    <w:rsid w:val="00CE0166"/>
    <w:rsid w:val="00CE08B9"/>
    <w:rsid w:val="00CE09B4"/>
    <w:rsid w:val="00CE14A9"/>
    <w:rsid w:val="00CE14F5"/>
    <w:rsid w:val="00CE1B9B"/>
    <w:rsid w:val="00CE2811"/>
    <w:rsid w:val="00CE30C7"/>
    <w:rsid w:val="00CE4EBD"/>
    <w:rsid w:val="00CE524C"/>
    <w:rsid w:val="00CE537C"/>
    <w:rsid w:val="00CE6070"/>
    <w:rsid w:val="00CE6652"/>
    <w:rsid w:val="00CE68E4"/>
    <w:rsid w:val="00CE695F"/>
    <w:rsid w:val="00CE6E54"/>
    <w:rsid w:val="00CE724E"/>
    <w:rsid w:val="00CE7C1C"/>
    <w:rsid w:val="00CE7E94"/>
    <w:rsid w:val="00CF0354"/>
    <w:rsid w:val="00CF07EE"/>
    <w:rsid w:val="00CF080E"/>
    <w:rsid w:val="00CF09D7"/>
    <w:rsid w:val="00CF0E19"/>
    <w:rsid w:val="00CF141F"/>
    <w:rsid w:val="00CF18EC"/>
    <w:rsid w:val="00CF1ECF"/>
    <w:rsid w:val="00CF23E9"/>
    <w:rsid w:val="00CF3B4E"/>
    <w:rsid w:val="00CF3D7A"/>
    <w:rsid w:val="00CF40B2"/>
    <w:rsid w:val="00CF4777"/>
    <w:rsid w:val="00CF48A0"/>
    <w:rsid w:val="00CF52F5"/>
    <w:rsid w:val="00CF5AF8"/>
    <w:rsid w:val="00CF6944"/>
    <w:rsid w:val="00CF69C1"/>
    <w:rsid w:val="00CF704B"/>
    <w:rsid w:val="00CF7453"/>
    <w:rsid w:val="00CF770E"/>
    <w:rsid w:val="00CF7A11"/>
    <w:rsid w:val="00CF7A2D"/>
    <w:rsid w:val="00CF7BD8"/>
    <w:rsid w:val="00D0055C"/>
    <w:rsid w:val="00D0197B"/>
    <w:rsid w:val="00D01F20"/>
    <w:rsid w:val="00D02129"/>
    <w:rsid w:val="00D02382"/>
    <w:rsid w:val="00D026C4"/>
    <w:rsid w:val="00D030F5"/>
    <w:rsid w:val="00D03795"/>
    <w:rsid w:val="00D03DF4"/>
    <w:rsid w:val="00D049B3"/>
    <w:rsid w:val="00D04A86"/>
    <w:rsid w:val="00D05893"/>
    <w:rsid w:val="00D05CB7"/>
    <w:rsid w:val="00D0628C"/>
    <w:rsid w:val="00D067BB"/>
    <w:rsid w:val="00D06D3E"/>
    <w:rsid w:val="00D070CC"/>
    <w:rsid w:val="00D07192"/>
    <w:rsid w:val="00D07439"/>
    <w:rsid w:val="00D07485"/>
    <w:rsid w:val="00D1352A"/>
    <w:rsid w:val="00D1366C"/>
    <w:rsid w:val="00D13EDE"/>
    <w:rsid w:val="00D159E2"/>
    <w:rsid w:val="00D16407"/>
    <w:rsid w:val="00D169AF"/>
    <w:rsid w:val="00D17216"/>
    <w:rsid w:val="00D173AD"/>
    <w:rsid w:val="00D17411"/>
    <w:rsid w:val="00D17916"/>
    <w:rsid w:val="00D17AC6"/>
    <w:rsid w:val="00D201F4"/>
    <w:rsid w:val="00D22725"/>
    <w:rsid w:val="00D2323F"/>
    <w:rsid w:val="00D2350E"/>
    <w:rsid w:val="00D238AD"/>
    <w:rsid w:val="00D242B6"/>
    <w:rsid w:val="00D2501F"/>
    <w:rsid w:val="00D250F1"/>
    <w:rsid w:val="00D25249"/>
    <w:rsid w:val="00D25306"/>
    <w:rsid w:val="00D255A7"/>
    <w:rsid w:val="00D25DC5"/>
    <w:rsid w:val="00D26575"/>
    <w:rsid w:val="00D26C24"/>
    <w:rsid w:val="00D26FC1"/>
    <w:rsid w:val="00D27311"/>
    <w:rsid w:val="00D279D9"/>
    <w:rsid w:val="00D27B75"/>
    <w:rsid w:val="00D3020A"/>
    <w:rsid w:val="00D30C82"/>
    <w:rsid w:val="00D3298B"/>
    <w:rsid w:val="00D33208"/>
    <w:rsid w:val="00D34EA7"/>
    <w:rsid w:val="00D35438"/>
    <w:rsid w:val="00D361E0"/>
    <w:rsid w:val="00D36A5F"/>
    <w:rsid w:val="00D36A7E"/>
    <w:rsid w:val="00D36CCD"/>
    <w:rsid w:val="00D36E80"/>
    <w:rsid w:val="00D371C4"/>
    <w:rsid w:val="00D40008"/>
    <w:rsid w:val="00D41D27"/>
    <w:rsid w:val="00D41F4B"/>
    <w:rsid w:val="00D424B9"/>
    <w:rsid w:val="00D42A69"/>
    <w:rsid w:val="00D42B07"/>
    <w:rsid w:val="00D42CDD"/>
    <w:rsid w:val="00D42EDB"/>
    <w:rsid w:val="00D433BC"/>
    <w:rsid w:val="00D43820"/>
    <w:rsid w:val="00D44172"/>
    <w:rsid w:val="00D44931"/>
    <w:rsid w:val="00D44AE3"/>
    <w:rsid w:val="00D44B42"/>
    <w:rsid w:val="00D453B5"/>
    <w:rsid w:val="00D455AF"/>
    <w:rsid w:val="00D458E0"/>
    <w:rsid w:val="00D46384"/>
    <w:rsid w:val="00D47BB5"/>
    <w:rsid w:val="00D47BC9"/>
    <w:rsid w:val="00D47E6D"/>
    <w:rsid w:val="00D506EF"/>
    <w:rsid w:val="00D514C3"/>
    <w:rsid w:val="00D51A25"/>
    <w:rsid w:val="00D51BE8"/>
    <w:rsid w:val="00D51F9D"/>
    <w:rsid w:val="00D521D6"/>
    <w:rsid w:val="00D52389"/>
    <w:rsid w:val="00D526D8"/>
    <w:rsid w:val="00D52E28"/>
    <w:rsid w:val="00D52F72"/>
    <w:rsid w:val="00D53282"/>
    <w:rsid w:val="00D533FF"/>
    <w:rsid w:val="00D53BD6"/>
    <w:rsid w:val="00D53C40"/>
    <w:rsid w:val="00D5457C"/>
    <w:rsid w:val="00D54974"/>
    <w:rsid w:val="00D54DB3"/>
    <w:rsid w:val="00D55444"/>
    <w:rsid w:val="00D557AD"/>
    <w:rsid w:val="00D56ED4"/>
    <w:rsid w:val="00D577A9"/>
    <w:rsid w:val="00D57C24"/>
    <w:rsid w:val="00D60234"/>
    <w:rsid w:val="00D60467"/>
    <w:rsid w:val="00D62431"/>
    <w:rsid w:val="00D62B60"/>
    <w:rsid w:val="00D62DD6"/>
    <w:rsid w:val="00D62E15"/>
    <w:rsid w:val="00D633B5"/>
    <w:rsid w:val="00D63B8C"/>
    <w:rsid w:val="00D641A1"/>
    <w:rsid w:val="00D64F3C"/>
    <w:rsid w:val="00D65C25"/>
    <w:rsid w:val="00D65E36"/>
    <w:rsid w:val="00D6773D"/>
    <w:rsid w:val="00D712FD"/>
    <w:rsid w:val="00D72CB6"/>
    <w:rsid w:val="00D7305C"/>
    <w:rsid w:val="00D739CC"/>
    <w:rsid w:val="00D73A56"/>
    <w:rsid w:val="00D74C0F"/>
    <w:rsid w:val="00D74E53"/>
    <w:rsid w:val="00D7518E"/>
    <w:rsid w:val="00D75B1C"/>
    <w:rsid w:val="00D76141"/>
    <w:rsid w:val="00D76F2F"/>
    <w:rsid w:val="00D77FB3"/>
    <w:rsid w:val="00D80719"/>
    <w:rsid w:val="00D8093D"/>
    <w:rsid w:val="00D8108C"/>
    <w:rsid w:val="00D81216"/>
    <w:rsid w:val="00D81562"/>
    <w:rsid w:val="00D820C6"/>
    <w:rsid w:val="00D82FE9"/>
    <w:rsid w:val="00D83563"/>
    <w:rsid w:val="00D83D99"/>
    <w:rsid w:val="00D84257"/>
    <w:rsid w:val="00D842AE"/>
    <w:rsid w:val="00D8469A"/>
    <w:rsid w:val="00D84AC3"/>
    <w:rsid w:val="00D84F82"/>
    <w:rsid w:val="00D86365"/>
    <w:rsid w:val="00D866AF"/>
    <w:rsid w:val="00D8685A"/>
    <w:rsid w:val="00D869DD"/>
    <w:rsid w:val="00D86FA9"/>
    <w:rsid w:val="00D8709B"/>
    <w:rsid w:val="00D8760A"/>
    <w:rsid w:val="00D90467"/>
    <w:rsid w:val="00D90DCB"/>
    <w:rsid w:val="00D9211C"/>
    <w:rsid w:val="00D9238C"/>
    <w:rsid w:val="00D925A7"/>
    <w:rsid w:val="00D9267F"/>
    <w:rsid w:val="00D92A6E"/>
    <w:rsid w:val="00D92DE0"/>
    <w:rsid w:val="00D92FEF"/>
    <w:rsid w:val="00D93502"/>
    <w:rsid w:val="00D93A0F"/>
    <w:rsid w:val="00D93BB8"/>
    <w:rsid w:val="00D93CD2"/>
    <w:rsid w:val="00D9413D"/>
    <w:rsid w:val="00D94A5E"/>
    <w:rsid w:val="00D9520F"/>
    <w:rsid w:val="00D95298"/>
    <w:rsid w:val="00D9552B"/>
    <w:rsid w:val="00D958B2"/>
    <w:rsid w:val="00D959E5"/>
    <w:rsid w:val="00D96311"/>
    <w:rsid w:val="00D966BB"/>
    <w:rsid w:val="00D96AC2"/>
    <w:rsid w:val="00D96CE5"/>
    <w:rsid w:val="00D96EEA"/>
    <w:rsid w:val="00D97343"/>
    <w:rsid w:val="00D9753E"/>
    <w:rsid w:val="00D97F20"/>
    <w:rsid w:val="00DA0F04"/>
    <w:rsid w:val="00DA1453"/>
    <w:rsid w:val="00DA167B"/>
    <w:rsid w:val="00DA1BCA"/>
    <w:rsid w:val="00DA1E1D"/>
    <w:rsid w:val="00DA204D"/>
    <w:rsid w:val="00DA2935"/>
    <w:rsid w:val="00DA3A67"/>
    <w:rsid w:val="00DA3D85"/>
    <w:rsid w:val="00DA3FFA"/>
    <w:rsid w:val="00DA4B39"/>
    <w:rsid w:val="00DA4EF4"/>
    <w:rsid w:val="00DA5375"/>
    <w:rsid w:val="00DA6111"/>
    <w:rsid w:val="00DA621B"/>
    <w:rsid w:val="00DA6538"/>
    <w:rsid w:val="00DA6BC6"/>
    <w:rsid w:val="00DA7299"/>
    <w:rsid w:val="00DA73FB"/>
    <w:rsid w:val="00DB075A"/>
    <w:rsid w:val="00DB1984"/>
    <w:rsid w:val="00DB33CC"/>
    <w:rsid w:val="00DB3660"/>
    <w:rsid w:val="00DB36B7"/>
    <w:rsid w:val="00DB3E23"/>
    <w:rsid w:val="00DB525E"/>
    <w:rsid w:val="00DB52D1"/>
    <w:rsid w:val="00DB6240"/>
    <w:rsid w:val="00DB72DB"/>
    <w:rsid w:val="00DB72F8"/>
    <w:rsid w:val="00DB731E"/>
    <w:rsid w:val="00DB76FA"/>
    <w:rsid w:val="00DB7AF3"/>
    <w:rsid w:val="00DC008C"/>
    <w:rsid w:val="00DC0BC1"/>
    <w:rsid w:val="00DC0DEF"/>
    <w:rsid w:val="00DC29CB"/>
    <w:rsid w:val="00DC2CA8"/>
    <w:rsid w:val="00DC3169"/>
    <w:rsid w:val="00DC324B"/>
    <w:rsid w:val="00DC34C2"/>
    <w:rsid w:val="00DC34DF"/>
    <w:rsid w:val="00DC3648"/>
    <w:rsid w:val="00DC3803"/>
    <w:rsid w:val="00DC3D0E"/>
    <w:rsid w:val="00DC422F"/>
    <w:rsid w:val="00DC42FF"/>
    <w:rsid w:val="00DC4518"/>
    <w:rsid w:val="00DC46FF"/>
    <w:rsid w:val="00DC5254"/>
    <w:rsid w:val="00DC54E4"/>
    <w:rsid w:val="00DC5E2D"/>
    <w:rsid w:val="00DC66FD"/>
    <w:rsid w:val="00DC7737"/>
    <w:rsid w:val="00DC7E23"/>
    <w:rsid w:val="00DC7F23"/>
    <w:rsid w:val="00DD09D3"/>
    <w:rsid w:val="00DD0E43"/>
    <w:rsid w:val="00DD0F7B"/>
    <w:rsid w:val="00DD10FD"/>
    <w:rsid w:val="00DD1A4F"/>
    <w:rsid w:val="00DD2358"/>
    <w:rsid w:val="00DD2382"/>
    <w:rsid w:val="00DD28F4"/>
    <w:rsid w:val="00DD2D3D"/>
    <w:rsid w:val="00DD3107"/>
    <w:rsid w:val="00DD3617"/>
    <w:rsid w:val="00DD3A37"/>
    <w:rsid w:val="00DD3F88"/>
    <w:rsid w:val="00DD4F17"/>
    <w:rsid w:val="00DD4FCD"/>
    <w:rsid w:val="00DD5E92"/>
    <w:rsid w:val="00DD5EFF"/>
    <w:rsid w:val="00DD6572"/>
    <w:rsid w:val="00DD6AD0"/>
    <w:rsid w:val="00DD7124"/>
    <w:rsid w:val="00DD7C2C"/>
    <w:rsid w:val="00DE0A7F"/>
    <w:rsid w:val="00DE0D12"/>
    <w:rsid w:val="00DE14F5"/>
    <w:rsid w:val="00DE2413"/>
    <w:rsid w:val="00DE2900"/>
    <w:rsid w:val="00DE2D87"/>
    <w:rsid w:val="00DE38CC"/>
    <w:rsid w:val="00DE396D"/>
    <w:rsid w:val="00DE3BD4"/>
    <w:rsid w:val="00DE4C33"/>
    <w:rsid w:val="00DE50A0"/>
    <w:rsid w:val="00DE537C"/>
    <w:rsid w:val="00DE54DA"/>
    <w:rsid w:val="00DE62F2"/>
    <w:rsid w:val="00DE6E55"/>
    <w:rsid w:val="00DE7440"/>
    <w:rsid w:val="00DE78DE"/>
    <w:rsid w:val="00DE7F5B"/>
    <w:rsid w:val="00DF019E"/>
    <w:rsid w:val="00DF076F"/>
    <w:rsid w:val="00DF087F"/>
    <w:rsid w:val="00DF15F7"/>
    <w:rsid w:val="00DF251F"/>
    <w:rsid w:val="00DF2AFD"/>
    <w:rsid w:val="00DF329B"/>
    <w:rsid w:val="00DF346B"/>
    <w:rsid w:val="00DF4CF9"/>
    <w:rsid w:val="00DF55D0"/>
    <w:rsid w:val="00DF5660"/>
    <w:rsid w:val="00DF5697"/>
    <w:rsid w:val="00DF61C7"/>
    <w:rsid w:val="00DF718D"/>
    <w:rsid w:val="00DF7848"/>
    <w:rsid w:val="00DF79E9"/>
    <w:rsid w:val="00E00CE5"/>
    <w:rsid w:val="00E02075"/>
    <w:rsid w:val="00E020F6"/>
    <w:rsid w:val="00E026C6"/>
    <w:rsid w:val="00E02CFB"/>
    <w:rsid w:val="00E03210"/>
    <w:rsid w:val="00E0339A"/>
    <w:rsid w:val="00E038CD"/>
    <w:rsid w:val="00E03980"/>
    <w:rsid w:val="00E03C85"/>
    <w:rsid w:val="00E03E1C"/>
    <w:rsid w:val="00E05150"/>
    <w:rsid w:val="00E0574F"/>
    <w:rsid w:val="00E0605F"/>
    <w:rsid w:val="00E06102"/>
    <w:rsid w:val="00E0610B"/>
    <w:rsid w:val="00E062A3"/>
    <w:rsid w:val="00E063DB"/>
    <w:rsid w:val="00E0665B"/>
    <w:rsid w:val="00E06797"/>
    <w:rsid w:val="00E07334"/>
    <w:rsid w:val="00E075FF"/>
    <w:rsid w:val="00E105DF"/>
    <w:rsid w:val="00E10938"/>
    <w:rsid w:val="00E10A23"/>
    <w:rsid w:val="00E10B8E"/>
    <w:rsid w:val="00E11634"/>
    <w:rsid w:val="00E11680"/>
    <w:rsid w:val="00E116BF"/>
    <w:rsid w:val="00E122BC"/>
    <w:rsid w:val="00E1265B"/>
    <w:rsid w:val="00E12E6B"/>
    <w:rsid w:val="00E13ACD"/>
    <w:rsid w:val="00E13B48"/>
    <w:rsid w:val="00E1404F"/>
    <w:rsid w:val="00E1456B"/>
    <w:rsid w:val="00E149F4"/>
    <w:rsid w:val="00E14FF5"/>
    <w:rsid w:val="00E15056"/>
    <w:rsid w:val="00E1506F"/>
    <w:rsid w:val="00E15BC4"/>
    <w:rsid w:val="00E16C15"/>
    <w:rsid w:val="00E17116"/>
    <w:rsid w:val="00E17196"/>
    <w:rsid w:val="00E17385"/>
    <w:rsid w:val="00E2075D"/>
    <w:rsid w:val="00E20BD6"/>
    <w:rsid w:val="00E212EF"/>
    <w:rsid w:val="00E213DA"/>
    <w:rsid w:val="00E21C83"/>
    <w:rsid w:val="00E2266F"/>
    <w:rsid w:val="00E23034"/>
    <w:rsid w:val="00E2402D"/>
    <w:rsid w:val="00E245A0"/>
    <w:rsid w:val="00E24ADA"/>
    <w:rsid w:val="00E24CA4"/>
    <w:rsid w:val="00E256F6"/>
    <w:rsid w:val="00E25A28"/>
    <w:rsid w:val="00E260E1"/>
    <w:rsid w:val="00E26EF4"/>
    <w:rsid w:val="00E26FF7"/>
    <w:rsid w:val="00E27C38"/>
    <w:rsid w:val="00E27DC0"/>
    <w:rsid w:val="00E30948"/>
    <w:rsid w:val="00E30CE3"/>
    <w:rsid w:val="00E30D39"/>
    <w:rsid w:val="00E31C9C"/>
    <w:rsid w:val="00E31DD0"/>
    <w:rsid w:val="00E32AE2"/>
    <w:rsid w:val="00E32B49"/>
    <w:rsid w:val="00E32E57"/>
    <w:rsid w:val="00E32F59"/>
    <w:rsid w:val="00E33D80"/>
    <w:rsid w:val="00E34529"/>
    <w:rsid w:val="00E34BD0"/>
    <w:rsid w:val="00E3527D"/>
    <w:rsid w:val="00E352B6"/>
    <w:rsid w:val="00E36451"/>
    <w:rsid w:val="00E36487"/>
    <w:rsid w:val="00E370E1"/>
    <w:rsid w:val="00E37F15"/>
    <w:rsid w:val="00E40A3D"/>
    <w:rsid w:val="00E4259F"/>
    <w:rsid w:val="00E4263A"/>
    <w:rsid w:val="00E42B9B"/>
    <w:rsid w:val="00E440CD"/>
    <w:rsid w:val="00E4553A"/>
    <w:rsid w:val="00E45A96"/>
    <w:rsid w:val="00E462ED"/>
    <w:rsid w:val="00E46D9A"/>
    <w:rsid w:val="00E47A86"/>
    <w:rsid w:val="00E47CB5"/>
    <w:rsid w:val="00E47CDF"/>
    <w:rsid w:val="00E5035C"/>
    <w:rsid w:val="00E509D1"/>
    <w:rsid w:val="00E50CF6"/>
    <w:rsid w:val="00E50FB1"/>
    <w:rsid w:val="00E52D2E"/>
    <w:rsid w:val="00E52E7C"/>
    <w:rsid w:val="00E53136"/>
    <w:rsid w:val="00E53565"/>
    <w:rsid w:val="00E537F0"/>
    <w:rsid w:val="00E545F6"/>
    <w:rsid w:val="00E54D49"/>
    <w:rsid w:val="00E54D8D"/>
    <w:rsid w:val="00E555CC"/>
    <w:rsid w:val="00E5581B"/>
    <w:rsid w:val="00E558EA"/>
    <w:rsid w:val="00E55BCF"/>
    <w:rsid w:val="00E565FF"/>
    <w:rsid w:val="00E5675F"/>
    <w:rsid w:val="00E572AC"/>
    <w:rsid w:val="00E57785"/>
    <w:rsid w:val="00E57F3F"/>
    <w:rsid w:val="00E600D6"/>
    <w:rsid w:val="00E60411"/>
    <w:rsid w:val="00E604D3"/>
    <w:rsid w:val="00E60900"/>
    <w:rsid w:val="00E61863"/>
    <w:rsid w:val="00E63783"/>
    <w:rsid w:val="00E63C75"/>
    <w:rsid w:val="00E64B0E"/>
    <w:rsid w:val="00E651C2"/>
    <w:rsid w:val="00E6525F"/>
    <w:rsid w:val="00E65388"/>
    <w:rsid w:val="00E65E79"/>
    <w:rsid w:val="00E668A3"/>
    <w:rsid w:val="00E67210"/>
    <w:rsid w:val="00E67833"/>
    <w:rsid w:val="00E70025"/>
    <w:rsid w:val="00E70F06"/>
    <w:rsid w:val="00E713DB"/>
    <w:rsid w:val="00E714DD"/>
    <w:rsid w:val="00E716CF"/>
    <w:rsid w:val="00E721A7"/>
    <w:rsid w:val="00E72547"/>
    <w:rsid w:val="00E72549"/>
    <w:rsid w:val="00E72924"/>
    <w:rsid w:val="00E7463C"/>
    <w:rsid w:val="00E74ACB"/>
    <w:rsid w:val="00E75019"/>
    <w:rsid w:val="00E75476"/>
    <w:rsid w:val="00E75E85"/>
    <w:rsid w:val="00E75FDB"/>
    <w:rsid w:val="00E771A7"/>
    <w:rsid w:val="00E80AE0"/>
    <w:rsid w:val="00E81838"/>
    <w:rsid w:val="00E8184D"/>
    <w:rsid w:val="00E81859"/>
    <w:rsid w:val="00E81EF2"/>
    <w:rsid w:val="00E8217C"/>
    <w:rsid w:val="00E822C7"/>
    <w:rsid w:val="00E82D06"/>
    <w:rsid w:val="00E82E0D"/>
    <w:rsid w:val="00E843BB"/>
    <w:rsid w:val="00E8494F"/>
    <w:rsid w:val="00E84D32"/>
    <w:rsid w:val="00E84E34"/>
    <w:rsid w:val="00E852AF"/>
    <w:rsid w:val="00E85B7D"/>
    <w:rsid w:val="00E862A3"/>
    <w:rsid w:val="00E877E2"/>
    <w:rsid w:val="00E87D90"/>
    <w:rsid w:val="00E90B39"/>
    <w:rsid w:val="00E90C16"/>
    <w:rsid w:val="00E90CD6"/>
    <w:rsid w:val="00E9121B"/>
    <w:rsid w:val="00E91665"/>
    <w:rsid w:val="00E91B45"/>
    <w:rsid w:val="00E91EBC"/>
    <w:rsid w:val="00E92384"/>
    <w:rsid w:val="00E92882"/>
    <w:rsid w:val="00E92DCC"/>
    <w:rsid w:val="00E93A4C"/>
    <w:rsid w:val="00E94B48"/>
    <w:rsid w:val="00E94D8D"/>
    <w:rsid w:val="00E95842"/>
    <w:rsid w:val="00E96580"/>
    <w:rsid w:val="00E96614"/>
    <w:rsid w:val="00E97086"/>
    <w:rsid w:val="00EA0AE2"/>
    <w:rsid w:val="00EA0CF3"/>
    <w:rsid w:val="00EA0EF8"/>
    <w:rsid w:val="00EA1B3A"/>
    <w:rsid w:val="00EA234C"/>
    <w:rsid w:val="00EA28B4"/>
    <w:rsid w:val="00EA292F"/>
    <w:rsid w:val="00EA37AB"/>
    <w:rsid w:val="00EA39E5"/>
    <w:rsid w:val="00EA40D7"/>
    <w:rsid w:val="00EA4D38"/>
    <w:rsid w:val="00EA543E"/>
    <w:rsid w:val="00EA60F3"/>
    <w:rsid w:val="00EA7279"/>
    <w:rsid w:val="00EA7A8D"/>
    <w:rsid w:val="00EA7D3B"/>
    <w:rsid w:val="00EB09BF"/>
    <w:rsid w:val="00EB0B15"/>
    <w:rsid w:val="00EB1DBF"/>
    <w:rsid w:val="00EB28E0"/>
    <w:rsid w:val="00EB28FB"/>
    <w:rsid w:val="00EB2918"/>
    <w:rsid w:val="00EB3106"/>
    <w:rsid w:val="00EB3281"/>
    <w:rsid w:val="00EB3301"/>
    <w:rsid w:val="00EB345C"/>
    <w:rsid w:val="00EB3AF9"/>
    <w:rsid w:val="00EB48C3"/>
    <w:rsid w:val="00EB4A26"/>
    <w:rsid w:val="00EB58AB"/>
    <w:rsid w:val="00EB693C"/>
    <w:rsid w:val="00EB71AE"/>
    <w:rsid w:val="00EB7D85"/>
    <w:rsid w:val="00EC06DE"/>
    <w:rsid w:val="00EC1074"/>
    <w:rsid w:val="00EC14E4"/>
    <w:rsid w:val="00EC2651"/>
    <w:rsid w:val="00EC2984"/>
    <w:rsid w:val="00EC301B"/>
    <w:rsid w:val="00EC335E"/>
    <w:rsid w:val="00EC3745"/>
    <w:rsid w:val="00EC3B5A"/>
    <w:rsid w:val="00EC4755"/>
    <w:rsid w:val="00EC4811"/>
    <w:rsid w:val="00EC5445"/>
    <w:rsid w:val="00EC5749"/>
    <w:rsid w:val="00EC577E"/>
    <w:rsid w:val="00EC5A46"/>
    <w:rsid w:val="00EC5B98"/>
    <w:rsid w:val="00EC63E2"/>
    <w:rsid w:val="00ED0083"/>
    <w:rsid w:val="00ED0087"/>
    <w:rsid w:val="00ED0623"/>
    <w:rsid w:val="00ED0ABB"/>
    <w:rsid w:val="00ED0D01"/>
    <w:rsid w:val="00ED10E2"/>
    <w:rsid w:val="00ED13E1"/>
    <w:rsid w:val="00ED1D4F"/>
    <w:rsid w:val="00ED1EAF"/>
    <w:rsid w:val="00ED1F3E"/>
    <w:rsid w:val="00ED29BC"/>
    <w:rsid w:val="00ED2B68"/>
    <w:rsid w:val="00ED2D59"/>
    <w:rsid w:val="00ED2FFD"/>
    <w:rsid w:val="00ED3183"/>
    <w:rsid w:val="00ED35D7"/>
    <w:rsid w:val="00ED3E18"/>
    <w:rsid w:val="00ED41CB"/>
    <w:rsid w:val="00ED49BE"/>
    <w:rsid w:val="00ED59C7"/>
    <w:rsid w:val="00ED651C"/>
    <w:rsid w:val="00ED6C36"/>
    <w:rsid w:val="00ED753E"/>
    <w:rsid w:val="00EE11D9"/>
    <w:rsid w:val="00EE164E"/>
    <w:rsid w:val="00EE192D"/>
    <w:rsid w:val="00EE1BA8"/>
    <w:rsid w:val="00EE1E98"/>
    <w:rsid w:val="00EE254A"/>
    <w:rsid w:val="00EE2E16"/>
    <w:rsid w:val="00EE2FC2"/>
    <w:rsid w:val="00EE3051"/>
    <w:rsid w:val="00EE361C"/>
    <w:rsid w:val="00EE397B"/>
    <w:rsid w:val="00EE39AF"/>
    <w:rsid w:val="00EE4044"/>
    <w:rsid w:val="00EE4483"/>
    <w:rsid w:val="00EE4677"/>
    <w:rsid w:val="00EE4C7E"/>
    <w:rsid w:val="00EE5261"/>
    <w:rsid w:val="00EE5383"/>
    <w:rsid w:val="00EE576D"/>
    <w:rsid w:val="00EE66D7"/>
    <w:rsid w:val="00EE6970"/>
    <w:rsid w:val="00EE6E6E"/>
    <w:rsid w:val="00EE7754"/>
    <w:rsid w:val="00EF0067"/>
    <w:rsid w:val="00EF10B3"/>
    <w:rsid w:val="00EF22B3"/>
    <w:rsid w:val="00EF2684"/>
    <w:rsid w:val="00EF2A4E"/>
    <w:rsid w:val="00EF36D2"/>
    <w:rsid w:val="00EF3991"/>
    <w:rsid w:val="00EF469A"/>
    <w:rsid w:val="00EF4739"/>
    <w:rsid w:val="00EF563B"/>
    <w:rsid w:val="00EF5846"/>
    <w:rsid w:val="00EF5A8E"/>
    <w:rsid w:val="00EF5F8F"/>
    <w:rsid w:val="00EF6052"/>
    <w:rsid w:val="00EF70AD"/>
    <w:rsid w:val="00EF7776"/>
    <w:rsid w:val="00EF79E9"/>
    <w:rsid w:val="00EF7EBA"/>
    <w:rsid w:val="00F0137F"/>
    <w:rsid w:val="00F015A5"/>
    <w:rsid w:val="00F01780"/>
    <w:rsid w:val="00F0199B"/>
    <w:rsid w:val="00F03B69"/>
    <w:rsid w:val="00F04333"/>
    <w:rsid w:val="00F04497"/>
    <w:rsid w:val="00F044E4"/>
    <w:rsid w:val="00F04B02"/>
    <w:rsid w:val="00F058FB"/>
    <w:rsid w:val="00F067B3"/>
    <w:rsid w:val="00F06E43"/>
    <w:rsid w:val="00F07094"/>
    <w:rsid w:val="00F07448"/>
    <w:rsid w:val="00F0799E"/>
    <w:rsid w:val="00F07A50"/>
    <w:rsid w:val="00F07DDE"/>
    <w:rsid w:val="00F113DA"/>
    <w:rsid w:val="00F11491"/>
    <w:rsid w:val="00F11C07"/>
    <w:rsid w:val="00F12003"/>
    <w:rsid w:val="00F12141"/>
    <w:rsid w:val="00F13099"/>
    <w:rsid w:val="00F1329D"/>
    <w:rsid w:val="00F13526"/>
    <w:rsid w:val="00F142ED"/>
    <w:rsid w:val="00F1456D"/>
    <w:rsid w:val="00F14B85"/>
    <w:rsid w:val="00F15274"/>
    <w:rsid w:val="00F16A5E"/>
    <w:rsid w:val="00F1727F"/>
    <w:rsid w:val="00F17953"/>
    <w:rsid w:val="00F17B24"/>
    <w:rsid w:val="00F20245"/>
    <w:rsid w:val="00F2093E"/>
    <w:rsid w:val="00F20C6E"/>
    <w:rsid w:val="00F21B22"/>
    <w:rsid w:val="00F21CDB"/>
    <w:rsid w:val="00F21E69"/>
    <w:rsid w:val="00F22FB5"/>
    <w:rsid w:val="00F23184"/>
    <w:rsid w:val="00F248B1"/>
    <w:rsid w:val="00F24970"/>
    <w:rsid w:val="00F24D25"/>
    <w:rsid w:val="00F25F15"/>
    <w:rsid w:val="00F25FBD"/>
    <w:rsid w:val="00F269A1"/>
    <w:rsid w:val="00F26A1A"/>
    <w:rsid w:val="00F272D9"/>
    <w:rsid w:val="00F27E08"/>
    <w:rsid w:val="00F313C4"/>
    <w:rsid w:val="00F319FC"/>
    <w:rsid w:val="00F31CE3"/>
    <w:rsid w:val="00F3258B"/>
    <w:rsid w:val="00F32777"/>
    <w:rsid w:val="00F32DCD"/>
    <w:rsid w:val="00F33E46"/>
    <w:rsid w:val="00F34591"/>
    <w:rsid w:val="00F35F27"/>
    <w:rsid w:val="00F36123"/>
    <w:rsid w:val="00F36636"/>
    <w:rsid w:val="00F37AC0"/>
    <w:rsid w:val="00F37DC8"/>
    <w:rsid w:val="00F40B61"/>
    <w:rsid w:val="00F41A17"/>
    <w:rsid w:val="00F42CCB"/>
    <w:rsid w:val="00F432B3"/>
    <w:rsid w:val="00F439B3"/>
    <w:rsid w:val="00F43D3A"/>
    <w:rsid w:val="00F444DE"/>
    <w:rsid w:val="00F444EF"/>
    <w:rsid w:val="00F45040"/>
    <w:rsid w:val="00F454F1"/>
    <w:rsid w:val="00F45AA8"/>
    <w:rsid w:val="00F45BFF"/>
    <w:rsid w:val="00F45FB6"/>
    <w:rsid w:val="00F4658C"/>
    <w:rsid w:val="00F466F2"/>
    <w:rsid w:val="00F4676A"/>
    <w:rsid w:val="00F46829"/>
    <w:rsid w:val="00F46F7C"/>
    <w:rsid w:val="00F4709D"/>
    <w:rsid w:val="00F47C2B"/>
    <w:rsid w:val="00F500D0"/>
    <w:rsid w:val="00F50245"/>
    <w:rsid w:val="00F502DD"/>
    <w:rsid w:val="00F511D5"/>
    <w:rsid w:val="00F529BA"/>
    <w:rsid w:val="00F52A1B"/>
    <w:rsid w:val="00F52D9A"/>
    <w:rsid w:val="00F52E5C"/>
    <w:rsid w:val="00F5361B"/>
    <w:rsid w:val="00F54CFF"/>
    <w:rsid w:val="00F565AB"/>
    <w:rsid w:val="00F56F83"/>
    <w:rsid w:val="00F57C85"/>
    <w:rsid w:val="00F602C2"/>
    <w:rsid w:val="00F6109E"/>
    <w:rsid w:val="00F61331"/>
    <w:rsid w:val="00F62D24"/>
    <w:rsid w:val="00F62EC4"/>
    <w:rsid w:val="00F6327A"/>
    <w:rsid w:val="00F634CB"/>
    <w:rsid w:val="00F6382E"/>
    <w:rsid w:val="00F638FC"/>
    <w:rsid w:val="00F64A36"/>
    <w:rsid w:val="00F64B40"/>
    <w:rsid w:val="00F64C7A"/>
    <w:rsid w:val="00F650C3"/>
    <w:rsid w:val="00F65524"/>
    <w:rsid w:val="00F65D85"/>
    <w:rsid w:val="00F65F7D"/>
    <w:rsid w:val="00F664C5"/>
    <w:rsid w:val="00F66EF5"/>
    <w:rsid w:val="00F67BD7"/>
    <w:rsid w:val="00F70469"/>
    <w:rsid w:val="00F70C5A"/>
    <w:rsid w:val="00F70E90"/>
    <w:rsid w:val="00F710C9"/>
    <w:rsid w:val="00F710FE"/>
    <w:rsid w:val="00F71498"/>
    <w:rsid w:val="00F71F4C"/>
    <w:rsid w:val="00F7203C"/>
    <w:rsid w:val="00F730EF"/>
    <w:rsid w:val="00F7399B"/>
    <w:rsid w:val="00F73ED8"/>
    <w:rsid w:val="00F748CF"/>
    <w:rsid w:val="00F75453"/>
    <w:rsid w:val="00F773C6"/>
    <w:rsid w:val="00F77A2C"/>
    <w:rsid w:val="00F77B5C"/>
    <w:rsid w:val="00F80388"/>
    <w:rsid w:val="00F8091E"/>
    <w:rsid w:val="00F821C1"/>
    <w:rsid w:val="00F83120"/>
    <w:rsid w:val="00F834FB"/>
    <w:rsid w:val="00F83579"/>
    <w:rsid w:val="00F83F3A"/>
    <w:rsid w:val="00F83F43"/>
    <w:rsid w:val="00F8615C"/>
    <w:rsid w:val="00F86E9B"/>
    <w:rsid w:val="00F87A3B"/>
    <w:rsid w:val="00F87C9D"/>
    <w:rsid w:val="00F90C89"/>
    <w:rsid w:val="00F928C5"/>
    <w:rsid w:val="00F929FB"/>
    <w:rsid w:val="00F931F2"/>
    <w:rsid w:val="00F9368E"/>
    <w:rsid w:val="00F93D7C"/>
    <w:rsid w:val="00F945C8"/>
    <w:rsid w:val="00F94B2D"/>
    <w:rsid w:val="00F95167"/>
    <w:rsid w:val="00F96938"/>
    <w:rsid w:val="00F969C3"/>
    <w:rsid w:val="00F969E5"/>
    <w:rsid w:val="00F97217"/>
    <w:rsid w:val="00F97AEE"/>
    <w:rsid w:val="00F97B4C"/>
    <w:rsid w:val="00F97E54"/>
    <w:rsid w:val="00FA075E"/>
    <w:rsid w:val="00FA0D87"/>
    <w:rsid w:val="00FA1C95"/>
    <w:rsid w:val="00FA342D"/>
    <w:rsid w:val="00FA4010"/>
    <w:rsid w:val="00FA416A"/>
    <w:rsid w:val="00FA43C7"/>
    <w:rsid w:val="00FA4A8B"/>
    <w:rsid w:val="00FA5AC3"/>
    <w:rsid w:val="00FA687B"/>
    <w:rsid w:val="00FA69ED"/>
    <w:rsid w:val="00FA6BB0"/>
    <w:rsid w:val="00FA7C08"/>
    <w:rsid w:val="00FB1DFB"/>
    <w:rsid w:val="00FB2331"/>
    <w:rsid w:val="00FB30C3"/>
    <w:rsid w:val="00FB3988"/>
    <w:rsid w:val="00FB3D15"/>
    <w:rsid w:val="00FB41DA"/>
    <w:rsid w:val="00FB4CE6"/>
    <w:rsid w:val="00FB582D"/>
    <w:rsid w:val="00FB7843"/>
    <w:rsid w:val="00FB7E03"/>
    <w:rsid w:val="00FC085B"/>
    <w:rsid w:val="00FC1A2E"/>
    <w:rsid w:val="00FC26DB"/>
    <w:rsid w:val="00FC2AF8"/>
    <w:rsid w:val="00FC2C8F"/>
    <w:rsid w:val="00FC2D55"/>
    <w:rsid w:val="00FC2FD9"/>
    <w:rsid w:val="00FC3F6E"/>
    <w:rsid w:val="00FC4602"/>
    <w:rsid w:val="00FC5C77"/>
    <w:rsid w:val="00FC6301"/>
    <w:rsid w:val="00FC7600"/>
    <w:rsid w:val="00FC7653"/>
    <w:rsid w:val="00FD0453"/>
    <w:rsid w:val="00FD0831"/>
    <w:rsid w:val="00FD0850"/>
    <w:rsid w:val="00FD130D"/>
    <w:rsid w:val="00FD1A42"/>
    <w:rsid w:val="00FD26CC"/>
    <w:rsid w:val="00FD27AA"/>
    <w:rsid w:val="00FD2D77"/>
    <w:rsid w:val="00FD3955"/>
    <w:rsid w:val="00FD4336"/>
    <w:rsid w:val="00FD4B15"/>
    <w:rsid w:val="00FD4C14"/>
    <w:rsid w:val="00FD584D"/>
    <w:rsid w:val="00FD5860"/>
    <w:rsid w:val="00FD5943"/>
    <w:rsid w:val="00FD5A4E"/>
    <w:rsid w:val="00FD5B1C"/>
    <w:rsid w:val="00FD666E"/>
    <w:rsid w:val="00FD7219"/>
    <w:rsid w:val="00FD7494"/>
    <w:rsid w:val="00FD75D1"/>
    <w:rsid w:val="00FD7648"/>
    <w:rsid w:val="00FD7BCC"/>
    <w:rsid w:val="00FE0240"/>
    <w:rsid w:val="00FE0D2F"/>
    <w:rsid w:val="00FE16DD"/>
    <w:rsid w:val="00FE1A06"/>
    <w:rsid w:val="00FE1AE1"/>
    <w:rsid w:val="00FE1C44"/>
    <w:rsid w:val="00FE1DDC"/>
    <w:rsid w:val="00FE2569"/>
    <w:rsid w:val="00FE29B9"/>
    <w:rsid w:val="00FE2EB0"/>
    <w:rsid w:val="00FE2EED"/>
    <w:rsid w:val="00FE352D"/>
    <w:rsid w:val="00FE40EB"/>
    <w:rsid w:val="00FE413F"/>
    <w:rsid w:val="00FE470F"/>
    <w:rsid w:val="00FE4D02"/>
    <w:rsid w:val="00FE51C9"/>
    <w:rsid w:val="00FE6310"/>
    <w:rsid w:val="00FE6773"/>
    <w:rsid w:val="00FE679A"/>
    <w:rsid w:val="00FE7B2F"/>
    <w:rsid w:val="00FE7D62"/>
    <w:rsid w:val="00FF0107"/>
    <w:rsid w:val="00FF0190"/>
    <w:rsid w:val="00FF08BA"/>
    <w:rsid w:val="00FF1021"/>
    <w:rsid w:val="00FF1BA8"/>
    <w:rsid w:val="00FF20D8"/>
    <w:rsid w:val="00FF265B"/>
    <w:rsid w:val="00FF2B0B"/>
    <w:rsid w:val="00FF3302"/>
    <w:rsid w:val="00FF3819"/>
    <w:rsid w:val="00FF3AC1"/>
    <w:rsid w:val="00FF3B97"/>
    <w:rsid w:val="00FF41E3"/>
    <w:rsid w:val="00FF4EA0"/>
    <w:rsid w:val="00FF524E"/>
    <w:rsid w:val="00FF5360"/>
    <w:rsid w:val="00FF5942"/>
    <w:rsid w:val="00FF62F0"/>
    <w:rsid w:val="00FF665E"/>
    <w:rsid w:val="00FF6E11"/>
    <w:rsid w:val="00FF76B3"/>
    <w:rsid w:val="00FF7B22"/>
    <w:rsid w:val="03F762AC"/>
    <w:rsid w:val="101BF5FB"/>
    <w:rsid w:val="11DABF48"/>
    <w:rsid w:val="1365AEFD"/>
    <w:rsid w:val="14F67F9E"/>
    <w:rsid w:val="16ABB3B8"/>
    <w:rsid w:val="1D774F3F"/>
    <w:rsid w:val="2222D371"/>
    <w:rsid w:val="244E8A63"/>
    <w:rsid w:val="26F6EE4D"/>
    <w:rsid w:val="279F2BB1"/>
    <w:rsid w:val="2B362547"/>
    <w:rsid w:val="2C0BDA6F"/>
    <w:rsid w:val="2DAE31EE"/>
    <w:rsid w:val="2E7A5EDF"/>
    <w:rsid w:val="2EF79834"/>
    <w:rsid w:val="388B9C6F"/>
    <w:rsid w:val="3EAA445F"/>
    <w:rsid w:val="3FBFDDF3"/>
    <w:rsid w:val="44B494E8"/>
    <w:rsid w:val="455F91F8"/>
    <w:rsid w:val="46060554"/>
    <w:rsid w:val="460657B8"/>
    <w:rsid w:val="461E863D"/>
    <w:rsid w:val="469FB64F"/>
    <w:rsid w:val="4B8427E5"/>
    <w:rsid w:val="5314F906"/>
    <w:rsid w:val="558024FC"/>
    <w:rsid w:val="57C71A1F"/>
    <w:rsid w:val="5CE13424"/>
    <w:rsid w:val="6A3B2BD5"/>
    <w:rsid w:val="6F67098F"/>
    <w:rsid w:val="7018FD92"/>
    <w:rsid w:val="7304FB97"/>
    <w:rsid w:val="75106008"/>
    <w:rsid w:val="77FEFD35"/>
    <w:rsid w:val="78C5E65B"/>
    <w:rsid w:val="7C8E88CC"/>
    <w:rsid w:val="7DD4A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5BC25"/>
  <w15:chartTrackingRefBased/>
  <w15:docId w15:val="{3A177EBD-2924-41E0-A7E1-112E3EC6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DD0E43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qFormat/>
    <w:rsid w:val="0007718F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qFormat/>
    <w:rsid w:val="0007718F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qFormat/>
    <w:rsid w:val="0007718F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qFormat/>
    <w:rsid w:val="0007718F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qFormat/>
    <w:rsid w:val="0007718F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qFormat/>
    <w:rsid w:val="0007718F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qFormat/>
    <w:rsid w:val="0007718F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qFormat/>
    <w:rsid w:val="0007718F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qFormat/>
    <w:rsid w:val="0007718F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semiHidden/>
    <w:rsid w:val="0007718F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07718F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07718F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7718F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7718F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7718F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07718F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07718F"/>
    <w:pPr>
      <w:ind w:left="1814" w:hanging="567"/>
    </w:pPr>
  </w:style>
  <w:style w:type="paragraph" w:customStyle="1" w:styleId="CH1">
    <w:name w:val="CH1"/>
    <w:basedOn w:val="Normal-pool"/>
    <w:next w:val="CH2"/>
    <w:link w:val="CH1Char"/>
    <w:qFormat/>
    <w:rsid w:val="0007718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07718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07718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07718F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07718F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07718F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07718F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07718F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aliases w:val="16 Point,Superscript 6 Point,Footnote text,Footnote Text1,Footnote Text2,number,Footnote reference number,Footnote symbol,note TESI,-E Fußnotenzeichen,SUPERS,stylish,ftref,Footnote Reference Superscript,-E Fuﬂnotenzeichen,Ref,註腳內容,fr"/>
    <w:link w:val="CharCharCharCharCarChar"/>
    <w:uiPriority w:val="99"/>
    <w:unhideWhenUsed/>
    <w:qFormat/>
    <w:rsid w:val="0007718F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07718F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07718F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07718F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07718F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07718F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uiPriority w:val="99"/>
    <w:rsid w:val="0007718F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07718F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07718F"/>
    <w:pPr>
      <w:numPr>
        <w:numId w:val="1"/>
      </w:numPr>
    </w:pPr>
  </w:style>
  <w:style w:type="paragraph" w:customStyle="1" w:styleId="NormalNonumber">
    <w:name w:val="Normal_No_number"/>
    <w:basedOn w:val="Normal-pool"/>
    <w:link w:val="NormalNonumberChar"/>
    <w:qFormat/>
    <w:rsid w:val="0007718F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07718F"/>
    <w:pPr>
      <w:numPr>
        <w:numId w:val="1"/>
      </w:numPr>
      <w:spacing w:after="120"/>
    </w:pPr>
  </w:style>
  <w:style w:type="paragraph" w:customStyle="1" w:styleId="Titletable">
    <w:name w:val="Title_table"/>
    <w:basedOn w:val="Normal-pool"/>
    <w:next w:val="NormalNonumber"/>
    <w:rsid w:val="0007718F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07718F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07718F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07718F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07718F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07718F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07718F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07718F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unhideWhenUsed/>
    <w:rsid w:val="0007718F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07718F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07718F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07718F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07718F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07718F"/>
    <w:pPr>
      <w:spacing w:before="120"/>
    </w:pPr>
  </w:style>
  <w:style w:type="paragraph" w:customStyle="1" w:styleId="ATwoLetters">
    <w:name w:val="A_TwoLetters"/>
    <w:basedOn w:val="Normal-pool"/>
    <w:next w:val="Normal-pool"/>
    <w:rsid w:val="0007718F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07718F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iPriority w:val="99"/>
    <w:unhideWhenUsed/>
    <w:rsid w:val="000771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718F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nhideWhenUsed/>
    <w:rsid w:val="0007718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07718F"/>
  </w:style>
  <w:style w:type="character" w:customStyle="1" w:styleId="CommentTextChar">
    <w:name w:val="Comment Text Char"/>
    <w:basedOn w:val="DefaultParagraphFont"/>
    <w:link w:val="CommentText"/>
    <w:rsid w:val="0007718F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18F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07718F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07718F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718F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7718F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7718F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7718F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7718F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7718F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07718F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07718F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07718F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07718F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7718F"/>
    <w:pPr>
      <w:ind w:left="720"/>
      <w:contextualSpacing/>
    </w:pPr>
  </w:style>
  <w:style w:type="paragraph" w:styleId="NoSpacing">
    <w:name w:val="No Spacing"/>
    <w:uiPriority w:val="1"/>
    <w:qFormat/>
    <w:rsid w:val="0007718F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07718F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07718F"/>
    <w:rPr>
      <w:color w:val="808080"/>
      <w:lang w:val="en-GB"/>
    </w:rPr>
  </w:style>
  <w:style w:type="table" w:styleId="TableGrid">
    <w:name w:val="Table Grid"/>
    <w:basedOn w:val="TableNormal"/>
    <w:uiPriority w:val="59"/>
    <w:rsid w:val="00077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07718F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07718F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qFormat/>
    <w:rsid w:val="0007718F"/>
    <w:rPr>
      <w:sz w:val="2"/>
    </w:rPr>
  </w:style>
  <w:style w:type="character" w:customStyle="1" w:styleId="ASpacerChar">
    <w:name w:val="A_Spacer Char"/>
    <w:basedOn w:val="DefaultParagraphFont"/>
    <w:link w:val="ASpacer"/>
    <w:rsid w:val="0007718F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qFormat/>
    <w:rsid w:val="0007718F"/>
  </w:style>
  <w:style w:type="character" w:styleId="UnresolvedMention">
    <w:name w:val="Unresolved Mention"/>
    <w:basedOn w:val="DefaultParagraphFont"/>
    <w:uiPriority w:val="99"/>
    <w:semiHidden/>
    <w:rsid w:val="0007718F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qFormat/>
    <w:rsid w:val="0007718F"/>
  </w:style>
  <w:style w:type="paragraph" w:customStyle="1" w:styleId="AText0">
    <w:name w:val="A_Text0"/>
    <w:basedOn w:val="AText"/>
    <w:next w:val="AText"/>
    <w:qFormat/>
    <w:rsid w:val="0007718F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iPriority w:val="99"/>
    <w:unhideWhenUsed/>
    <w:rsid w:val="0007718F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uiPriority w:val="99"/>
    <w:rsid w:val="0007718F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07718F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07718F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07718F"/>
  </w:style>
  <w:style w:type="paragraph" w:styleId="BlockText">
    <w:name w:val="Block Text"/>
    <w:basedOn w:val="Normal"/>
    <w:semiHidden/>
    <w:unhideWhenUsed/>
    <w:rsid w:val="0007718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7718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7718F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771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7718F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771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718F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7718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7718F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0771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7718F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7718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7718F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7718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718F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7718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718F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07718F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07718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7718F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7718F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7718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7718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7718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7718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7718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7718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7718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7718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7718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7718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7718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7718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7718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7718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7718F"/>
  </w:style>
  <w:style w:type="character" w:customStyle="1" w:styleId="DateChar">
    <w:name w:val="Date Char"/>
    <w:basedOn w:val="DefaultParagraphFont"/>
    <w:link w:val="Date"/>
    <w:semiHidden/>
    <w:rsid w:val="0007718F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07718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7718F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7718F"/>
  </w:style>
  <w:style w:type="character" w:customStyle="1" w:styleId="E-mailSignatureChar">
    <w:name w:val="E-mail Signature Char"/>
    <w:basedOn w:val="DefaultParagraphFont"/>
    <w:link w:val="E-mailSignature"/>
    <w:semiHidden/>
    <w:rsid w:val="0007718F"/>
    <w:rPr>
      <w:rFonts w:eastAsia="Times New Roman"/>
      <w:lang w:val="en-GB" w:eastAsia="en-US"/>
    </w:rPr>
  </w:style>
  <w:style w:type="character" w:styleId="Emphasis">
    <w:name w:val="Emphasis"/>
    <w:basedOn w:val="DefaultParagraphFont"/>
    <w:uiPriority w:val="20"/>
    <w:qFormat/>
    <w:rsid w:val="0007718F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7718F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7718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718F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7718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7718F"/>
    <w:rPr>
      <w:rFonts w:asciiTheme="majorHAnsi" w:eastAsiaTheme="majorEastAsia" w:hAnsiTheme="majorHAnsi" w:cstheme="majorBidi"/>
    </w:rPr>
  </w:style>
  <w:style w:type="paragraph" w:styleId="FootnoteText">
    <w:name w:val="footnote text"/>
    <w:aliases w:val="Fußnotentextf, Char1,Geneva 9,Font: Geneva 9,Boston 10,f,-E Fußnotentext,Fußnotentext Ursprung,-E Fußnotentext1,-E Fußnotentext2,-E Fußnotentext3,Fußnotentext Char1,Fußnotentext Char Char,Fußnotentext Char1 Char Char,Char1,DNV-FT,fn,ft"/>
    <w:basedOn w:val="Normal"/>
    <w:link w:val="FootnoteTextChar"/>
    <w:uiPriority w:val="99"/>
    <w:semiHidden/>
    <w:unhideWhenUsed/>
    <w:qFormat/>
    <w:rsid w:val="0007718F"/>
  </w:style>
  <w:style w:type="character" w:customStyle="1" w:styleId="FootnoteTextChar">
    <w:name w:val="Footnote Text Char"/>
    <w:aliases w:val="Fußnotentextf Char, Char1 Char,Geneva 9 Char,Font: Geneva 9 Char,Boston 10 Char,f Char,-E Fußnotentext Char,Fußnotentext Ursprung Char,-E Fußnotentext1 Char,-E Fußnotentext2 Char,-E Fußnotentext3 Char,Fußnotentext Char1 Char,fn Char"/>
    <w:basedOn w:val="DefaultParagraphFont"/>
    <w:link w:val="FootnoteText"/>
    <w:uiPriority w:val="99"/>
    <w:semiHidden/>
    <w:rsid w:val="0007718F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07718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7718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7718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7718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7718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7718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7718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7718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7718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7718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7718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7718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7718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7718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7718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7718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7718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7718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7718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7718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7718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7718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7718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7718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7718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7718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7718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7718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7718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7718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7718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7718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7718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7718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7718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7718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7718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7718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7718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7718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7718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7718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7718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7718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7718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7718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7718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7718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7718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07718F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07718F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07718F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7718F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07718F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07718F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07718F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07718F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7718F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718F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07718F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07718F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07718F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07718F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7718F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7718F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7718F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7718F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7718F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7718F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7718F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7718F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7718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07718F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1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18F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07718F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07718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7718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7718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771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7718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7718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7718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7718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7718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7718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771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7718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7718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7718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7718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7718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7718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7718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7718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7718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7718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7718F"/>
    <w:rPr>
      <w:lang w:val="en-GB"/>
    </w:rPr>
  </w:style>
  <w:style w:type="paragraph" w:styleId="List">
    <w:name w:val="List"/>
    <w:basedOn w:val="Normal"/>
    <w:semiHidden/>
    <w:unhideWhenUsed/>
    <w:rsid w:val="0007718F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7718F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7718F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7718F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7718F"/>
    <w:pPr>
      <w:ind w:left="1415" w:hanging="283"/>
      <w:contextualSpacing/>
    </w:pPr>
  </w:style>
  <w:style w:type="paragraph" w:styleId="ListBullet">
    <w:name w:val="List Bullet"/>
    <w:basedOn w:val="Normal"/>
    <w:semiHidden/>
    <w:rsid w:val="0007718F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07718F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07718F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07718F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07718F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07718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7718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07718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07718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07718F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07718F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07718F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07718F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07718F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07718F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07718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7718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7718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7718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7718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7718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7718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7718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7718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7718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7718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7718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7718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7718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7718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7718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7718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7718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7718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7718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7718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7718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7718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7718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7718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7718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7718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7718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7718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7718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7718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7718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7718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7718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7718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7718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7718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7718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7718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7718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7718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7718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7718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7718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7718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7718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7718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7718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7718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0771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7718F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07718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7718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7718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7718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7718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7718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7718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771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771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771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771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771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771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771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7718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7718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7718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7718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7718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7718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7718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7718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771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771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771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771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771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771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771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7718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7718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7718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7718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7718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7718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7718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7718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7718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7718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7718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7718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7718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7718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07718F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0771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7718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07718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7718F"/>
  </w:style>
  <w:style w:type="character" w:customStyle="1" w:styleId="NoteHeadingChar">
    <w:name w:val="Note Heading Char"/>
    <w:basedOn w:val="DefaultParagraphFont"/>
    <w:link w:val="NoteHeading"/>
    <w:semiHidden/>
    <w:rsid w:val="0007718F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07718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718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7718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7718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7718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7718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7718F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7718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18F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7718F"/>
  </w:style>
  <w:style w:type="character" w:customStyle="1" w:styleId="SalutationChar">
    <w:name w:val="Salutation Char"/>
    <w:basedOn w:val="DefaultParagraphFont"/>
    <w:link w:val="Salutation"/>
    <w:semiHidden/>
    <w:rsid w:val="0007718F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7718F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7718F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07718F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07718F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qFormat/>
    <w:rsid w:val="0007718F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qFormat/>
    <w:rsid w:val="0007718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7718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07718F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qFormat/>
    <w:rsid w:val="0007718F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771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7718F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7718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771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7718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771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18F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CH2Char">
    <w:name w:val="CH2 Char"/>
    <w:link w:val="CH2"/>
    <w:locked/>
    <w:rsid w:val="006A5453"/>
    <w:rPr>
      <w:rFonts w:eastAsia="Times New Roman"/>
      <w:b/>
      <w:sz w:val="24"/>
      <w:szCs w:val="24"/>
      <w:lang w:val="en-GB" w:eastAsia="en-US"/>
    </w:rPr>
  </w:style>
  <w:style w:type="character" w:customStyle="1" w:styleId="BBTitleChar">
    <w:name w:val="BB_Title Char"/>
    <w:link w:val="BBTitle"/>
    <w:rsid w:val="006A5453"/>
    <w:rPr>
      <w:rFonts w:eastAsia="Times New Roman"/>
      <w:b/>
      <w:sz w:val="28"/>
      <w:szCs w:val="28"/>
      <w:lang w:val="en-GB" w:eastAsia="en-US"/>
    </w:rPr>
  </w:style>
  <w:style w:type="character" w:customStyle="1" w:styleId="CH1Char">
    <w:name w:val="CH1 Char"/>
    <w:link w:val="CH1"/>
    <w:locked/>
    <w:rsid w:val="006A5453"/>
    <w:rPr>
      <w:rFonts w:eastAsia="Times New Roman"/>
      <w:b/>
      <w:sz w:val="28"/>
      <w:szCs w:val="28"/>
      <w:lang w:val="en-GB" w:eastAsia="en-US"/>
    </w:rPr>
  </w:style>
  <w:style w:type="numbering" w:customStyle="1" w:styleId="Normallist1">
    <w:name w:val="Normal_list1"/>
    <w:basedOn w:val="NoList"/>
    <w:rsid w:val="006A5453"/>
  </w:style>
  <w:style w:type="paragraph" w:styleId="Revision">
    <w:name w:val="Revision"/>
    <w:hidden/>
    <w:uiPriority w:val="99"/>
    <w:semiHidden/>
    <w:rsid w:val="006A5453"/>
    <w:rPr>
      <w:rFonts w:eastAsia="Times New Roman"/>
      <w:lang w:val="en-GB" w:eastAsia="en-US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uiPriority w:val="99"/>
    <w:qFormat/>
    <w:rsid w:val="006A5453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rFonts w:eastAsia="SimSun"/>
      <w:szCs w:val="18"/>
      <w:vertAlign w:val="superscript"/>
      <w:lang w:eastAsia="zh-CN"/>
    </w:rPr>
  </w:style>
  <w:style w:type="character" w:customStyle="1" w:styleId="NormalNonumberChar">
    <w:name w:val="Normal_No_number Char"/>
    <w:link w:val="NormalNonumber"/>
    <w:locked/>
    <w:rsid w:val="006A5453"/>
    <w:rPr>
      <w:rFonts w:eastAsia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6A5453"/>
  </w:style>
  <w:style w:type="numbering" w:customStyle="1" w:styleId="Normallist2">
    <w:name w:val="Normal_list2"/>
    <w:basedOn w:val="NoList"/>
    <w:rsid w:val="006A5453"/>
  </w:style>
  <w:style w:type="character" w:customStyle="1" w:styleId="views-field">
    <w:name w:val="views-field"/>
    <w:basedOn w:val="DefaultParagraphFont"/>
    <w:rsid w:val="006A5453"/>
    <w:rPr>
      <w:lang w:val="en-GB"/>
    </w:rPr>
  </w:style>
  <w:style w:type="character" w:customStyle="1" w:styleId="field-content">
    <w:name w:val="field-content"/>
    <w:basedOn w:val="DefaultParagraphFont"/>
    <w:rsid w:val="006A5453"/>
    <w:rPr>
      <w:lang w:val="en-GB"/>
    </w:rPr>
  </w:style>
  <w:style w:type="table" w:customStyle="1" w:styleId="TableGrid10">
    <w:name w:val="Table Grid1"/>
    <w:basedOn w:val="TableNormal"/>
    <w:next w:val="TableGrid"/>
    <w:uiPriority w:val="59"/>
    <w:rsid w:val="006A545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51">
    <w:name w:val="Light List - Accent 51"/>
    <w:basedOn w:val="TableNormal"/>
    <w:next w:val="LightList-Accent5"/>
    <w:uiPriority w:val="61"/>
    <w:rsid w:val="006A545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Paralevel1">
    <w:name w:val="Para level1"/>
    <w:basedOn w:val="Normal"/>
    <w:rsid w:val="006A5453"/>
    <w:pPr>
      <w:numPr>
        <w:numId w:val="16"/>
      </w:numPr>
      <w:tabs>
        <w:tab w:val="clear" w:pos="360"/>
        <w:tab w:val="clear" w:pos="1247"/>
        <w:tab w:val="clear" w:pos="1814"/>
        <w:tab w:val="clear" w:pos="2381"/>
        <w:tab w:val="clear" w:pos="2948"/>
        <w:tab w:val="clear" w:pos="3515"/>
      </w:tabs>
      <w:spacing w:after="120" w:line="276" w:lineRule="auto"/>
    </w:pPr>
    <w:rPr>
      <w:rFonts w:ascii="Calibri" w:eastAsia="Calibri" w:hAnsi="Calibri"/>
      <w:szCs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5453"/>
    <w:rPr>
      <w:color w:val="808080"/>
      <w:shd w:val="clear" w:color="auto" w:fill="E6E6E6"/>
      <w:lang w:val="en-GB"/>
    </w:rPr>
  </w:style>
  <w:style w:type="character" w:customStyle="1" w:styleId="normaltextrun">
    <w:name w:val="normaltextrun"/>
    <w:basedOn w:val="DefaultParagraphFont"/>
    <w:rsid w:val="006A5453"/>
    <w:rPr>
      <w:lang w:val="en-GB"/>
    </w:rPr>
  </w:style>
  <w:style w:type="paragraph" w:customStyle="1" w:styleId="HeadingUNEP">
    <w:name w:val="Heading UNEP"/>
    <w:basedOn w:val="ListParagraph"/>
    <w:link w:val="HeadingUNEPChar"/>
    <w:qFormat/>
    <w:rsid w:val="006A5453"/>
    <w:pPr>
      <w:numPr>
        <w:numId w:val="17"/>
      </w:numPr>
      <w:tabs>
        <w:tab w:val="clear" w:pos="1247"/>
        <w:tab w:val="clear" w:pos="1814"/>
        <w:tab w:val="clear" w:pos="2381"/>
        <w:tab w:val="clear" w:pos="2948"/>
        <w:tab w:val="clear" w:pos="3515"/>
      </w:tabs>
      <w:autoSpaceDE w:val="0"/>
      <w:autoSpaceDN w:val="0"/>
      <w:adjustRightInd w:val="0"/>
      <w:ind w:left="0" w:firstLine="0"/>
      <w:outlineLvl w:val="1"/>
    </w:pPr>
    <w:rPr>
      <w:rFonts w:eastAsiaTheme="minorEastAsia"/>
      <w:b/>
      <w:sz w:val="28"/>
      <w:szCs w:val="28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A5453"/>
    <w:rPr>
      <w:rFonts w:eastAsia="Times New Roman"/>
      <w:lang w:val="en-GB" w:eastAsia="en-US"/>
    </w:rPr>
  </w:style>
  <w:style w:type="character" w:customStyle="1" w:styleId="HeadingUNEPChar">
    <w:name w:val="Heading UNEP Char"/>
    <w:basedOn w:val="ListParagraphChar"/>
    <w:link w:val="HeadingUNEP"/>
    <w:rsid w:val="006A5453"/>
    <w:rPr>
      <w:rFonts w:eastAsiaTheme="minorEastAsia"/>
      <w:b/>
      <w:sz w:val="28"/>
      <w:szCs w:val="28"/>
      <w:lang w:val="en-US" w:eastAsia="en-US"/>
    </w:rPr>
  </w:style>
  <w:style w:type="paragraph" w:customStyle="1" w:styleId="SubheadingUNEP">
    <w:name w:val="Subheading UNEP"/>
    <w:basedOn w:val="ListParagraph"/>
    <w:link w:val="SubheadingUNEPChar"/>
    <w:qFormat/>
    <w:rsid w:val="006A5453"/>
    <w:pPr>
      <w:numPr>
        <w:numId w:val="18"/>
      </w:numPr>
      <w:tabs>
        <w:tab w:val="clear" w:pos="1247"/>
        <w:tab w:val="clear" w:pos="1814"/>
        <w:tab w:val="clear" w:pos="2381"/>
        <w:tab w:val="clear" w:pos="2948"/>
        <w:tab w:val="clear" w:pos="3515"/>
      </w:tabs>
      <w:ind w:left="0" w:firstLine="0"/>
      <w:outlineLvl w:val="3"/>
    </w:pPr>
    <w:rPr>
      <w:rFonts w:eastAsiaTheme="minorEastAsia"/>
      <w:b/>
      <w:bCs/>
      <w:lang w:val="en-US"/>
    </w:rPr>
  </w:style>
  <w:style w:type="character" w:customStyle="1" w:styleId="SubheadingUNEPChar">
    <w:name w:val="Subheading UNEP Char"/>
    <w:basedOn w:val="ListParagraphChar"/>
    <w:link w:val="SubheadingUNEP"/>
    <w:rsid w:val="006A5453"/>
    <w:rPr>
      <w:rFonts w:eastAsiaTheme="minorEastAsia"/>
      <w:b/>
      <w:bCs/>
      <w:lang w:val="en-US" w:eastAsia="en-US"/>
    </w:rPr>
  </w:style>
  <w:style w:type="paragraph" w:customStyle="1" w:styleId="OverallheadingUNEP">
    <w:name w:val="Overall heading UNEP"/>
    <w:basedOn w:val="BBTitle"/>
    <w:link w:val="OverallheadingUNEPChar"/>
    <w:qFormat/>
    <w:rsid w:val="006A5453"/>
    <w:pPr>
      <w:outlineLvl w:val="0"/>
    </w:pPr>
  </w:style>
  <w:style w:type="character" w:customStyle="1" w:styleId="OverallheadingUNEPChar">
    <w:name w:val="Overall heading UNEP Char"/>
    <w:basedOn w:val="BBTitleChar"/>
    <w:link w:val="OverallheadingUNEP"/>
    <w:rsid w:val="006A5453"/>
    <w:rPr>
      <w:rFonts w:eastAsia="Times New Roman"/>
      <w:b/>
      <w:sz w:val="28"/>
      <w:szCs w:val="28"/>
      <w:lang w:val="en-GB" w:eastAsia="en-US"/>
    </w:rPr>
  </w:style>
  <w:style w:type="paragraph" w:customStyle="1" w:styleId="IntermediateheadingUNEP">
    <w:name w:val="Intermediate heading UNEP"/>
    <w:basedOn w:val="ListParagraph"/>
    <w:link w:val="IntermediateheadingUNEPChar"/>
    <w:qFormat/>
    <w:rsid w:val="006A5453"/>
    <w:pPr>
      <w:tabs>
        <w:tab w:val="clear" w:pos="1247"/>
        <w:tab w:val="clear" w:pos="1814"/>
        <w:tab w:val="clear" w:pos="2381"/>
        <w:tab w:val="clear" w:pos="2948"/>
        <w:tab w:val="clear" w:pos="3515"/>
      </w:tabs>
      <w:ind w:left="987" w:firstLine="266"/>
      <w:outlineLvl w:val="2"/>
    </w:pPr>
    <w:rPr>
      <w:rFonts w:eastAsiaTheme="minorEastAsia"/>
      <w:b/>
      <w:bCs/>
      <w:lang w:val="en-US"/>
    </w:rPr>
  </w:style>
  <w:style w:type="character" w:customStyle="1" w:styleId="IntermediateheadingUNEPChar">
    <w:name w:val="Intermediate heading UNEP Char"/>
    <w:basedOn w:val="ListParagraphChar"/>
    <w:link w:val="IntermediateheadingUNEP"/>
    <w:rsid w:val="006A5453"/>
    <w:rPr>
      <w:rFonts w:eastAsiaTheme="minorEastAsia"/>
      <w:b/>
      <w:bCs/>
      <w:lang w:val="en-US" w:eastAsia="en-US"/>
    </w:rPr>
  </w:style>
  <w:style w:type="paragraph" w:customStyle="1" w:styleId="Style1">
    <w:name w:val="Style1"/>
    <w:basedOn w:val="SubheadingUNEP"/>
    <w:link w:val="Style1Char"/>
    <w:qFormat/>
    <w:rsid w:val="006A5453"/>
    <w:pPr>
      <w:numPr>
        <w:ilvl w:val="1"/>
      </w:numPr>
      <w:ind w:left="0" w:firstLine="0"/>
      <w:outlineLvl w:val="4"/>
    </w:pPr>
  </w:style>
  <w:style w:type="character" w:customStyle="1" w:styleId="Style1Char">
    <w:name w:val="Style1 Char"/>
    <w:basedOn w:val="SubheadingUNEPChar"/>
    <w:link w:val="Style1"/>
    <w:rsid w:val="006A5453"/>
    <w:rPr>
      <w:rFonts w:eastAsiaTheme="minorEastAsia"/>
      <w:b/>
      <w:bCs/>
      <w:lang w:val="en-US" w:eastAsia="en-US"/>
    </w:rPr>
  </w:style>
  <w:style w:type="paragraph" w:customStyle="1" w:styleId="Style2">
    <w:name w:val="Style2"/>
    <w:basedOn w:val="Style1"/>
    <w:link w:val="Style2Char"/>
    <w:qFormat/>
    <w:rsid w:val="006A5453"/>
    <w:pPr>
      <w:numPr>
        <w:ilvl w:val="2"/>
      </w:numPr>
      <w:ind w:left="0" w:firstLine="0"/>
      <w:outlineLvl w:val="5"/>
    </w:pPr>
  </w:style>
  <w:style w:type="character" w:customStyle="1" w:styleId="Style2Char">
    <w:name w:val="Style2 Char"/>
    <w:basedOn w:val="Style1Char"/>
    <w:link w:val="Style2"/>
    <w:rsid w:val="006A5453"/>
    <w:rPr>
      <w:rFonts w:eastAsiaTheme="minorEastAsia"/>
      <w:b/>
      <w:bCs/>
      <w:lang w:val="en-US" w:eastAsia="en-US"/>
    </w:rPr>
  </w:style>
  <w:style w:type="table" w:customStyle="1" w:styleId="TableGrid20">
    <w:name w:val="Table Grid2"/>
    <w:basedOn w:val="TableNormal"/>
    <w:next w:val="TableGrid"/>
    <w:uiPriority w:val="59"/>
    <w:rsid w:val="006A545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sub">
    <w:name w:val="Subsub"/>
    <w:basedOn w:val="Normal"/>
    <w:link w:val="SubsubChar"/>
    <w:qFormat/>
    <w:rsid w:val="006A5453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78" w:lineRule="auto"/>
      <w:ind w:left="1871"/>
      <w:outlineLvl w:val="4"/>
    </w:pPr>
    <w:rPr>
      <w:b/>
      <w:i/>
    </w:rPr>
  </w:style>
  <w:style w:type="character" w:customStyle="1" w:styleId="SubsubChar">
    <w:name w:val="Subsub Char"/>
    <w:basedOn w:val="DefaultParagraphFont"/>
    <w:link w:val="Subsub"/>
    <w:rsid w:val="006A5453"/>
    <w:rPr>
      <w:rFonts w:eastAsia="Times New Roman"/>
      <w:b/>
      <w:i/>
      <w:lang w:val="en-GB" w:eastAsia="en-US"/>
    </w:rPr>
  </w:style>
  <w:style w:type="paragraph" w:customStyle="1" w:styleId="my-2">
    <w:name w:val="my-2"/>
    <w:basedOn w:val="Normal"/>
    <w:rsid w:val="006A5453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</w:rPr>
  </w:style>
  <w:style w:type="character" w:customStyle="1" w:styleId="inline-block">
    <w:name w:val="inline-block"/>
    <w:basedOn w:val="DefaultParagraphFont"/>
    <w:rsid w:val="006A5453"/>
    <w:rPr>
      <w:lang w:val="en-GB"/>
    </w:rPr>
  </w:style>
  <w:style w:type="paragraph" w:customStyle="1" w:styleId="Normalnumber0">
    <w:name w:val="Normal number"/>
    <w:basedOn w:val="Normal"/>
    <w:link w:val="NormalnumberChar0"/>
    <w:qFormat/>
    <w:rsid w:val="006A5453"/>
    <w:pPr>
      <w:tabs>
        <w:tab w:val="clear" w:pos="1247"/>
        <w:tab w:val="clear" w:pos="1814"/>
        <w:tab w:val="clear" w:pos="2381"/>
        <w:tab w:val="clear" w:pos="2948"/>
        <w:tab w:val="clear" w:pos="3515"/>
        <w:tab w:val="left" w:pos="624"/>
      </w:tabs>
      <w:ind w:left="1247"/>
    </w:pPr>
  </w:style>
  <w:style w:type="character" w:customStyle="1" w:styleId="NormalnumberChar0">
    <w:name w:val="Normal number Char"/>
    <w:basedOn w:val="DefaultParagraphFont"/>
    <w:link w:val="Normalnumber0"/>
    <w:rsid w:val="006A5453"/>
    <w:rPr>
      <w:rFonts w:eastAsia="Times New Roman"/>
      <w:lang w:val="en-GB" w:eastAsia="en-US"/>
    </w:rPr>
  </w:style>
  <w:style w:type="character" w:customStyle="1" w:styleId="Normal-poolChar">
    <w:name w:val="Normal-pool Char"/>
    <w:link w:val="Normal-pool"/>
    <w:locked/>
    <w:rsid w:val="00BA039B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27E0A0837F64083645E115EB57567" ma:contentTypeVersion="20" ma:contentTypeDescription="Create a new document." ma:contentTypeScope="" ma:versionID="48e23393f98525ab4c1cba1b579a804e">
  <xsd:schema xmlns:xsd="http://www.w3.org/2001/XMLSchema" xmlns:xs="http://www.w3.org/2001/XMLSchema" xmlns:p="http://schemas.microsoft.com/office/2006/metadata/properties" xmlns:ns2="44b29a07-ae0c-4297-aad9-2f7ae2e24b8e" xmlns:ns3="a591afa8-fd54-42f1-9ea9-749d51e1c00b" xmlns:ns4="985ec44e-1bab-4c0b-9df0-6ba128686fc9" targetNamespace="http://schemas.microsoft.com/office/2006/metadata/properties" ma:root="true" ma:fieldsID="00fc5e8c2686de992f3520d1be067e0c" ns2:_="" ns3:_="" ns4:_="">
    <xsd:import namespace="44b29a07-ae0c-4297-aad9-2f7ae2e24b8e"/>
    <xsd:import namespace="a591afa8-fd54-42f1-9ea9-749d51e1c00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sizeofdoc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9a07-ae0c-4297-aad9-2f7ae2e24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ofdoc" ma:index="25" nillable="true" ma:displayName="size of doc" ma:description="size of doc" ma:format="Dropdown" ma:internalName="sizeofdoc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1afa8-fd54-42f1-9ea9-749d51e1c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98e707-5146-45f7-a2b1-4239a4ec8568}" ma:internalName="TaxCatchAll" ma:showField="CatchAllData" ma:web="a591afa8-fd54-42f1-9ea9-749d51e1c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sizeofdoc xmlns="44b29a07-ae0c-4297-aad9-2f7ae2e24b8e" xsi:nil="true"/>
    <lcf76f155ced4ddcb4097134ff3c332f xmlns="44b29a07-ae0c-4297-aad9-2f7ae2e24b8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4D8116-3F67-4B39-A23A-F522BB914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29a07-ae0c-4297-aad9-2f7ae2e24b8e"/>
    <ds:schemaRef ds:uri="a591afa8-fd54-42f1-9ea9-749d51e1c00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4b29a07-ae0c-4297-aad9-2f7ae2e24b8e"/>
  </ds:schemaRefs>
</ds:datastoreItem>
</file>

<file path=customXml/itemProps3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32</TotalTime>
  <Pages>10</Pages>
  <Words>4290</Words>
  <Characters>22309</Characters>
  <Application>Microsoft Office Word</Application>
  <DocSecurity>0</DocSecurity>
  <PresentationFormat/>
  <Lines>1062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Anderson</dc:creator>
  <cp:keywords/>
  <dc:description/>
  <cp:lastModifiedBy>Cynthia Mwanza</cp:lastModifiedBy>
  <cp:revision>7</cp:revision>
  <cp:lastPrinted>2026-05-16T15:32:00Z</cp:lastPrinted>
  <dcterms:created xsi:type="dcterms:W3CDTF">2026-07-14T07:55:00Z</dcterms:created>
  <dcterms:modified xsi:type="dcterms:W3CDTF">2026-07-14T08:39:00Z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</vt:lpwstr>
  </property>
  <property fmtid="{D5CDD505-2E9C-101B-9397-08002B2CF9AE}" pid="5" name="UNONDCSTES-NoSymbol">
    <vt:lpwstr>1</vt:lpwstr>
  </property>
  <property fmtid="{D5CDD505-2E9C-101B-9397-08002B2CF9AE}" pid="6" name="UNONDCSTES-LangDistr">
    <vt:lpwstr>EN_EN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Order">
    <vt:r8>22800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Office_x0020_of_x0020_Origin">
    <vt:lpwstr/>
  </property>
  <property fmtid="{D5CDD505-2E9C-101B-9397-08002B2CF9AE}" pid="19" name="lcf76f155ced4ddcb4097134ff3c332f">
    <vt:lpwstr/>
  </property>
  <property fmtid="{D5CDD505-2E9C-101B-9397-08002B2CF9AE}" pid="20" name="Office of Origin">
    <vt:lpwstr/>
  </property>
  <property fmtid="{D5CDD505-2E9C-101B-9397-08002B2CF9AE}" pid="21" name="ContentTypeId">
    <vt:lpwstr>0x010100A8527E0A0837F64083645E115EB57567</vt:lpwstr>
  </property>
</Properties>
</file>