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27D93" w14:textId="77777777" w:rsidR="00863014" w:rsidRDefault="00863014">
      <w:bookmarkStart w:id="0" w:name="_GoBack"/>
      <w:bookmarkEnd w:id="0"/>
      <w:r>
        <w:t>The Parties decide to:</w:t>
      </w:r>
    </w:p>
    <w:p w14:paraId="31D87F09" w14:textId="77777777" w:rsidR="001A10EE" w:rsidRDefault="001A10EE"/>
    <w:p w14:paraId="7FE21D12" w14:textId="1C1E2E71" w:rsidR="00BF1D1C" w:rsidRDefault="001A10EE">
      <w:r w:rsidRPr="00BF1D1C">
        <w:rPr>
          <w:i/>
        </w:rPr>
        <w:t>Recognizing</w:t>
      </w:r>
      <w:r>
        <w:t xml:space="preserve"> the MPs history of success in ach</w:t>
      </w:r>
      <w:r w:rsidR="00BF1D1C">
        <w:t>ieving collaborative and consensu</w:t>
      </w:r>
      <w:r w:rsidR="001F168F">
        <w:t>s based outcomes and that HFCs</w:t>
      </w:r>
      <w:r>
        <w:t xml:space="preserve"> are replacements for the ODS that Parties to the MP are already successfully phasing out, </w:t>
      </w:r>
    </w:p>
    <w:p w14:paraId="3D0FF2CE" w14:textId="77777777" w:rsidR="00BF1D1C" w:rsidRDefault="00BF1D1C"/>
    <w:p w14:paraId="4FD33830" w14:textId="4B4CCAC0" w:rsidR="00334CC8" w:rsidRDefault="005C0AB2" w:rsidP="00BF1D1C">
      <w:pPr>
        <w:pStyle w:val="ListParagraph"/>
        <w:numPr>
          <w:ilvl w:val="0"/>
          <w:numId w:val="1"/>
        </w:numPr>
      </w:pPr>
      <w:r>
        <w:t>Work within the Montreal Protocol to an</w:t>
      </w:r>
      <w:r w:rsidR="00334CC8">
        <w:t xml:space="preserve"> HFC amendment in 2016</w:t>
      </w:r>
      <w:r>
        <w:t xml:space="preserve"> by first resolving</w:t>
      </w:r>
      <w:r w:rsidR="00496F57">
        <w:t xml:space="preserve"> challenges by generating solutions in </w:t>
      </w:r>
      <w:r w:rsidR="00172E62">
        <w:t xml:space="preserve">the </w:t>
      </w:r>
      <w:r w:rsidR="00496F57">
        <w:t>contact group on the f</w:t>
      </w:r>
      <w:r w:rsidR="009577DF">
        <w:t>easibility and ways of managing</w:t>
      </w:r>
      <w:r w:rsidR="00F753F0">
        <w:t xml:space="preserve"> HFCs at</w:t>
      </w:r>
      <w:r w:rsidR="00496F57">
        <w:t xml:space="preserve"> Montreal Protocol meetings</w:t>
      </w:r>
      <w:r w:rsidR="00334CC8">
        <w:t>;</w:t>
      </w:r>
      <w:r w:rsidR="00F44251">
        <w:t xml:space="preserve"> </w:t>
      </w:r>
    </w:p>
    <w:p w14:paraId="09EC515B" w14:textId="77777777" w:rsidR="00075904" w:rsidRDefault="00075904" w:rsidP="005C0AB2">
      <w:pPr>
        <w:pStyle w:val="ListParagraph"/>
        <w:ind w:left="1080"/>
      </w:pPr>
    </w:p>
    <w:p w14:paraId="51054EC9" w14:textId="54041920" w:rsidR="005C0AB2" w:rsidRDefault="005C0AB2" w:rsidP="00BF1D1C">
      <w:pPr>
        <w:pStyle w:val="ListParagraph"/>
        <w:numPr>
          <w:ilvl w:val="0"/>
          <w:numId w:val="1"/>
        </w:numPr>
      </w:pPr>
      <w:r>
        <w:t>Recognize the progress made at the 27</w:t>
      </w:r>
      <w:r w:rsidRPr="005C0AB2">
        <w:rPr>
          <w:vertAlign w:val="superscript"/>
        </w:rPr>
        <w:t>th</w:t>
      </w:r>
      <w:r>
        <w:t xml:space="preserve"> MOP on the challenges identified in the contact group mandate agreed at the </w:t>
      </w:r>
      <w:r w:rsidR="00DC6A00">
        <w:t xml:space="preserve">resumed </w:t>
      </w:r>
      <w:r>
        <w:t>36</w:t>
      </w:r>
      <w:r w:rsidRPr="00863014">
        <w:rPr>
          <w:vertAlign w:val="superscript"/>
        </w:rPr>
        <w:t>th</w:t>
      </w:r>
      <w:r>
        <w:t xml:space="preserve"> OEWG (contained at Annex 1) on feasibility and ways of managing HFCs, including development of a common understanding on issues related to flexibility of implementation, 2</w:t>
      </w:r>
      <w:r w:rsidRPr="00863014">
        <w:rPr>
          <w:vertAlign w:val="superscript"/>
        </w:rPr>
        <w:t>nd</w:t>
      </w:r>
      <w:r>
        <w:t xml:space="preserve"> and 3</w:t>
      </w:r>
      <w:r w:rsidRPr="00863014">
        <w:rPr>
          <w:vertAlign w:val="superscript"/>
        </w:rPr>
        <w:t>rd</w:t>
      </w:r>
      <w:r>
        <w:t xml:space="preserve"> stage conversions, guidance to the </w:t>
      </w:r>
      <w:proofErr w:type="spellStart"/>
      <w:r>
        <w:t>ExCom</w:t>
      </w:r>
      <w:proofErr w:type="spellEnd"/>
      <w:r>
        <w:t xml:space="preserve">, enabling activities for capacity building, and the need for an exemption for high ambient temperature countries; and </w:t>
      </w:r>
      <w:r w:rsidR="000542E5">
        <w:t xml:space="preserve">endorse the concepts in </w:t>
      </w:r>
      <w:r>
        <w:t xml:space="preserve">Annex 2; </w:t>
      </w:r>
    </w:p>
    <w:p w14:paraId="751F7987" w14:textId="77777777" w:rsidR="00334CC8" w:rsidRDefault="00334CC8" w:rsidP="005C0AB2"/>
    <w:p w14:paraId="206A9015" w14:textId="358C08FE" w:rsidR="00863014" w:rsidRDefault="00863014" w:rsidP="00863014">
      <w:pPr>
        <w:pStyle w:val="ListParagraph"/>
        <w:numPr>
          <w:ilvl w:val="0"/>
          <w:numId w:val="1"/>
        </w:numPr>
      </w:pPr>
      <w:r>
        <w:t>Recognize that further progress still needs to be made in particular with respect to other challenges identified in the contact group mandate</w:t>
      </w:r>
      <w:r w:rsidR="005C0AB2">
        <w:t>, for example conversion costs, technology transfer and intellectual property rights</w:t>
      </w:r>
      <w:r>
        <w:t>;</w:t>
      </w:r>
    </w:p>
    <w:p w14:paraId="16242F6D" w14:textId="77777777" w:rsidR="00334CC8" w:rsidRDefault="00334CC8" w:rsidP="00334CC8"/>
    <w:p w14:paraId="053C1C4D" w14:textId="06EC3928" w:rsidR="00894B0F" w:rsidRDefault="00894B0F" w:rsidP="00894B0F">
      <w:pPr>
        <w:pStyle w:val="ListParagraph"/>
        <w:numPr>
          <w:ilvl w:val="0"/>
          <w:numId w:val="1"/>
        </w:numPr>
      </w:pPr>
      <w:r>
        <w:t xml:space="preserve">Hold a series of </w:t>
      </w:r>
      <w:r w:rsidR="001F168F">
        <w:t xml:space="preserve">OEWG and other </w:t>
      </w:r>
      <w:r>
        <w:t>meetings, including an Extraordinary Meeting of Parties</w:t>
      </w:r>
      <w:r w:rsidR="00E154F4">
        <w:t xml:space="preserve"> in 2016</w:t>
      </w:r>
      <w:r>
        <w:t>;</w:t>
      </w:r>
    </w:p>
    <w:p w14:paraId="3BCB83E1" w14:textId="77777777" w:rsidR="0043146D" w:rsidRDefault="0043146D" w:rsidP="00894B0F"/>
    <w:p w14:paraId="7D756563" w14:textId="16FAB8C0" w:rsidR="00863014" w:rsidRDefault="0043146D" w:rsidP="005C0AB2">
      <w:pPr>
        <w:pStyle w:val="ListParagraph"/>
        <w:numPr>
          <w:ilvl w:val="0"/>
          <w:numId w:val="1"/>
        </w:numPr>
      </w:pPr>
      <w:r>
        <w:t>Continue consideration at the m</w:t>
      </w:r>
      <w:r w:rsidR="00DA78BE">
        <w:t>eetings mentioned in paragraph 4</w:t>
      </w:r>
      <w:r>
        <w:t xml:space="preserve"> above of agenda items 6 and 7, contained in Doc. …27/1, including the submissions contained in UNEP/OzL.Pro</w:t>
      </w:r>
      <w:r w:rsidR="00575B62">
        <w:t>.27/5, 27/6, 27/7 and 27/8</w:t>
      </w:r>
      <w:r w:rsidR="005C0AB2">
        <w:t>);</w:t>
      </w:r>
    </w:p>
    <w:p w14:paraId="5265400F" w14:textId="77777777" w:rsidR="00E83ABA" w:rsidRDefault="00E83ABA" w:rsidP="00E83ABA"/>
    <w:p w14:paraId="376C577E" w14:textId="77777777" w:rsidR="00E83ABA" w:rsidRDefault="00E83ABA" w:rsidP="00E83ABA"/>
    <w:p w14:paraId="16868CF3" w14:textId="77777777" w:rsidR="00E83ABA" w:rsidRDefault="00E83ABA" w:rsidP="00E83ABA"/>
    <w:p w14:paraId="42DA06DE" w14:textId="77777777" w:rsidR="00E83ABA" w:rsidRDefault="00E83ABA" w:rsidP="00E83ABA"/>
    <w:p w14:paraId="41463C27" w14:textId="77777777" w:rsidR="00E83ABA" w:rsidRDefault="00E83ABA" w:rsidP="00E83ABA"/>
    <w:p w14:paraId="3E7E8547" w14:textId="77777777" w:rsidR="00E83ABA" w:rsidRDefault="00E83ABA" w:rsidP="00E83ABA"/>
    <w:p w14:paraId="16CBB7DB" w14:textId="77777777" w:rsidR="00E83ABA" w:rsidRDefault="00E83ABA" w:rsidP="00E83ABA"/>
    <w:p w14:paraId="205915D7" w14:textId="77777777" w:rsidR="00E83ABA" w:rsidRDefault="00E83ABA" w:rsidP="00E83ABA"/>
    <w:p w14:paraId="14A7A54F" w14:textId="77777777" w:rsidR="00E83ABA" w:rsidRDefault="00E83ABA" w:rsidP="00E83ABA"/>
    <w:p w14:paraId="7E7D971F" w14:textId="77777777" w:rsidR="00E83ABA" w:rsidRDefault="00E83ABA" w:rsidP="00E83ABA"/>
    <w:p w14:paraId="331B6EC8" w14:textId="77777777" w:rsidR="00E83ABA" w:rsidRDefault="00E83ABA" w:rsidP="00E83ABA"/>
    <w:p w14:paraId="3E75C580" w14:textId="77777777" w:rsidR="00E83ABA" w:rsidRDefault="00E83ABA" w:rsidP="00E83ABA"/>
    <w:p w14:paraId="472686FB" w14:textId="77777777" w:rsidR="00E83ABA" w:rsidRDefault="00E83ABA" w:rsidP="00E83ABA"/>
    <w:p w14:paraId="2C152FF7" w14:textId="77777777" w:rsidR="00E83ABA" w:rsidRDefault="00E83ABA" w:rsidP="00E83ABA"/>
    <w:p w14:paraId="43DDD5F8" w14:textId="77777777" w:rsidR="00E83ABA" w:rsidRDefault="00E83ABA" w:rsidP="00E83ABA"/>
    <w:p w14:paraId="3066709F" w14:textId="77777777" w:rsidR="00E83ABA" w:rsidRDefault="00E83ABA" w:rsidP="00E83ABA"/>
    <w:p w14:paraId="64FB6252" w14:textId="77777777" w:rsidR="00E83ABA" w:rsidRDefault="00E83ABA" w:rsidP="00E83ABA"/>
    <w:p w14:paraId="1AF7C679" w14:textId="77777777" w:rsidR="00E83ABA" w:rsidRDefault="00E83ABA" w:rsidP="00E83ABA"/>
    <w:p w14:paraId="4609AFAC" w14:textId="77777777" w:rsidR="00E83ABA" w:rsidRDefault="00E83ABA" w:rsidP="00E83ABA">
      <w:pPr>
        <w:pStyle w:val="ZZAnxtitle"/>
        <w:tabs>
          <w:tab w:val="clear" w:pos="1247"/>
          <w:tab w:val="left" w:pos="540"/>
        </w:tabs>
        <w:spacing w:before="120"/>
        <w:ind w:left="851" w:right="1172"/>
        <w:rPr>
          <w:szCs w:val="28"/>
          <w:lang w:val="en-GB"/>
        </w:rPr>
      </w:pPr>
      <w:r w:rsidRPr="00AE546F">
        <w:rPr>
          <w:szCs w:val="28"/>
          <w:lang w:val="en-GB"/>
        </w:rPr>
        <w:lastRenderedPageBreak/>
        <w:t>Annex 1</w:t>
      </w:r>
    </w:p>
    <w:p w14:paraId="7CA52BAD" w14:textId="77777777" w:rsidR="00E83ABA" w:rsidRPr="00AE546F" w:rsidRDefault="00E83ABA" w:rsidP="00E83ABA">
      <w:pPr>
        <w:pStyle w:val="ZZAnxtitle"/>
        <w:tabs>
          <w:tab w:val="clear" w:pos="1247"/>
          <w:tab w:val="left" w:pos="540"/>
        </w:tabs>
        <w:spacing w:before="120"/>
        <w:ind w:left="851" w:right="1172"/>
        <w:rPr>
          <w:szCs w:val="28"/>
          <w:lang w:val="en-GB"/>
        </w:rPr>
      </w:pPr>
    </w:p>
    <w:p w14:paraId="67899603" w14:textId="77777777" w:rsidR="00E83ABA" w:rsidRPr="00B15AFF" w:rsidRDefault="00E83ABA" w:rsidP="00E83ABA">
      <w:pPr>
        <w:pStyle w:val="ZZAnxtitle"/>
        <w:tabs>
          <w:tab w:val="clear" w:pos="1247"/>
          <w:tab w:val="left" w:pos="540"/>
        </w:tabs>
        <w:spacing w:before="120"/>
        <w:ind w:left="851" w:right="1172"/>
        <w:rPr>
          <w:sz w:val="24"/>
          <w:szCs w:val="24"/>
          <w:lang w:val="en-GB"/>
        </w:rPr>
      </w:pPr>
      <w:r w:rsidRPr="00B15AFF">
        <w:rPr>
          <w:sz w:val="24"/>
          <w:szCs w:val="24"/>
          <w:lang w:val="en-GB"/>
        </w:rPr>
        <w:t>Mandate for a possible contact group on the feasibility and ways of managing HFCs</w:t>
      </w:r>
    </w:p>
    <w:p w14:paraId="244CEF32" w14:textId="77777777" w:rsidR="00E83ABA" w:rsidRPr="00B15AFF" w:rsidRDefault="00E83ABA" w:rsidP="00E83ABA">
      <w:pPr>
        <w:pStyle w:val="Normalnumber"/>
        <w:tabs>
          <w:tab w:val="clear" w:pos="624"/>
          <w:tab w:val="left" w:pos="540"/>
          <w:tab w:val="left" w:pos="1871"/>
          <w:tab w:val="left" w:pos="2495"/>
          <w:tab w:val="left" w:pos="3119"/>
        </w:tabs>
        <w:spacing w:after="90"/>
        <w:ind w:left="851" w:right="1172"/>
        <w:rPr>
          <w:sz w:val="24"/>
          <w:szCs w:val="24"/>
          <w:lang w:val="en-GB"/>
        </w:rPr>
      </w:pPr>
      <w:r w:rsidRPr="00B15AFF">
        <w:rPr>
          <w:sz w:val="24"/>
          <w:szCs w:val="24"/>
          <w:lang w:val="en-GB"/>
        </w:rPr>
        <w:t>The Open-ended Working Group of the Parties to the Montreal Protocol at its thirty-fifth meeting held in Bangkok from 22 to 24 April 2015, agreed that “it would continue to work inter-</w:t>
      </w:r>
      <w:proofErr w:type="spellStart"/>
      <w:r w:rsidRPr="00B15AFF">
        <w:rPr>
          <w:sz w:val="24"/>
          <w:szCs w:val="24"/>
          <w:lang w:val="en-GB"/>
        </w:rPr>
        <w:t>sessionally</w:t>
      </w:r>
      <w:proofErr w:type="spellEnd"/>
      <w:r w:rsidRPr="00B15AFF">
        <w:rPr>
          <w:sz w:val="24"/>
          <w:szCs w:val="24"/>
          <w:lang w:val="en-GB"/>
        </w:rPr>
        <w:t xml:space="preserve"> in an informal manner to study the feasibility and ways of managing HFCs, including, inter alia, the related challenges set out in annex II to the [report of the thirty-fifth meeting of the Open-ended Working Group], with a view to the establishment of a contact group on the feasibility and ways of managing HFCs at the thirty-sixth meeting of the Open-ended Working Group” (paragraph 128, UNEP/OzL.Pro.WG.1/35/6).</w:t>
      </w:r>
    </w:p>
    <w:p w14:paraId="36811F8A" w14:textId="77777777" w:rsidR="00E83ABA" w:rsidRPr="00B15AFF" w:rsidRDefault="00E83ABA" w:rsidP="00E83ABA">
      <w:pPr>
        <w:pStyle w:val="Normalnumber"/>
        <w:tabs>
          <w:tab w:val="clear" w:pos="624"/>
          <w:tab w:val="left" w:pos="540"/>
          <w:tab w:val="left" w:pos="1871"/>
          <w:tab w:val="left" w:pos="2495"/>
          <w:tab w:val="left" w:pos="3119"/>
        </w:tabs>
        <w:spacing w:after="90"/>
        <w:ind w:left="851" w:right="1172"/>
        <w:rPr>
          <w:sz w:val="24"/>
          <w:szCs w:val="24"/>
          <w:lang w:val="en-GB"/>
        </w:rPr>
      </w:pPr>
      <w:r w:rsidRPr="00B15AFF">
        <w:rPr>
          <w:sz w:val="24"/>
          <w:szCs w:val="24"/>
          <w:lang w:val="en-GB"/>
        </w:rPr>
        <w:t xml:space="preserve">The informal meeting was convened on the 12-13 of June in Vienna on the above mentioned basis. </w:t>
      </w:r>
    </w:p>
    <w:p w14:paraId="12A3CAD3" w14:textId="77777777" w:rsidR="00E83ABA" w:rsidRPr="00B15AFF" w:rsidRDefault="00E83ABA" w:rsidP="00E83ABA">
      <w:pPr>
        <w:tabs>
          <w:tab w:val="left" w:pos="540"/>
        </w:tabs>
        <w:spacing w:after="90"/>
        <w:ind w:left="851" w:right="1172"/>
        <w:jc w:val="both"/>
        <w:rPr>
          <w:b/>
          <w:lang w:val="en-GB"/>
        </w:rPr>
      </w:pPr>
      <w:r w:rsidRPr="00B15AFF">
        <w:rPr>
          <w:lang w:val="en-GB"/>
        </w:rPr>
        <w:t xml:space="preserve">The parties have recognised in their interventions the success of the Montreal Protocol and its institutions in phasing out ODSs.  </w:t>
      </w:r>
    </w:p>
    <w:p w14:paraId="30A8C464" w14:textId="77777777" w:rsidR="00E83ABA" w:rsidRPr="00B15AFF" w:rsidRDefault="00E83ABA" w:rsidP="00E83ABA">
      <w:pPr>
        <w:pStyle w:val="Default"/>
        <w:tabs>
          <w:tab w:val="left" w:pos="540"/>
        </w:tabs>
        <w:spacing w:after="90"/>
        <w:ind w:left="851" w:right="1172"/>
        <w:jc w:val="both"/>
        <w:rPr>
          <w:color w:val="auto"/>
          <w:lang w:val="en-GB"/>
        </w:rPr>
      </w:pPr>
      <w:r w:rsidRPr="00B15AFF">
        <w:rPr>
          <w:color w:val="auto"/>
          <w:lang w:val="en-GB"/>
        </w:rPr>
        <w:t>The management of HFCs is applicable to both A5 and non-A5 parties.</w:t>
      </w:r>
    </w:p>
    <w:p w14:paraId="5582EB98" w14:textId="77777777" w:rsidR="00E83ABA" w:rsidRPr="00B15AFF" w:rsidRDefault="00E83ABA" w:rsidP="00E83ABA">
      <w:pPr>
        <w:pStyle w:val="Default"/>
        <w:tabs>
          <w:tab w:val="left" w:pos="540"/>
        </w:tabs>
        <w:spacing w:after="90"/>
        <w:ind w:left="851" w:right="1172"/>
        <w:jc w:val="both"/>
        <w:rPr>
          <w:lang w:val="en-GB"/>
        </w:rPr>
      </w:pPr>
      <w:r w:rsidRPr="00B15AFF">
        <w:rPr>
          <w:lang w:val="en-GB"/>
        </w:rPr>
        <w:t>Parties agree that nothing should be considered agreed until everything is agreed.</w:t>
      </w:r>
    </w:p>
    <w:p w14:paraId="1A951A0F" w14:textId="77777777" w:rsidR="00E83ABA" w:rsidRPr="00B15AFF" w:rsidRDefault="00E83ABA" w:rsidP="00E83ABA">
      <w:pPr>
        <w:tabs>
          <w:tab w:val="left" w:pos="540"/>
        </w:tabs>
        <w:spacing w:after="90"/>
        <w:ind w:left="851" w:right="1172"/>
        <w:rPr>
          <w:lang w:val="en-GB"/>
        </w:rPr>
      </w:pPr>
      <w:r w:rsidRPr="00B15AFF">
        <w:rPr>
          <w:lang w:val="en-GB"/>
        </w:rPr>
        <w:t>Parties agree that they shall first resolve the challenges mentioned below by generating</w:t>
      </w:r>
      <w:r w:rsidRPr="00B15AFF">
        <w:rPr>
          <w:strike/>
          <w:lang w:val="en-GB"/>
        </w:rPr>
        <w:t xml:space="preserve"> </w:t>
      </w:r>
      <w:r w:rsidRPr="00B15AFF">
        <w:rPr>
          <w:lang w:val="en-GB"/>
        </w:rPr>
        <w:t>solutions in a contact group.</w:t>
      </w:r>
    </w:p>
    <w:p w14:paraId="6515843E" w14:textId="77777777" w:rsidR="00E83ABA" w:rsidRPr="00B15AFF" w:rsidRDefault="00E83ABA" w:rsidP="00E83ABA">
      <w:pPr>
        <w:numPr>
          <w:ilvl w:val="0"/>
          <w:numId w:val="2"/>
        </w:numPr>
        <w:tabs>
          <w:tab w:val="left" w:pos="540"/>
        </w:tabs>
        <w:spacing w:after="90"/>
        <w:ind w:left="851" w:right="1172" w:firstLine="0"/>
        <w:jc w:val="both"/>
        <w:rPr>
          <w:lang w:val="en-GB"/>
        </w:rPr>
      </w:pPr>
      <w:r w:rsidRPr="00B15AFF">
        <w:rPr>
          <w:lang w:val="en-GB"/>
        </w:rPr>
        <w:t>Relevance and recognition of the special situation of developing countries and the principles under the Montreal Protocol which have enabled sufficient additional time in the implementation of commitments by A5 countries,</w:t>
      </w:r>
    </w:p>
    <w:p w14:paraId="057F33B7" w14:textId="77777777" w:rsidR="00E83ABA" w:rsidRPr="00B15AFF" w:rsidRDefault="00E83ABA" w:rsidP="00E83ABA">
      <w:pPr>
        <w:pStyle w:val="ListParagraph"/>
        <w:ind w:left="851" w:right="1172"/>
        <w:jc w:val="both"/>
      </w:pPr>
      <w:r>
        <w:t>-</w:t>
      </w:r>
      <w:r>
        <w:tab/>
      </w:r>
      <w:r w:rsidRPr="00B15AFF">
        <w:t xml:space="preserve">Maintain the MLF as the financial mechanism, and to agree that additional financial resources will be provided by non-A5 parties to offset costs arising out of HFC management for A5 parties if obligations are agreed to.  In this regard, key elements for financial support from the MLF for A5 parties will be developed by the contact group to provide guidance to the </w:t>
      </w:r>
      <w:proofErr w:type="spellStart"/>
      <w:r w:rsidRPr="00B15AFF">
        <w:t>ExCom</w:t>
      </w:r>
      <w:proofErr w:type="spellEnd"/>
      <w:r w:rsidRPr="00B15AFF">
        <w:t xml:space="preserve"> of the MLF, taking into account the concerns of parties.</w:t>
      </w:r>
    </w:p>
    <w:p w14:paraId="7BEFAA40" w14:textId="77777777" w:rsidR="00E83ABA" w:rsidRPr="00B15AFF" w:rsidRDefault="00E83ABA" w:rsidP="00E83ABA">
      <w:pPr>
        <w:numPr>
          <w:ilvl w:val="0"/>
          <w:numId w:val="2"/>
        </w:numPr>
        <w:tabs>
          <w:tab w:val="left" w:pos="540"/>
        </w:tabs>
        <w:spacing w:after="90"/>
        <w:ind w:left="851" w:right="1172" w:firstLine="0"/>
        <w:jc w:val="both"/>
        <w:rPr>
          <w:lang w:val="en-GB"/>
        </w:rPr>
      </w:pPr>
      <w:r w:rsidRPr="00B15AFF">
        <w:rPr>
          <w:lang w:val="en-GB"/>
        </w:rPr>
        <w:t>The elements in paragraph 1(a) of decision XXVI/9 including IPR issues in considering the feasibility and the ways of managing HFCs,</w:t>
      </w:r>
    </w:p>
    <w:p w14:paraId="346350FD" w14:textId="77777777" w:rsidR="00E83ABA" w:rsidRPr="00B15AFF" w:rsidRDefault="00E83ABA" w:rsidP="00E83ABA">
      <w:pPr>
        <w:numPr>
          <w:ilvl w:val="0"/>
          <w:numId w:val="2"/>
        </w:numPr>
        <w:tabs>
          <w:tab w:val="left" w:pos="540"/>
        </w:tabs>
        <w:spacing w:after="90"/>
        <w:ind w:left="851" w:right="1172" w:firstLine="0"/>
        <w:jc w:val="both"/>
        <w:rPr>
          <w:lang w:val="en-GB"/>
        </w:rPr>
      </w:pPr>
      <w:r w:rsidRPr="00B15AFF">
        <w:rPr>
          <w:lang w:val="en-GB"/>
        </w:rPr>
        <w:t xml:space="preserve">Flexibility in implementation that enables countries to set their own strategies and set their own priorities in sectors and technologies, </w:t>
      </w:r>
    </w:p>
    <w:p w14:paraId="6126B793" w14:textId="77777777" w:rsidR="00E83ABA" w:rsidRPr="00B15AFF" w:rsidRDefault="00E83ABA" w:rsidP="00E83ABA">
      <w:pPr>
        <w:numPr>
          <w:ilvl w:val="0"/>
          <w:numId w:val="2"/>
        </w:numPr>
        <w:tabs>
          <w:tab w:val="left" w:pos="540"/>
        </w:tabs>
        <w:spacing w:after="90"/>
        <w:ind w:left="851" w:right="1172" w:firstLine="0"/>
        <w:jc w:val="both"/>
        <w:rPr>
          <w:lang w:val="en-GB"/>
        </w:rPr>
      </w:pPr>
      <w:r w:rsidRPr="00B15AFF">
        <w:rPr>
          <w:lang w:val="en-GB"/>
        </w:rPr>
        <w:t xml:space="preserve">Exemption process and a mechanism for periodic review of alternatives including the consideration of </w:t>
      </w:r>
      <w:r w:rsidRPr="00B15AFF">
        <w:rPr>
          <w:lang w:val="en-GB"/>
        </w:rPr>
        <w:lastRenderedPageBreak/>
        <w:t xml:space="preserve">availability or lack of availability of alternatives in all sectors in A5 countries and special needs for high ambient countries, based on all the elements listed in paragraph 1(a) of decision XXVI/9, </w:t>
      </w:r>
    </w:p>
    <w:p w14:paraId="255D6F0D" w14:textId="77777777" w:rsidR="00E83ABA" w:rsidRPr="00B15AFF" w:rsidRDefault="00E83ABA" w:rsidP="00E83ABA">
      <w:pPr>
        <w:numPr>
          <w:ilvl w:val="0"/>
          <w:numId w:val="2"/>
        </w:numPr>
        <w:tabs>
          <w:tab w:val="left" w:pos="540"/>
        </w:tabs>
        <w:spacing w:after="90"/>
        <w:ind w:left="851" w:right="1172" w:firstLine="0"/>
        <w:jc w:val="both"/>
        <w:rPr>
          <w:lang w:val="en-GB"/>
        </w:rPr>
      </w:pPr>
      <w:r w:rsidRPr="00B15AFF">
        <w:rPr>
          <w:lang w:val="en-GB"/>
        </w:rPr>
        <w:t>Relationship with the HCFC phase out,</w:t>
      </w:r>
    </w:p>
    <w:p w14:paraId="0C7A07BD" w14:textId="77777777" w:rsidR="00E83ABA" w:rsidRPr="00B15AFF" w:rsidRDefault="00E83ABA" w:rsidP="00E83ABA">
      <w:pPr>
        <w:numPr>
          <w:ilvl w:val="0"/>
          <w:numId w:val="2"/>
        </w:numPr>
        <w:tabs>
          <w:tab w:val="left" w:pos="540"/>
        </w:tabs>
        <w:spacing w:after="90"/>
        <w:ind w:left="851" w:right="1172" w:firstLine="0"/>
        <w:jc w:val="both"/>
        <w:rPr>
          <w:lang w:val="en-GB"/>
        </w:rPr>
      </w:pPr>
      <w:r w:rsidRPr="00B15AFF">
        <w:rPr>
          <w:lang w:val="en-GB"/>
        </w:rPr>
        <w:t xml:space="preserve">Non-party trade provisions, and  </w:t>
      </w:r>
    </w:p>
    <w:p w14:paraId="4087921C" w14:textId="77777777" w:rsidR="00E83ABA" w:rsidRPr="00B15AFF" w:rsidRDefault="00E83ABA" w:rsidP="00E83ABA">
      <w:pPr>
        <w:numPr>
          <w:ilvl w:val="0"/>
          <w:numId w:val="2"/>
        </w:numPr>
        <w:tabs>
          <w:tab w:val="left" w:pos="540"/>
        </w:tabs>
        <w:spacing w:after="90"/>
        <w:ind w:left="851" w:right="1172" w:firstLine="0"/>
        <w:jc w:val="both"/>
        <w:rPr>
          <w:lang w:val="en-GB"/>
        </w:rPr>
      </w:pPr>
      <w:r w:rsidRPr="00B15AFF">
        <w:rPr>
          <w:lang w:val="en-GB"/>
        </w:rPr>
        <w:t>Legal aspects, synergies and other issues related to the UNFCCC in the context of HFC management under the MP.</w:t>
      </w:r>
    </w:p>
    <w:p w14:paraId="2E71D112" w14:textId="72725083" w:rsidR="00E83ABA" w:rsidRDefault="00E83ABA" w:rsidP="00CB70C5">
      <w:pPr>
        <w:tabs>
          <w:tab w:val="left" w:pos="540"/>
        </w:tabs>
        <w:spacing w:after="90"/>
        <w:ind w:left="851" w:right="1172"/>
        <w:jc w:val="both"/>
        <w:rPr>
          <w:lang w:val="en-GB"/>
        </w:rPr>
      </w:pPr>
      <w:r w:rsidRPr="00B15AFF">
        <w:rPr>
          <w:lang w:val="en-GB"/>
        </w:rPr>
        <w:t xml:space="preserve">Then, the parties will discuss in the contact group the ways of managing HFCs including the amendment proposals submitted by the parties. </w:t>
      </w:r>
    </w:p>
    <w:p w14:paraId="2687B4A4" w14:textId="77777777" w:rsidR="00CB70C5" w:rsidRDefault="00CB70C5" w:rsidP="00CB70C5">
      <w:pPr>
        <w:tabs>
          <w:tab w:val="left" w:pos="540"/>
        </w:tabs>
        <w:spacing w:after="90"/>
        <w:ind w:left="851" w:right="1172"/>
        <w:jc w:val="both"/>
        <w:rPr>
          <w:lang w:val="en-GB"/>
        </w:rPr>
      </w:pPr>
    </w:p>
    <w:p w14:paraId="5F6E6C30" w14:textId="77777777" w:rsidR="00E83ABA" w:rsidRPr="000E2261" w:rsidRDefault="00E83ABA" w:rsidP="00E83ABA">
      <w:pPr>
        <w:pStyle w:val="ZZAnxtitle"/>
        <w:tabs>
          <w:tab w:val="clear" w:pos="1247"/>
          <w:tab w:val="clear" w:pos="1814"/>
          <w:tab w:val="clear" w:pos="2381"/>
          <w:tab w:val="clear" w:pos="2948"/>
          <w:tab w:val="clear" w:pos="3515"/>
        </w:tabs>
        <w:spacing w:after="240"/>
        <w:rPr>
          <w:b w:val="0"/>
          <w:i/>
          <w:lang w:val="en-GB"/>
        </w:rPr>
      </w:pPr>
      <w:r w:rsidRPr="000E2261">
        <w:rPr>
          <w:b w:val="0"/>
          <w:i/>
          <w:lang w:val="en-GB"/>
        </w:rPr>
        <w:t>Annex II of the report of the 35</w:t>
      </w:r>
      <w:r w:rsidRPr="000E2261">
        <w:rPr>
          <w:b w:val="0"/>
          <w:i/>
          <w:vertAlign w:val="superscript"/>
          <w:lang w:val="en-GB"/>
        </w:rPr>
        <w:t>th</w:t>
      </w:r>
      <w:r w:rsidRPr="000E2261">
        <w:rPr>
          <w:b w:val="0"/>
          <w:i/>
          <w:lang w:val="en-GB"/>
        </w:rPr>
        <w:t xml:space="preserve"> OEWG meeting</w:t>
      </w:r>
    </w:p>
    <w:p w14:paraId="2A3966AC" w14:textId="77777777" w:rsidR="00E83ABA" w:rsidRPr="00116C25" w:rsidRDefault="00E83ABA" w:rsidP="00E83ABA">
      <w:pPr>
        <w:pStyle w:val="ZZAnxtitle"/>
        <w:tabs>
          <w:tab w:val="clear" w:pos="1247"/>
          <w:tab w:val="clear" w:pos="1814"/>
          <w:tab w:val="clear" w:pos="2381"/>
          <w:tab w:val="clear" w:pos="2948"/>
          <w:tab w:val="clear" w:pos="3515"/>
        </w:tabs>
        <w:spacing w:after="240"/>
        <w:rPr>
          <w:lang w:val="en-GB"/>
        </w:rPr>
      </w:pPr>
      <w:r w:rsidRPr="00116C25">
        <w:rPr>
          <w:lang w:val="en-GB"/>
        </w:rPr>
        <w:t xml:space="preserve">Challenges to be addressed </w:t>
      </w:r>
    </w:p>
    <w:p w14:paraId="7724AA46"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Energy efficiency </w:t>
      </w:r>
    </w:p>
    <w:p w14:paraId="54A53ECF"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Funding requirements </w:t>
      </w:r>
    </w:p>
    <w:p w14:paraId="62675CF2"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Safety of substitutes </w:t>
      </w:r>
    </w:p>
    <w:p w14:paraId="32659046"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Availability of technologies </w:t>
      </w:r>
    </w:p>
    <w:p w14:paraId="7D5C9788"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Performance and challenges in high ambient temperatures </w:t>
      </w:r>
    </w:p>
    <w:p w14:paraId="642E2EE5"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Second and third conversions </w:t>
      </w:r>
    </w:p>
    <w:p w14:paraId="5AC9F602"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Capacity-building </w:t>
      </w:r>
    </w:p>
    <w:p w14:paraId="10EF9D5F"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Non-party trade provisions </w:t>
      </w:r>
    </w:p>
    <w:p w14:paraId="5374F58A"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Synergies with the United Nations Framework Convention on Climate Change (legal, financial aspects) </w:t>
      </w:r>
    </w:p>
    <w:p w14:paraId="48FC9988"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Relationship with the HCFC phase-out </w:t>
      </w:r>
    </w:p>
    <w:p w14:paraId="1D9ACD8D" w14:textId="77777777" w:rsidR="00E83ABA" w:rsidRPr="00116C25" w:rsidRDefault="00E83ABA" w:rsidP="00E83ABA">
      <w:pPr>
        <w:spacing w:after="60"/>
        <w:ind w:left="2495" w:hanging="624"/>
        <w:rPr>
          <w:lang w:val="en-GB"/>
        </w:rPr>
      </w:pPr>
      <w:r w:rsidRPr="00116C25">
        <w:rPr>
          <w:lang w:val="en-GB"/>
        </w:rPr>
        <w:t>•</w:t>
      </w:r>
      <w:r w:rsidRPr="00116C25">
        <w:rPr>
          <w:lang w:val="en-GB"/>
        </w:rPr>
        <w:tab/>
        <w:t>Ecological effects (effects on fauna and flora)</w:t>
      </w:r>
    </w:p>
    <w:p w14:paraId="56CC5737"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Implications for human health </w:t>
      </w:r>
    </w:p>
    <w:p w14:paraId="783AAD46"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Social implications </w:t>
      </w:r>
    </w:p>
    <w:p w14:paraId="7E163D87"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National policy implications </w:t>
      </w:r>
    </w:p>
    <w:p w14:paraId="364361D9"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Challenges to the production sector </w:t>
      </w:r>
    </w:p>
    <w:p w14:paraId="520D9AC5"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Rates of penetration of new alternatives </w:t>
      </w:r>
    </w:p>
    <w:p w14:paraId="6EF768B5" w14:textId="77777777" w:rsidR="00E83ABA" w:rsidRPr="00116C25" w:rsidRDefault="00E83ABA" w:rsidP="00E83ABA">
      <w:pPr>
        <w:spacing w:after="60"/>
        <w:ind w:left="2495" w:hanging="624"/>
        <w:rPr>
          <w:lang w:val="en-GB"/>
        </w:rPr>
      </w:pPr>
      <w:r w:rsidRPr="00116C25">
        <w:rPr>
          <w:lang w:val="en-GB"/>
        </w:rPr>
        <w:t>•</w:t>
      </w:r>
      <w:r w:rsidRPr="00116C25">
        <w:rPr>
          <w:lang w:val="en-GB"/>
        </w:rPr>
        <w:tab/>
        <w:t xml:space="preserve">Exemptions and ways to address lack of alternatives </w:t>
      </w:r>
    </w:p>
    <w:p w14:paraId="2478CC3C" w14:textId="77777777" w:rsidR="00E83ABA" w:rsidRPr="00116C25" w:rsidRDefault="00E83ABA" w:rsidP="00E83ABA">
      <w:pPr>
        <w:spacing w:after="60"/>
        <w:ind w:left="2495" w:hanging="624"/>
        <w:rPr>
          <w:highlight w:val="cyan"/>
          <w:lang w:val="en-GB"/>
        </w:rPr>
      </w:pPr>
      <w:r w:rsidRPr="00116C25">
        <w:rPr>
          <w:lang w:val="en-GB"/>
        </w:rPr>
        <w:t>•</w:t>
      </w:r>
      <w:r w:rsidRPr="00116C25">
        <w:rPr>
          <w:lang w:val="en-GB"/>
        </w:rPr>
        <w:tab/>
        <w:t>Technology transfer</w:t>
      </w:r>
      <w:r w:rsidRPr="00116C25">
        <w:rPr>
          <w:highlight w:val="cyan"/>
          <w:lang w:val="en-GB"/>
        </w:rPr>
        <w:t xml:space="preserve"> </w:t>
      </w:r>
    </w:p>
    <w:p w14:paraId="493FE39A" w14:textId="77777777" w:rsidR="00E83ABA" w:rsidRPr="00116C25" w:rsidRDefault="00E83ABA" w:rsidP="00E83ABA">
      <w:pPr>
        <w:spacing w:after="60"/>
        <w:ind w:left="2495" w:hanging="624"/>
        <w:rPr>
          <w:lang w:val="en-GB"/>
        </w:rPr>
      </w:pPr>
      <w:r w:rsidRPr="00116C25">
        <w:rPr>
          <w:lang w:val="en-GB"/>
        </w:rPr>
        <w:t>•</w:t>
      </w:r>
      <w:r w:rsidRPr="00116C25">
        <w:rPr>
          <w:lang w:val="en-GB"/>
        </w:rPr>
        <w:tab/>
        <w:t>Flexibility in implementation</w:t>
      </w:r>
    </w:p>
    <w:p w14:paraId="330B6190" w14:textId="77777777" w:rsidR="00E83ABA" w:rsidRPr="00116C25" w:rsidRDefault="00E83ABA" w:rsidP="00E83ABA">
      <w:pPr>
        <w:pStyle w:val="Normal-pool"/>
      </w:pPr>
    </w:p>
    <w:p w14:paraId="68022C98" w14:textId="3675A9F2" w:rsidR="00E83ABA" w:rsidRPr="00B15AFF" w:rsidRDefault="00CB70C5" w:rsidP="00CB70C5">
      <w:pPr>
        <w:rPr>
          <w:lang w:val="en-GB"/>
        </w:rPr>
      </w:pPr>
      <w:r>
        <w:rPr>
          <w:lang w:val="en-GB"/>
        </w:rPr>
        <w:br w:type="page"/>
      </w:r>
    </w:p>
    <w:p w14:paraId="0D8A79AA" w14:textId="77777777" w:rsidR="00CB70C5" w:rsidRDefault="00CB70C5" w:rsidP="00CB70C5">
      <w:pPr>
        <w:rPr>
          <w:rFonts w:ascii="Verdana" w:hAnsi="Verdana"/>
          <w:b/>
          <w:sz w:val="18"/>
          <w:szCs w:val="18"/>
        </w:rPr>
      </w:pPr>
      <w:r>
        <w:rPr>
          <w:rFonts w:ascii="Verdana" w:hAnsi="Verdana"/>
          <w:b/>
          <w:sz w:val="18"/>
          <w:szCs w:val="18"/>
        </w:rPr>
        <w:lastRenderedPageBreak/>
        <w:t>Annex 2</w:t>
      </w:r>
    </w:p>
    <w:p w14:paraId="5B0583E0" w14:textId="77777777" w:rsidR="00CB70C5" w:rsidRDefault="00CB70C5" w:rsidP="00CB70C5">
      <w:pPr>
        <w:rPr>
          <w:rFonts w:ascii="Verdana" w:hAnsi="Verdana"/>
          <w:b/>
          <w:sz w:val="18"/>
          <w:szCs w:val="18"/>
        </w:rPr>
      </w:pPr>
    </w:p>
    <w:p w14:paraId="146A2B87" w14:textId="7D8A97E2" w:rsidR="00CB70C5" w:rsidRPr="00124F99" w:rsidRDefault="00CB70C5" w:rsidP="00CB70C5">
      <w:pPr>
        <w:rPr>
          <w:rFonts w:ascii="Verdana" w:hAnsi="Verdana"/>
          <w:b/>
          <w:sz w:val="18"/>
          <w:szCs w:val="18"/>
        </w:rPr>
      </w:pPr>
      <w:r>
        <w:rPr>
          <w:rFonts w:ascii="Verdana" w:hAnsi="Verdana"/>
          <w:b/>
          <w:sz w:val="18"/>
          <w:szCs w:val="18"/>
        </w:rPr>
        <w:t xml:space="preserve">Issues raised and discussed in detail as part of the challenges during the contact group </w:t>
      </w:r>
      <w:r w:rsidR="000542E5">
        <w:rPr>
          <w:rFonts w:ascii="Verdana" w:hAnsi="Verdana"/>
          <w:b/>
          <w:sz w:val="18"/>
          <w:szCs w:val="18"/>
        </w:rPr>
        <w:t>will be further discussed</w:t>
      </w:r>
      <w:r w:rsidR="00696E0F">
        <w:rPr>
          <w:rFonts w:ascii="Verdana" w:hAnsi="Verdana"/>
          <w:b/>
          <w:sz w:val="18"/>
          <w:szCs w:val="18"/>
        </w:rPr>
        <w:t>,</w:t>
      </w:r>
      <w:r w:rsidR="000542E5">
        <w:rPr>
          <w:rFonts w:ascii="Verdana" w:hAnsi="Verdana"/>
          <w:b/>
          <w:sz w:val="18"/>
          <w:szCs w:val="18"/>
        </w:rPr>
        <w:t xml:space="preserve"> in direction consistent with the record of the discussion</w:t>
      </w:r>
      <w:r w:rsidR="00696E0F">
        <w:rPr>
          <w:rFonts w:ascii="Verdana" w:hAnsi="Verdana"/>
          <w:b/>
          <w:sz w:val="18"/>
          <w:szCs w:val="18"/>
        </w:rPr>
        <w:t>.</w:t>
      </w:r>
      <w:r w:rsidR="000542E5">
        <w:rPr>
          <w:rFonts w:ascii="Verdana" w:hAnsi="Verdana"/>
          <w:b/>
          <w:sz w:val="18"/>
          <w:szCs w:val="18"/>
        </w:rPr>
        <w:t xml:space="preserve"> </w:t>
      </w:r>
    </w:p>
    <w:p w14:paraId="7DA115D7" w14:textId="77777777" w:rsidR="00CB70C5" w:rsidRDefault="00CB70C5" w:rsidP="00CB70C5">
      <w:pPr>
        <w:rPr>
          <w:rFonts w:ascii="Verdana" w:hAnsi="Verdana"/>
          <w:b/>
          <w:sz w:val="18"/>
          <w:szCs w:val="18"/>
        </w:rPr>
      </w:pPr>
    </w:p>
    <w:p w14:paraId="4814996F" w14:textId="77777777" w:rsidR="00CB70C5" w:rsidRDefault="00CB70C5" w:rsidP="00CB70C5">
      <w:pPr>
        <w:rPr>
          <w:rFonts w:ascii="Verdana" w:hAnsi="Verdana"/>
          <w:b/>
          <w:sz w:val="18"/>
          <w:szCs w:val="18"/>
        </w:rPr>
      </w:pPr>
      <w:r>
        <w:rPr>
          <w:rFonts w:ascii="Verdana" w:hAnsi="Verdana"/>
          <w:b/>
          <w:sz w:val="18"/>
          <w:szCs w:val="18"/>
        </w:rPr>
        <w:t>Funding</w:t>
      </w:r>
    </w:p>
    <w:p w14:paraId="594F046D" w14:textId="77777777" w:rsidR="00CB70C5" w:rsidRPr="0079694F" w:rsidRDefault="00CB70C5" w:rsidP="00CB70C5">
      <w:pPr>
        <w:rPr>
          <w:rFonts w:ascii="Verdana" w:hAnsi="Verdana"/>
          <w:sz w:val="18"/>
          <w:szCs w:val="18"/>
        </w:rPr>
      </w:pPr>
      <w:r>
        <w:rPr>
          <w:rFonts w:ascii="Verdana" w:hAnsi="Verdana"/>
          <w:sz w:val="18"/>
          <w:szCs w:val="18"/>
        </w:rPr>
        <w:t>Maintain the MLF as the financial mechanism and agree that additional financial resources will be provided by non A5 parties to offset costs arising out of HFC management for A5 parties if obligations are agreed to.</w:t>
      </w:r>
    </w:p>
    <w:p w14:paraId="27CFE7C5" w14:textId="77777777" w:rsidR="00CB70C5" w:rsidRDefault="00CB70C5" w:rsidP="00CB70C5">
      <w:pPr>
        <w:rPr>
          <w:rFonts w:ascii="Verdana" w:hAnsi="Verdana"/>
          <w:b/>
          <w:sz w:val="18"/>
          <w:szCs w:val="18"/>
        </w:rPr>
      </w:pPr>
    </w:p>
    <w:p w14:paraId="47699FEA" w14:textId="77777777" w:rsidR="00CB70C5" w:rsidRPr="00762F07" w:rsidRDefault="00CB70C5" w:rsidP="00CB70C5">
      <w:pPr>
        <w:rPr>
          <w:rFonts w:ascii="Verdana" w:hAnsi="Verdana"/>
          <w:b/>
          <w:sz w:val="18"/>
          <w:szCs w:val="18"/>
        </w:rPr>
      </w:pPr>
      <w:r w:rsidRPr="00762F07">
        <w:rPr>
          <w:rFonts w:ascii="Verdana" w:hAnsi="Verdana"/>
          <w:b/>
          <w:sz w:val="18"/>
          <w:szCs w:val="18"/>
        </w:rPr>
        <w:t>Flexibility</w:t>
      </w:r>
    </w:p>
    <w:p w14:paraId="3A28B770" w14:textId="77777777" w:rsidR="00CB70C5" w:rsidRDefault="00CB70C5" w:rsidP="00CB70C5">
      <w:pPr>
        <w:rPr>
          <w:rFonts w:ascii="Verdana" w:hAnsi="Verdana"/>
          <w:sz w:val="18"/>
          <w:szCs w:val="18"/>
        </w:rPr>
      </w:pPr>
      <w:r>
        <w:rPr>
          <w:rFonts w:ascii="Verdana" w:hAnsi="Verdana"/>
          <w:sz w:val="18"/>
          <w:szCs w:val="18"/>
        </w:rPr>
        <w:t xml:space="preserve">A5 parties will have flexibility to prioritize HFCs, define sectors, select technologies/alternatives, elaborate and implement their strategies to meet agreed HFC obligations, based on their specific needs and national circumstances, following a country driven approach. </w:t>
      </w:r>
    </w:p>
    <w:p w14:paraId="47121EF3" w14:textId="77777777" w:rsidR="00CB70C5" w:rsidRDefault="00CB70C5" w:rsidP="00CB70C5">
      <w:pPr>
        <w:rPr>
          <w:rFonts w:ascii="Verdana" w:hAnsi="Verdana"/>
          <w:sz w:val="18"/>
          <w:szCs w:val="18"/>
        </w:rPr>
      </w:pPr>
      <w:r>
        <w:rPr>
          <w:rFonts w:ascii="Verdana" w:hAnsi="Verdana"/>
          <w:sz w:val="18"/>
          <w:szCs w:val="18"/>
        </w:rPr>
        <w:t xml:space="preserve">The </w:t>
      </w:r>
      <w:proofErr w:type="spellStart"/>
      <w:r>
        <w:rPr>
          <w:rFonts w:ascii="Verdana" w:hAnsi="Verdana"/>
          <w:sz w:val="18"/>
          <w:szCs w:val="18"/>
        </w:rPr>
        <w:t>ExCom</w:t>
      </w:r>
      <w:proofErr w:type="spellEnd"/>
      <w:r>
        <w:rPr>
          <w:rFonts w:ascii="Verdana" w:hAnsi="Verdana"/>
          <w:sz w:val="18"/>
          <w:szCs w:val="18"/>
        </w:rPr>
        <w:t xml:space="preserve"> shall incorporate the principle in the above mentioned paragraph in relevant guidelines and its decision making process.</w:t>
      </w:r>
    </w:p>
    <w:p w14:paraId="6DFB4469" w14:textId="77777777" w:rsidR="00CB70C5" w:rsidRDefault="00CB70C5" w:rsidP="00CB70C5">
      <w:pPr>
        <w:rPr>
          <w:rFonts w:ascii="Verdana" w:hAnsi="Verdana"/>
          <w:b/>
          <w:sz w:val="18"/>
          <w:szCs w:val="18"/>
        </w:rPr>
      </w:pPr>
    </w:p>
    <w:p w14:paraId="1D3A3343" w14:textId="77777777" w:rsidR="00CB70C5" w:rsidRPr="00762F07" w:rsidRDefault="00CB70C5" w:rsidP="00CB70C5">
      <w:pPr>
        <w:rPr>
          <w:rFonts w:ascii="Verdana" w:hAnsi="Verdana"/>
          <w:b/>
          <w:sz w:val="18"/>
          <w:szCs w:val="18"/>
        </w:rPr>
      </w:pPr>
      <w:r w:rsidRPr="00762F07">
        <w:rPr>
          <w:rFonts w:ascii="Verdana" w:hAnsi="Verdana"/>
          <w:b/>
          <w:sz w:val="18"/>
          <w:szCs w:val="18"/>
        </w:rPr>
        <w:t>2</w:t>
      </w:r>
      <w:r w:rsidRPr="00762F07">
        <w:rPr>
          <w:rFonts w:ascii="Verdana" w:hAnsi="Verdana"/>
          <w:b/>
          <w:sz w:val="18"/>
          <w:szCs w:val="18"/>
          <w:vertAlign w:val="superscript"/>
        </w:rPr>
        <w:t>nd</w:t>
      </w:r>
      <w:r w:rsidRPr="00762F07">
        <w:rPr>
          <w:rFonts w:ascii="Verdana" w:hAnsi="Verdana"/>
          <w:b/>
          <w:sz w:val="18"/>
          <w:szCs w:val="18"/>
        </w:rPr>
        <w:t xml:space="preserve"> and 3</w:t>
      </w:r>
      <w:r w:rsidRPr="00762F07">
        <w:rPr>
          <w:rFonts w:ascii="Verdana" w:hAnsi="Verdana"/>
          <w:b/>
          <w:sz w:val="18"/>
          <w:szCs w:val="18"/>
          <w:vertAlign w:val="superscript"/>
        </w:rPr>
        <w:t>rd</w:t>
      </w:r>
      <w:r w:rsidRPr="00762F07">
        <w:rPr>
          <w:rFonts w:ascii="Verdana" w:hAnsi="Verdana"/>
          <w:b/>
          <w:sz w:val="18"/>
          <w:szCs w:val="18"/>
        </w:rPr>
        <w:t xml:space="preserve"> conversions</w:t>
      </w:r>
    </w:p>
    <w:p w14:paraId="5CCD42CB" w14:textId="77777777" w:rsidR="00CB70C5" w:rsidRDefault="00CB70C5" w:rsidP="00CB70C5">
      <w:pPr>
        <w:rPr>
          <w:rFonts w:ascii="Verdana" w:hAnsi="Verdana"/>
          <w:sz w:val="18"/>
          <w:szCs w:val="18"/>
        </w:rPr>
      </w:pPr>
      <w:r>
        <w:rPr>
          <w:rFonts w:ascii="Verdana" w:hAnsi="Verdana"/>
          <w:sz w:val="18"/>
          <w:szCs w:val="18"/>
        </w:rPr>
        <w:t>Enterprises that have already converted to HFCs in phasing out CFCs and/or HCFCs will be eligible to receive funding from the MLF to meet agreed incremental costs in the same manner as enterprises eligible for 1</w:t>
      </w:r>
      <w:r w:rsidRPr="00CE1111">
        <w:rPr>
          <w:rFonts w:ascii="Verdana" w:hAnsi="Verdana"/>
          <w:sz w:val="18"/>
          <w:szCs w:val="18"/>
          <w:vertAlign w:val="superscript"/>
        </w:rPr>
        <w:t>st</w:t>
      </w:r>
      <w:r>
        <w:rPr>
          <w:rFonts w:ascii="Verdana" w:hAnsi="Verdana"/>
          <w:sz w:val="18"/>
          <w:szCs w:val="18"/>
        </w:rPr>
        <w:t xml:space="preserve"> conversions.</w:t>
      </w:r>
    </w:p>
    <w:p w14:paraId="5B7C53CC" w14:textId="77777777" w:rsidR="00CB70C5" w:rsidRDefault="00CB70C5" w:rsidP="00CB70C5">
      <w:pPr>
        <w:rPr>
          <w:rFonts w:ascii="Verdana" w:hAnsi="Verdana"/>
          <w:b/>
          <w:sz w:val="18"/>
          <w:szCs w:val="18"/>
        </w:rPr>
      </w:pPr>
    </w:p>
    <w:p w14:paraId="49883B17" w14:textId="77777777" w:rsidR="00CB70C5" w:rsidRDefault="00CB70C5" w:rsidP="00CB70C5">
      <w:pPr>
        <w:rPr>
          <w:rFonts w:ascii="Verdana" w:hAnsi="Verdana"/>
          <w:b/>
          <w:sz w:val="18"/>
          <w:szCs w:val="18"/>
        </w:rPr>
      </w:pPr>
      <w:r w:rsidRPr="000D7B2A">
        <w:rPr>
          <w:rFonts w:ascii="Verdana" w:hAnsi="Verdana"/>
          <w:b/>
          <w:sz w:val="18"/>
          <w:szCs w:val="18"/>
        </w:rPr>
        <w:t xml:space="preserve">Guidance to the </w:t>
      </w:r>
      <w:proofErr w:type="spellStart"/>
      <w:r w:rsidRPr="000D7B2A">
        <w:rPr>
          <w:rFonts w:ascii="Verdana" w:hAnsi="Verdana"/>
          <w:b/>
          <w:sz w:val="18"/>
          <w:szCs w:val="18"/>
        </w:rPr>
        <w:t>ExCom</w:t>
      </w:r>
      <w:proofErr w:type="spellEnd"/>
    </w:p>
    <w:p w14:paraId="0A4FB6ED" w14:textId="77777777" w:rsidR="00CB70C5" w:rsidRDefault="00CB70C5" w:rsidP="00CB70C5">
      <w:pPr>
        <w:rPr>
          <w:rFonts w:ascii="Verdana" w:hAnsi="Verdana"/>
          <w:sz w:val="18"/>
          <w:szCs w:val="18"/>
        </w:rPr>
      </w:pPr>
      <w:r>
        <w:rPr>
          <w:rFonts w:ascii="Verdana" w:hAnsi="Verdana"/>
          <w:sz w:val="18"/>
          <w:szCs w:val="18"/>
        </w:rPr>
        <w:t>It is understood that guidelines and/or methodologies will have to be developed on the following issues related to HFC control measures, if agreed:</w:t>
      </w:r>
    </w:p>
    <w:p w14:paraId="2F296635" w14:textId="77777777" w:rsidR="00CB70C5" w:rsidRDefault="00CB70C5" w:rsidP="00CB70C5">
      <w:pPr>
        <w:pStyle w:val="ListParagraph"/>
        <w:numPr>
          <w:ilvl w:val="0"/>
          <w:numId w:val="3"/>
        </w:numPr>
        <w:spacing w:after="200" w:line="276" w:lineRule="auto"/>
        <w:rPr>
          <w:rFonts w:ascii="Verdana" w:hAnsi="Verdana"/>
          <w:sz w:val="18"/>
          <w:szCs w:val="18"/>
        </w:rPr>
      </w:pPr>
      <w:r>
        <w:rPr>
          <w:rFonts w:ascii="Verdana" w:hAnsi="Verdana"/>
          <w:sz w:val="18"/>
          <w:szCs w:val="18"/>
        </w:rPr>
        <w:t>Determination of incremental costs</w:t>
      </w:r>
    </w:p>
    <w:p w14:paraId="6242DD5D" w14:textId="77777777" w:rsidR="00CB70C5" w:rsidRDefault="00CB70C5" w:rsidP="00CB70C5">
      <w:pPr>
        <w:pStyle w:val="ListParagraph"/>
        <w:numPr>
          <w:ilvl w:val="0"/>
          <w:numId w:val="3"/>
        </w:numPr>
        <w:spacing w:after="200" w:line="276" w:lineRule="auto"/>
        <w:rPr>
          <w:rFonts w:ascii="Verdana" w:hAnsi="Verdana"/>
          <w:sz w:val="18"/>
          <w:szCs w:val="18"/>
        </w:rPr>
      </w:pPr>
      <w:r>
        <w:rPr>
          <w:rFonts w:ascii="Verdana" w:hAnsi="Verdana"/>
          <w:sz w:val="18"/>
          <w:szCs w:val="18"/>
        </w:rPr>
        <w:t>Calculation of incremental costs</w:t>
      </w:r>
    </w:p>
    <w:p w14:paraId="3A331805" w14:textId="77777777" w:rsidR="00CB70C5" w:rsidRDefault="00CB70C5" w:rsidP="00CB70C5">
      <w:pPr>
        <w:pStyle w:val="ListParagraph"/>
        <w:numPr>
          <w:ilvl w:val="0"/>
          <w:numId w:val="3"/>
        </w:numPr>
        <w:spacing w:after="200" w:line="276" w:lineRule="auto"/>
        <w:rPr>
          <w:rFonts w:ascii="Verdana" w:hAnsi="Verdana"/>
          <w:sz w:val="18"/>
          <w:szCs w:val="18"/>
        </w:rPr>
      </w:pPr>
      <w:r>
        <w:rPr>
          <w:rFonts w:ascii="Verdana" w:hAnsi="Verdana"/>
          <w:sz w:val="18"/>
          <w:szCs w:val="18"/>
        </w:rPr>
        <w:t>Cost effectiveness thresholds</w:t>
      </w:r>
    </w:p>
    <w:p w14:paraId="552D4C7C" w14:textId="77777777" w:rsidR="00CB70C5" w:rsidRDefault="00CB70C5" w:rsidP="00CB70C5">
      <w:pPr>
        <w:pStyle w:val="ListParagraph"/>
        <w:numPr>
          <w:ilvl w:val="0"/>
          <w:numId w:val="3"/>
        </w:numPr>
        <w:spacing w:after="200" w:line="276" w:lineRule="auto"/>
        <w:rPr>
          <w:rFonts w:ascii="Verdana" w:hAnsi="Verdana"/>
          <w:sz w:val="18"/>
          <w:szCs w:val="18"/>
        </w:rPr>
      </w:pPr>
      <w:r>
        <w:rPr>
          <w:rFonts w:ascii="Verdana" w:hAnsi="Verdana"/>
          <w:sz w:val="18"/>
          <w:szCs w:val="18"/>
        </w:rPr>
        <w:t>Energy efficiency and climate impacts of projects</w:t>
      </w:r>
    </w:p>
    <w:p w14:paraId="45DC14A0" w14:textId="77777777" w:rsidR="00CB70C5" w:rsidRDefault="00CB70C5" w:rsidP="00CB70C5">
      <w:pPr>
        <w:rPr>
          <w:rFonts w:ascii="Verdana" w:hAnsi="Verdana"/>
          <w:b/>
          <w:sz w:val="18"/>
          <w:szCs w:val="18"/>
        </w:rPr>
      </w:pPr>
      <w:r w:rsidRPr="000D7B2A">
        <w:rPr>
          <w:rFonts w:ascii="Verdana" w:hAnsi="Verdana"/>
          <w:b/>
          <w:sz w:val="18"/>
          <w:szCs w:val="18"/>
        </w:rPr>
        <w:t>Enabling activities</w:t>
      </w:r>
    </w:p>
    <w:p w14:paraId="27102753" w14:textId="77777777" w:rsidR="00CB70C5" w:rsidRPr="000842AA" w:rsidRDefault="00CB70C5" w:rsidP="00CB70C5">
      <w:pPr>
        <w:rPr>
          <w:rFonts w:ascii="Verdana" w:hAnsi="Verdana"/>
          <w:sz w:val="18"/>
          <w:szCs w:val="18"/>
        </w:rPr>
      </w:pPr>
      <w:r>
        <w:rPr>
          <w:rFonts w:ascii="Verdana" w:hAnsi="Verdana"/>
          <w:sz w:val="18"/>
          <w:szCs w:val="18"/>
        </w:rPr>
        <w:t>Enabling activities will be supported by the MLF in any HFC phase down agreement.</w:t>
      </w:r>
    </w:p>
    <w:p w14:paraId="31C175E4" w14:textId="77777777" w:rsidR="00CB70C5" w:rsidRDefault="00CB70C5" w:rsidP="00CB70C5">
      <w:pPr>
        <w:pStyle w:val="ListParagraph"/>
        <w:numPr>
          <w:ilvl w:val="0"/>
          <w:numId w:val="4"/>
        </w:numPr>
        <w:spacing w:after="200" w:line="276" w:lineRule="auto"/>
        <w:rPr>
          <w:rFonts w:ascii="Verdana" w:hAnsi="Verdana"/>
          <w:sz w:val="18"/>
          <w:szCs w:val="18"/>
        </w:rPr>
      </w:pPr>
      <w:r w:rsidRPr="000D7B2A">
        <w:rPr>
          <w:rFonts w:ascii="Verdana" w:hAnsi="Verdana"/>
          <w:sz w:val="18"/>
          <w:szCs w:val="18"/>
        </w:rPr>
        <w:t xml:space="preserve">Capacity building and training for handling </w:t>
      </w:r>
      <w:r>
        <w:rPr>
          <w:rFonts w:ascii="Verdana" w:hAnsi="Verdana"/>
          <w:sz w:val="18"/>
          <w:szCs w:val="18"/>
        </w:rPr>
        <w:t xml:space="preserve">HFC </w:t>
      </w:r>
      <w:r w:rsidRPr="000D7B2A">
        <w:rPr>
          <w:rFonts w:ascii="Verdana" w:hAnsi="Verdana"/>
          <w:sz w:val="18"/>
          <w:szCs w:val="18"/>
        </w:rPr>
        <w:t>alternatives in the servicing sector</w:t>
      </w:r>
      <w:r>
        <w:rPr>
          <w:rFonts w:ascii="Verdana" w:hAnsi="Verdana"/>
          <w:sz w:val="18"/>
          <w:szCs w:val="18"/>
        </w:rPr>
        <w:t>,</w:t>
      </w:r>
      <w:r w:rsidRPr="000D7B2A">
        <w:rPr>
          <w:rFonts w:ascii="Verdana" w:hAnsi="Verdana"/>
          <w:sz w:val="18"/>
          <w:szCs w:val="18"/>
        </w:rPr>
        <w:t xml:space="preserve"> the manufacturing </w:t>
      </w:r>
      <w:r>
        <w:rPr>
          <w:rFonts w:ascii="Verdana" w:hAnsi="Verdana"/>
          <w:sz w:val="18"/>
          <w:szCs w:val="18"/>
        </w:rPr>
        <w:t xml:space="preserve">and production </w:t>
      </w:r>
      <w:r w:rsidRPr="000D7B2A">
        <w:rPr>
          <w:rFonts w:ascii="Verdana" w:hAnsi="Verdana"/>
          <w:sz w:val="18"/>
          <w:szCs w:val="18"/>
        </w:rPr>
        <w:t>sectors</w:t>
      </w:r>
    </w:p>
    <w:p w14:paraId="65D48464" w14:textId="77777777" w:rsidR="00CB70C5" w:rsidRDefault="00CB70C5" w:rsidP="00CB70C5">
      <w:pPr>
        <w:pStyle w:val="ListParagraph"/>
        <w:numPr>
          <w:ilvl w:val="0"/>
          <w:numId w:val="4"/>
        </w:numPr>
        <w:spacing w:after="200" w:line="276" w:lineRule="auto"/>
        <w:rPr>
          <w:rFonts w:ascii="Verdana" w:hAnsi="Verdana"/>
          <w:sz w:val="18"/>
          <w:szCs w:val="18"/>
        </w:rPr>
      </w:pPr>
      <w:r>
        <w:rPr>
          <w:rFonts w:ascii="Verdana" w:hAnsi="Verdana"/>
          <w:sz w:val="18"/>
          <w:szCs w:val="18"/>
        </w:rPr>
        <w:t>Institutional Strengthening</w:t>
      </w:r>
    </w:p>
    <w:p w14:paraId="24E7E4FE" w14:textId="77777777" w:rsidR="00CB70C5" w:rsidRDefault="00CB70C5" w:rsidP="00CB70C5">
      <w:pPr>
        <w:pStyle w:val="ListParagraph"/>
        <w:numPr>
          <w:ilvl w:val="0"/>
          <w:numId w:val="4"/>
        </w:numPr>
        <w:spacing w:after="200" w:line="276" w:lineRule="auto"/>
        <w:rPr>
          <w:rFonts w:ascii="Verdana" w:hAnsi="Verdana"/>
          <w:sz w:val="18"/>
          <w:szCs w:val="18"/>
        </w:rPr>
      </w:pPr>
      <w:r>
        <w:rPr>
          <w:rFonts w:ascii="Verdana" w:hAnsi="Verdana"/>
          <w:sz w:val="18"/>
          <w:szCs w:val="18"/>
        </w:rPr>
        <w:t xml:space="preserve">Article 4b Licensing </w:t>
      </w:r>
    </w:p>
    <w:p w14:paraId="6F48B6FE" w14:textId="77777777" w:rsidR="00CB70C5" w:rsidRDefault="00CB70C5" w:rsidP="00CB70C5">
      <w:pPr>
        <w:pStyle w:val="ListParagraph"/>
        <w:numPr>
          <w:ilvl w:val="0"/>
          <w:numId w:val="4"/>
        </w:numPr>
        <w:spacing w:after="200" w:line="276" w:lineRule="auto"/>
        <w:rPr>
          <w:rFonts w:ascii="Verdana" w:hAnsi="Verdana"/>
          <w:sz w:val="18"/>
          <w:szCs w:val="18"/>
        </w:rPr>
      </w:pPr>
      <w:r>
        <w:rPr>
          <w:rFonts w:ascii="Verdana" w:hAnsi="Verdana"/>
          <w:sz w:val="18"/>
          <w:szCs w:val="18"/>
        </w:rPr>
        <w:t>Reporting</w:t>
      </w:r>
    </w:p>
    <w:p w14:paraId="53A11C7E" w14:textId="77777777" w:rsidR="00CB70C5" w:rsidRDefault="00CB70C5" w:rsidP="00CB70C5">
      <w:pPr>
        <w:pStyle w:val="ListParagraph"/>
        <w:numPr>
          <w:ilvl w:val="0"/>
          <w:numId w:val="4"/>
        </w:numPr>
        <w:spacing w:after="200" w:line="276" w:lineRule="auto"/>
        <w:rPr>
          <w:rFonts w:ascii="Verdana" w:hAnsi="Verdana"/>
          <w:sz w:val="18"/>
          <w:szCs w:val="18"/>
        </w:rPr>
      </w:pPr>
      <w:r>
        <w:rPr>
          <w:rFonts w:ascii="Verdana" w:hAnsi="Verdana"/>
          <w:sz w:val="18"/>
          <w:szCs w:val="18"/>
        </w:rPr>
        <w:t>Demonstration projects</w:t>
      </w:r>
    </w:p>
    <w:p w14:paraId="2BB7B6C7" w14:textId="51B045CB" w:rsidR="00CB70C5" w:rsidRPr="00CB70C5" w:rsidRDefault="00CB70C5" w:rsidP="00CB70C5">
      <w:pPr>
        <w:pStyle w:val="ListParagraph"/>
        <w:numPr>
          <w:ilvl w:val="0"/>
          <w:numId w:val="4"/>
        </w:numPr>
        <w:spacing w:after="200" w:line="276" w:lineRule="auto"/>
        <w:rPr>
          <w:rFonts w:ascii="Verdana" w:hAnsi="Verdana"/>
          <w:sz w:val="18"/>
          <w:szCs w:val="18"/>
        </w:rPr>
      </w:pPr>
      <w:r>
        <w:rPr>
          <w:rFonts w:ascii="Verdana" w:hAnsi="Verdana"/>
          <w:sz w:val="18"/>
          <w:szCs w:val="18"/>
        </w:rPr>
        <w:t>Developing national strategies</w:t>
      </w:r>
    </w:p>
    <w:p w14:paraId="41EBAD36" w14:textId="77777777" w:rsidR="00CB70C5" w:rsidRPr="00C57567" w:rsidRDefault="00CB70C5" w:rsidP="00CB70C5">
      <w:pPr>
        <w:rPr>
          <w:rFonts w:ascii="Verdana" w:hAnsi="Verdana"/>
          <w:b/>
          <w:sz w:val="18"/>
          <w:szCs w:val="18"/>
        </w:rPr>
      </w:pPr>
      <w:r>
        <w:rPr>
          <w:rFonts w:ascii="Verdana" w:hAnsi="Verdana"/>
          <w:b/>
          <w:sz w:val="18"/>
          <w:szCs w:val="18"/>
        </w:rPr>
        <w:t xml:space="preserve">HAT Exemption </w:t>
      </w:r>
    </w:p>
    <w:p w14:paraId="0960BDF2" w14:textId="77777777" w:rsidR="00CB70C5" w:rsidRDefault="00CB70C5" w:rsidP="00CB70C5">
      <w:pPr>
        <w:rPr>
          <w:rFonts w:ascii="Verdana" w:hAnsi="Verdana"/>
          <w:sz w:val="18"/>
          <w:szCs w:val="18"/>
        </w:rPr>
      </w:pPr>
      <w:r>
        <w:rPr>
          <w:rFonts w:ascii="Verdana" w:hAnsi="Verdana"/>
          <w:sz w:val="18"/>
          <w:szCs w:val="18"/>
        </w:rPr>
        <w:t>The need for an exemption for high ambient temperature countries</w:t>
      </w:r>
    </w:p>
    <w:p w14:paraId="5F63B1C6" w14:textId="77777777" w:rsidR="00CB70C5" w:rsidRDefault="00CB70C5" w:rsidP="00CB70C5">
      <w:pPr>
        <w:rPr>
          <w:rFonts w:ascii="Verdana" w:hAnsi="Verdana"/>
          <w:sz w:val="18"/>
          <w:szCs w:val="18"/>
        </w:rPr>
      </w:pPr>
    </w:p>
    <w:p w14:paraId="0EA7D000" w14:textId="77777777" w:rsidR="00CB70C5" w:rsidRDefault="00CB70C5" w:rsidP="00CB70C5">
      <w:pPr>
        <w:rPr>
          <w:rFonts w:ascii="Verdana" w:hAnsi="Verdana"/>
          <w:sz w:val="18"/>
          <w:szCs w:val="18"/>
        </w:rPr>
      </w:pPr>
      <w:r>
        <w:rPr>
          <w:rFonts w:ascii="Verdana" w:hAnsi="Verdana"/>
          <w:sz w:val="18"/>
          <w:szCs w:val="18"/>
        </w:rPr>
        <w:t xml:space="preserve">It is understood that the remaining challenges will be further discussed. </w:t>
      </w:r>
    </w:p>
    <w:p w14:paraId="5DEC1C61" w14:textId="77777777" w:rsidR="00E83ABA" w:rsidRDefault="00E83ABA" w:rsidP="00E83ABA"/>
    <w:sectPr w:rsidR="00E83ABA" w:rsidSect="00FD757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5265F"/>
    <w:multiLevelType w:val="hybridMultilevel"/>
    <w:tmpl w:val="B83A244E"/>
    <w:lvl w:ilvl="0" w:tplc="BC98CC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231399"/>
    <w:multiLevelType w:val="hybridMultilevel"/>
    <w:tmpl w:val="2F52C5E0"/>
    <w:lvl w:ilvl="0" w:tplc="DD1ABE1A">
      <w:start w:val="1"/>
      <w:numFmt w:val="bullet"/>
      <w:lvlText w:val="-"/>
      <w:lvlJc w:val="left"/>
      <w:pPr>
        <w:ind w:left="360" w:hanging="360"/>
      </w:pPr>
      <w:rPr>
        <w:rFonts w:ascii="Verdana" w:eastAsiaTheme="minorHAnsi" w:hAnsi="Verdana"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4187224D"/>
    <w:multiLevelType w:val="hybridMultilevel"/>
    <w:tmpl w:val="6652B1E8"/>
    <w:lvl w:ilvl="0" w:tplc="40CADC6A">
      <w:numFmt w:val="bullet"/>
      <w:lvlText w:val="-"/>
      <w:lvlJc w:val="left"/>
      <w:pPr>
        <w:ind w:left="720" w:hanging="360"/>
      </w:pPr>
      <w:rPr>
        <w:rFonts w:ascii="Calibri" w:eastAsia="Cambria" w:hAnsi="Calibri"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E94DC8"/>
    <w:multiLevelType w:val="hybridMultilevel"/>
    <w:tmpl w:val="864202A2"/>
    <w:lvl w:ilvl="0" w:tplc="DD1ABE1A">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hideSpellingErrors/>
  <w:hideGrammatical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014"/>
    <w:rsid w:val="00006E02"/>
    <w:rsid w:val="00025787"/>
    <w:rsid w:val="000305AA"/>
    <w:rsid w:val="000542E5"/>
    <w:rsid w:val="00075904"/>
    <w:rsid w:val="001555C1"/>
    <w:rsid w:val="00172E62"/>
    <w:rsid w:val="001930E4"/>
    <w:rsid w:val="001A10EE"/>
    <w:rsid w:val="001D11D7"/>
    <w:rsid w:val="001F168F"/>
    <w:rsid w:val="002351A7"/>
    <w:rsid w:val="0027264A"/>
    <w:rsid w:val="002F2EB1"/>
    <w:rsid w:val="0030694E"/>
    <w:rsid w:val="00334CC8"/>
    <w:rsid w:val="003B3278"/>
    <w:rsid w:val="0043146D"/>
    <w:rsid w:val="004460A8"/>
    <w:rsid w:val="00496F57"/>
    <w:rsid w:val="004D4D40"/>
    <w:rsid w:val="00575B62"/>
    <w:rsid w:val="005C0AB2"/>
    <w:rsid w:val="006200BC"/>
    <w:rsid w:val="00696E0F"/>
    <w:rsid w:val="006A6B43"/>
    <w:rsid w:val="00704104"/>
    <w:rsid w:val="007A3325"/>
    <w:rsid w:val="00861D1B"/>
    <w:rsid w:val="00863014"/>
    <w:rsid w:val="00867FE0"/>
    <w:rsid w:val="00894B0F"/>
    <w:rsid w:val="009577DF"/>
    <w:rsid w:val="009876B6"/>
    <w:rsid w:val="00990B06"/>
    <w:rsid w:val="00A965F0"/>
    <w:rsid w:val="00B12599"/>
    <w:rsid w:val="00BB3013"/>
    <w:rsid w:val="00BF1D1C"/>
    <w:rsid w:val="00CB70C5"/>
    <w:rsid w:val="00CF3565"/>
    <w:rsid w:val="00D07A42"/>
    <w:rsid w:val="00DA78BE"/>
    <w:rsid w:val="00DC6A00"/>
    <w:rsid w:val="00DD633F"/>
    <w:rsid w:val="00E154F4"/>
    <w:rsid w:val="00E83ABA"/>
    <w:rsid w:val="00F05BFD"/>
    <w:rsid w:val="00F44251"/>
    <w:rsid w:val="00F753F0"/>
    <w:rsid w:val="00FD71A3"/>
    <w:rsid w:val="00FD75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7C0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014"/>
    <w:pPr>
      <w:ind w:left="720"/>
      <w:contextualSpacing/>
    </w:pPr>
  </w:style>
  <w:style w:type="paragraph" w:styleId="BalloonText">
    <w:name w:val="Balloon Text"/>
    <w:basedOn w:val="Normal"/>
    <w:link w:val="BalloonTextChar"/>
    <w:uiPriority w:val="99"/>
    <w:semiHidden/>
    <w:unhideWhenUsed/>
    <w:rsid w:val="00704104"/>
    <w:rPr>
      <w:rFonts w:ascii="Tahoma" w:hAnsi="Tahoma" w:cs="Tahoma"/>
      <w:sz w:val="16"/>
      <w:szCs w:val="16"/>
    </w:rPr>
  </w:style>
  <w:style w:type="character" w:customStyle="1" w:styleId="BalloonTextChar">
    <w:name w:val="Balloon Text Char"/>
    <w:basedOn w:val="DefaultParagraphFont"/>
    <w:link w:val="BalloonText"/>
    <w:uiPriority w:val="99"/>
    <w:semiHidden/>
    <w:rsid w:val="00704104"/>
    <w:rPr>
      <w:rFonts w:ascii="Tahoma" w:hAnsi="Tahoma" w:cs="Tahoma"/>
      <w:sz w:val="16"/>
      <w:szCs w:val="16"/>
    </w:rPr>
  </w:style>
  <w:style w:type="paragraph" w:customStyle="1" w:styleId="Normalnumber">
    <w:name w:val="Normal_number"/>
    <w:basedOn w:val="Normal"/>
    <w:link w:val="NormalnumberChar"/>
    <w:rsid w:val="00E83ABA"/>
    <w:pPr>
      <w:tabs>
        <w:tab w:val="left" w:pos="624"/>
      </w:tabs>
      <w:spacing w:after="120"/>
    </w:pPr>
    <w:rPr>
      <w:rFonts w:ascii="Times New Roman" w:eastAsia="Times New Roman" w:hAnsi="Times New Roman" w:cs="Times New Roman"/>
      <w:sz w:val="20"/>
      <w:szCs w:val="20"/>
    </w:rPr>
  </w:style>
  <w:style w:type="paragraph" w:customStyle="1" w:styleId="ZZAnxtitle">
    <w:name w:val="ZZ_Anx_title"/>
    <w:basedOn w:val="Normal"/>
    <w:rsid w:val="00E83ABA"/>
    <w:pPr>
      <w:tabs>
        <w:tab w:val="left" w:pos="1247"/>
        <w:tab w:val="left" w:pos="1814"/>
        <w:tab w:val="left" w:pos="2381"/>
        <w:tab w:val="left" w:pos="2948"/>
        <w:tab w:val="left" w:pos="3515"/>
      </w:tabs>
      <w:spacing w:before="360" w:after="120"/>
      <w:ind w:left="1247"/>
    </w:pPr>
    <w:rPr>
      <w:rFonts w:ascii="Times New Roman" w:eastAsia="Times New Roman" w:hAnsi="Times New Roman" w:cs="Times New Roman"/>
      <w:b/>
      <w:bCs/>
      <w:sz w:val="28"/>
      <w:szCs w:val="26"/>
      <w:lang w:val="fr-FR"/>
    </w:rPr>
  </w:style>
  <w:style w:type="character" w:customStyle="1" w:styleId="NormalnumberChar">
    <w:name w:val="Normal_number Char"/>
    <w:link w:val="Normalnumber"/>
    <w:locked/>
    <w:rsid w:val="00E83ABA"/>
    <w:rPr>
      <w:rFonts w:ascii="Times New Roman" w:eastAsia="Times New Roman" w:hAnsi="Times New Roman" w:cs="Times New Roman"/>
      <w:sz w:val="20"/>
      <w:szCs w:val="20"/>
    </w:rPr>
  </w:style>
  <w:style w:type="paragraph" w:customStyle="1" w:styleId="Default">
    <w:name w:val="Default"/>
    <w:rsid w:val="00E83ABA"/>
    <w:pPr>
      <w:autoSpaceDE w:val="0"/>
      <w:autoSpaceDN w:val="0"/>
      <w:adjustRightInd w:val="0"/>
    </w:pPr>
    <w:rPr>
      <w:rFonts w:ascii="Times New Roman" w:eastAsia="Cambria" w:hAnsi="Times New Roman" w:cs="Times New Roman"/>
      <w:color w:val="000000"/>
    </w:rPr>
  </w:style>
  <w:style w:type="paragraph" w:customStyle="1" w:styleId="Normal-pool">
    <w:name w:val="Normal-pool"/>
    <w:rsid w:val="00E83ABA"/>
    <w:pPr>
      <w:tabs>
        <w:tab w:val="left" w:pos="1247"/>
        <w:tab w:val="left" w:pos="1814"/>
        <w:tab w:val="left" w:pos="2381"/>
        <w:tab w:val="left" w:pos="2948"/>
        <w:tab w:val="left" w:pos="3515"/>
        <w:tab w:val="left" w:pos="4082"/>
      </w:tabs>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014"/>
    <w:pPr>
      <w:ind w:left="720"/>
      <w:contextualSpacing/>
    </w:pPr>
  </w:style>
  <w:style w:type="paragraph" w:styleId="BalloonText">
    <w:name w:val="Balloon Text"/>
    <w:basedOn w:val="Normal"/>
    <w:link w:val="BalloonTextChar"/>
    <w:uiPriority w:val="99"/>
    <w:semiHidden/>
    <w:unhideWhenUsed/>
    <w:rsid w:val="00704104"/>
    <w:rPr>
      <w:rFonts w:ascii="Tahoma" w:hAnsi="Tahoma" w:cs="Tahoma"/>
      <w:sz w:val="16"/>
      <w:szCs w:val="16"/>
    </w:rPr>
  </w:style>
  <w:style w:type="character" w:customStyle="1" w:styleId="BalloonTextChar">
    <w:name w:val="Balloon Text Char"/>
    <w:basedOn w:val="DefaultParagraphFont"/>
    <w:link w:val="BalloonText"/>
    <w:uiPriority w:val="99"/>
    <w:semiHidden/>
    <w:rsid w:val="00704104"/>
    <w:rPr>
      <w:rFonts w:ascii="Tahoma" w:hAnsi="Tahoma" w:cs="Tahoma"/>
      <w:sz w:val="16"/>
      <w:szCs w:val="16"/>
    </w:rPr>
  </w:style>
  <w:style w:type="paragraph" w:customStyle="1" w:styleId="Normalnumber">
    <w:name w:val="Normal_number"/>
    <w:basedOn w:val="Normal"/>
    <w:link w:val="NormalnumberChar"/>
    <w:rsid w:val="00E83ABA"/>
    <w:pPr>
      <w:tabs>
        <w:tab w:val="left" w:pos="624"/>
      </w:tabs>
      <w:spacing w:after="120"/>
    </w:pPr>
    <w:rPr>
      <w:rFonts w:ascii="Times New Roman" w:eastAsia="Times New Roman" w:hAnsi="Times New Roman" w:cs="Times New Roman"/>
      <w:sz w:val="20"/>
      <w:szCs w:val="20"/>
    </w:rPr>
  </w:style>
  <w:style w:type="paragraph" w:customStyle="1" w:styleId="ZZAnxtitle">
    <w:name w:val="ZZ_Anx_title"/>
    <w:basedOn w:val="Normal"/>
    <w:rsid w:val="00E83ABA"/>
    <w:pPr>
      <w:tabs>
        <w:tab w:val="left" w:pos="1247"/>
        <w:tab w:val="left" w:pos="1814"/>
        <w:tab w:val="left" w:pos="2381"/>
        <w:tab w:val="left" w:pos="2948"/>
        <w:tab w:val="left" w:pos="3515"/>
      </w:tabs>
      <w:spacing w:before="360" w:after="120"/>
      <w:ind w:left="1247"/>
    </w:pPr>
    <w:rPr>
      <w:rFonts w:ascii="Times New Roman" w:eastAsia="Times New Roman" w:hAnsi="Times New Roman" w:cs="Times New Roman"/>
      <w:b/>
      <w:bCs/>
      <w:sz w:val="28"/>
      <w:szCs w:val="26"/>
      <w:lang w:val="fr-FR"/>
    </w:rPr>
  </w:style>
  <w:style w:type="character" w:customStyle="1" w:styleId="NormalnumberChar">
    <w:name w:val="Normal_number Char"/>
    <w:link w:val="Normalnumber"/>
    <w:locked/>
    <w:rsid w:val="00E83ABA"/>
    <w:rPr>
      <w:rFonts w:ascii="Times New Roman" w:eastAsia="Times New Roman" w:hAnsi="Times New Roman" w:cs="Times New Roman"/>
      <w:sz w:val="20"/>
      <w:szCs w:val="20"/>
    </w:rPr>
  </w:style>
  <w:style w:type="paragraph" w:customStyle="1" w:styleId="Default">
    <w:name w:val="Default"/>
    <w:rsid w:val="00E83ABA"/>
    <w:pPr>
      <w:autoSpaceDE w:val="0"/>
      <w:autoSpaceDN w:val="0"/>
      <w:adjustRightInd w:val="0"/>
    </w:pPr>
    <w:rPr>
      <w:rFonts w:ascii="Times New Roman" w:eastAsia="Cambria" w:hAnsi="Times New Roman" w:cs="Times New Roman"/>
      <w:color w:val="000000"/>
    </w:rPr>
  </w:style>
  <w:style w:type="paragraph" w:customStyle="1" w:styleId="Normal-pool">
    <w:name w:val="Normal-pool"/>
    <w:rsid w:val="00E83ABA"/>
    <w:pPr>
      <w:tabs>
        <w:tab w:val="left" w:pos="1247"/>
        <w:tab w:val="left" w:pos="1814"/>
        <w:tab w:val="left" w:pos="2381"/>
        <w:tab w:val="left" w:pos="2948"/>
        <w:tab w:val="left" w:pos="3515"/>
        <w:tab w:val="left" w:pos="4082"/>
      </w:tabs>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A5028697DC3145AFD5BA725BF32397" ma:contentTypeVersion="" ma:contentTypeDescription="Create a new document." ma:contentTypeScope="" ma:versionID="44c068c95a9453bdce2b87fefc4612e9">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763BA2-9CB7-4C51-B98A-FE40D11A6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E84C191-0604-4BA8-8A8F-18D5EA2311AD}">
  <ds:schemaRefs>
    <ds:schemaRef ds:uri="http://schemas.microsoft.com/sharepoint/v3/contenttype/forms"/>
  </ds:schemaRefs>
</ds:datastoreItem>
</file>

<file path=customXml/itemProps3.xml><?xml version="1.0" encoding="utf-8"?>
<ds:datastoreItem xmlns:ds="http://schemas.openxmlformats.org/officeDocument/2006/customXml" ds:itemID="{BCF20708-567B-445A-8ECD-CF8C66645FBA}">
  <ds:schemaRefs>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Gabriel</dc:creator>
  <cp:lastModifiedBy>HP TFC-43</cp:lastModifiedBy>
  <cp:revision>2</cp:revision>
  <cp:lastPrinted>2015-11-05T11:35:00Z</cp:lastPrinted>
  <dcterms:created xsi:type="dcterms:W3CDTF">2015-11-05T21:14:00Z</dcterms:created>
  <dcterms:modified xsi:type="dcterms:W3CDTF">2015-11-05T21:14:00Z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0x01010092A5028697DC3145AFD5BA725BF32397</vt:lpwstr>
  </property>
</Properties>
</file>