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72CEA509"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0C2E149" w14:textId="2390FBCB" w:rsidR="00C631D4" w:rsidRDefault="00C631D4" w:rsidP="008A5046">
      <w:pPr>
        <w:pStyle w:val="ListParagraph"/>
        <w:numPr>
          <w:ilvl w:val="0"/>
          <w:numId w:val="1"/>
        </w:numPr>
        <w:ind w:left="426"/>
        <w:rPr>
          <w:rFonts w:ascii="Times New Roman" w:hAnsi="Times New Roman" w:cs="Times New Roman"/>
        </w:rPr>
      </w:pPr>
      <w:r w:rsidRPr="00C631D4">
        <w:rPr>
          <w:rFonts w:ascii="Times New Roman" w:hAnsi="Times New Roman" w:cs="Times New Roman"/>
        </w:rPr>
        <w:t>I</w:t>
      </w:r>
      <w:r>
        <w:rPr>
          <w:rFonts w:ascii="Times New Roman" w:hAnsi="Times New Roman" w:cs="Times New Roman"/>
        </w:rPr>
        <w:t xml:space="preserve">nclude fixed costs for </w:t>
      </w:r>
      <w:r w:rsidRPr="00C631D4">
        <w:rPr>
          <w:rFonts w:ascii="Times New Roman" w:hAnsi="Times New Roman" w:cs="Times New Roman"/>
        </w:rPr>
        <w:t xml:space="preserve">LVCs and VLVCs </w:t>
      </w:r>
      <w:r>
        <w:rPr>
          <w:rFonts w:ascii="Times New Roman" w:hAnsi="Times New Roman" w:cs="Times New Roman"/>
        </w:rPr>
        <w:t xml:space="preserve">in chapter 6  </w:t>
      </w:r>
    </w:p>
    <w:p w14:paraId="2BA50932" w14:textId="24F55FEF" w:rsidR="008A5046" w:rsidRPr="004840A5" w:rsidRDefault="00AB499E" w:rsidP="008A5046">
      <w:pPr>
        <w:spacing w:after="0"/>
        <w:rPr>
          <w:rFonts w:ascii="Times New Roman" w:hAnsi="Times New Roman" w:cs="Times New Roman"/>
        </w:rPr>
      </w:pPr>
      <w:r w:rsidRPr="004840A5">
        <w:rPr>
          <w:rFonts w:ascii="Times New Roman" w:hAnsi="Times New Roman" w:cs="Times New Roman"/>
          <w:b/>
          <w:bCs/>
        </w:rPr>
        <w:t>(T</w:t>
      </w:r>
      <w:r w:rsidR="00A628AF" w:rsidRPr="004840A5">
        <w:rPr>
          <w:rFonts w:ascii="Times New Roman" w:hAnsi="Times New Roman" w:cs="Times New Roman"/>
          <w:b/>
          <w:bCs/>
        </w:rPr>
        <w:t>rinidad and Tobago</w:t>
      </w:r>
      <w:r w:rsidRPr="004840A5">
        <w:rPr>
          <w:rFonts w:ascii="Times New Roman" w:hAnsi="Times New Roman" w:cs="Times New Roman"/>
          <w:b/>
          <w:bCs/>
        </w:rPr>
        <w:t>)</w:t>
      </w:r>
      <w:r w:rsidRPr="004840A5">
        <w:rPr>
          <w:rFonts w:ascii="Times New Roman" w:hAnsi="Times New Roman" w:cs="Times New Roman"/>
        </w:rPr>
        <w:t xml:space="preserve"> </w:t>
      </w:r>
    </w:p>
    <w:p w14:paraId="636C3B1A" w14:textId="6C73A59A" w:rsidR="00AB499E" w:rsidRPr="008A5046" w:rsidRDefault="00AB499E" w:rsidP="008A5046">
      <w:pPr>
        <w:pStyle w:val="ListParagraph"/>
        <w:numPr>
          <w:ilvl w:val="0"/>
          <w:numId w:val="1"/>
        </w:numPr>
        <w:spacing w:after="0" w:line="240" w:lineRule="auto"/>
        <w:ind w:left="357" w:hanging="357"/>
        <w:contextualSpacing w:val="0"/>
        <w:rPr>
          <w:rFonts w:ascii="Times New Roman" w:hAnsi="Times New Roman" w:cs="Times New Roman"/>
        </w:rPr>
      </w:pPr>
      <w:r w:rsidRPr="008A5046">
        <w:rPr>
          <w:rFonts w:ascii="Times New Roman" w:hAnsi="Times New Roman" w:cs="Times New Roman"/>
        </w:rPr>
        <w:t xml:space="preserve">Costed estimate of the special needs of LVC and VLVC countries: </w:t>
      </w:r>
    </w:p>
    <w:p w14:paraId="245BBF58" w14:textId="20366FD0" w:rsidR="00AB499E" w:rsidRDefault="00AB499E" w:rsidP="008A5046">
      <w:pPr>
        <w:pStyle w:val="ListParagraph"/>
        <w:spacing w:after="0"/>
        <w:ind w:left="357"/>
        <w:contextualSpacing w:val="0"/>
        <w:rPr>
          <w:rFonts w:ascii="Times New Roman" w:hAnsi="Times New Roman" w:cs="Times New Roman"/>
        </w:rPr>
      </w:pPr>
      <w:r w:rsidRPr="008A5046">
        <w:rPr>
          <w:rFonts w:ascii="Times New Roman" w:hAnsi="Times New Roman" w:cs="Times New Roman"/>
        </w:rPr>
        <w:t xml:space="preserve">Noting that the terms of reference in decision XXXVII/6 require the Panel to </w:t>
      </w:r>
      <w:proofErr w:type="gramStart"/>
      <w:r w:rsidRPr="008A5046">
        <w:rPr>
          <w:rFonts w:ascii="Times New Roman" w:hAnsi="Times New Roman" w:cs="Times New Roman"/>
        </w:rPr>
        <w:t>take into account</w:t>
      </w:r>
      <w:proofErr w:type="gramEnd"/>
      <w:r w:rsidRPr="008A5046">
        <w:rPr>
          <w:rFonts w:ascii="Times New Roman" w:hAnsi="Times New Roman" w:cs="Times New Roman"/>
        </w:rPr>
        <w:t xml:space="preserve"> the special needs of LVC and VLVC countries, and that the Panel has welcomed proposals from parties for the supplementary report. We request that the Panel include in that report a cost estimate of the additional resources required to address the fixed-cost and training burden it has identified, including the aggregate cost and the number of parties affected by the illustrative levelling of the lower brackets.</w:t>
      </w:r>
    </w:p>
    <w:p w14:paraId="0798DD73" w14:textId="77777777" w:rsidR="008A5046" w:rsidRPr="008A5046" w:rsidRDefault="008A5046" w:rsidP="008A5046">
      <w:pPr>
        <w:pStyle w:val="ListParagraph"/>
        <w:spacing w:after="0"/>
        <w:ind w:left="357"/>
        <w:contextualSpacing w:val="0"/>
        <w:rPr>
          <w:rFonts w:ascii="Times New Roman" w:hAnsi="Times New Roman" w:cs="Times New Roman"/>
        </w:rPr>
      </w:pPr>
    </w:p>
    <w:p w14:paraId="7F00D6F5" w14:textId="77777777" w:rsidR="008A5046" w:rsidRPr="008A5046" w:rsidRDefault="00AB499E" w:rsidP="008A5046">
      <w:pPr>
        <w:spacing w:after="0"/>
        <w:rPr>
          <w:rFonts w:ascii="Times New Roman" w:hAnsi="Times New Roman" w:cs="Times New Roman"/>
        </w:rPr>
      </w:pPr>
      <w:r w:rsidRPr="008A5046">
        <w:rPr>
          <w:rFonts w:ascii="Times New Roman" w:hAnsi="Times New Roman" w:cs="Times New Roman"/>
          <w:b/>
          <w:bCs/>
        </w:rPr>
        <w:t xml:space="preserve">(Bahrain and India) </w:t>
      </w:r>
    </w:p>
    <w:p w14:paraId="3423E023" w14:textId="68938922" w:rsidR="00AB499E" w:rsidRPr="008A5046" w:rsidRDefault="00AB499E" w:rsidP="008A5046">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To conduct a detailed analysis of the initial HFC manufacturing conversion projects approved under the MLF, and to develop a set of updated, data-driven historical cost-effectiveness figures. The analysis should differentiate between enterprise sizes (SMEs vs. larger enterprises), sectors, and chosen alternative technologies to provide a more accurate basis for future funding</w:t>
      </w:r>
    </w:p>
    <w:p w14:paraId="4726A394" w14:textId="1FC50C0D" w:rsidR="00AB499E" w:rsidRPr="008A5046" w:rsidRDefault="00AB499E" w:rsidP="008A5046">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 xml:space="preserve">Assessment on a potential funding window for LRM to be established during the </w:t>
      </w:r>
      <w:proofErr w:type="gramStart"/>
      <w:r w:rsidRPr="008A5046">
        <w:rPr>
          <w:rFonts w:ascii="Times New Roman" w:hAnsi="Times New Roman" w:cs="Times New Roman"/>
        </w:rPr>
        <w:t>time period</w:t>
      </w:r>
      <w:proofErr w:type="gramEnd"/>
      <w:r w:rsidRPr="008A5046">
        <w:rPr>
          <w:rFonts w:ascii="Times New Roman" w:hAnsi="Times New Roman" w:cs="Times New Roman"/>
        </w:rPr>
        <w:t xml:space="preserve"> 2027-2029</w:t>
      </w:r>
    </w:p>
    <w:p w14:paraId="732D1EE0" w14:textId="54BB402C" w:rsidR="00AB499E" w:rsidRDefault="00AB499E" w:rsidP="008A5046">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To propose funding modalities for the implementation of national LRM plans</w:t>
      </w:r>
      <w:r w:rsidR="00382D55" w:rsidRPr="008A5046">
        <w:rPr>
          <w:rFonts w:ascii="Times New Roman" w:hAnsi="Times New Roman" w:cs="Times New Roman"/>
        </w:rPr>
        <w:t>.</w:t>
      </w:r>
      <w:r w:rsidR="007B0F6A" w:rsidRPr="008A5046">
        <w:rPr>
          <w:rFonts w:ascii="Times New Roman" w:hAnsi="Times New Roman" w:cs="Times New Roman"/>
        </w:rPr>
        <w:t xml:space="preserve"> </w:t>
      </w:r>
      <w:r w:rsidR="00382D55" w:rsidRPr="008A5046">
        <w:rPr>
          <w:rFonts w:ascii="Times New Roman" w:hAnsi="Times New Roman" w:cs="Times New Roman"/>
        </w:rPr>
        <w:t>T</w:t>
      </w:r>
      <w:r w:rsidR="007B0F6A" w:rsidRPr="008A5046">
        <w:rPr>
          <w:rFonts w:ascii="Times New Roman" w:hAnsi="Times New Roman" w:cs="Times New Roman"/>
        </w:rPr>
        <w:t>his should include cost estimates for establishing collection networks expanding reclamation capacity and enabling the environmentally sound disposal of unwanted controlled substances</w:t>
      </w:r>
    </w:p>
    <w:p w14:paraId="1E3129AC" w14:textId="77777777" w:rsidR="008A5046" w:rsidRPr="008A5046" w:rsidRDefault="008A5046" w:rsidP="008A5046">
      <w:pPr>
        <w:pStyle w:val="ListParagraph"/>
        <w:spacing w:after="0"/>
        <w:ind w:left="360"/>
        <w:contextualSpacing w:val="0"/>
        <w:rPr>
          <w:rFonts w:ascii="Times New Roman" w:hAnsi="Times New Roman" w:cs="Times New Roman"/>
        </w:rPr>
      </w:pPr>
    </w:p>
    <w:p w14:paraId="46CD8960" w14:textId="77777777" w:rsidR="00124824" w:rsidRDefault="00382D55" w:rsidP="008A5046">
      <w:pPr>
        <w:spacing w:after="0"/>
        <w:rPr>
          <w:rFonts w:ascii="Times New Roman" w:hAnsi="Times New Roman" w:cs="Times New Roman"/>
        </w:rPr>
      </w:pPr>
      <w:r w:rsidRPr="008A5046">
        <w:rPr>
          <w:rFonts w:ascii="Times New Roman" w:hAnsi="Times New Roman" w:cs="Times New Roman"/>
        </w:rPr>
        <w:t>(</w:t>
      </w:r>
      <w:r w:rsidRPr="008A5046">
        <w:rPr>
          <w:rFonts w:ascii="Times New Roman" w:hAnsi="Times New Roman" w:cs="Times New Roman"/>
          <w:b/>
          <w:bCs/>
        </w:rPr>
        <w:t>Canada on behalf of JUSCANZ)</w:t>
      </w:r>
      <w:r w:rsidRPr="008A5046">
        <w:rPr>
          <w:rFonts w:ascii="Times New Roman" w:hAnsi="Times New Roman" w:cs="Times New Roman"/>
        </w:rPr>
        <w:t xml:space="preserve"> </w:t>
      </w:r>
    </w:p>
    <w:p w14:paraId="57DFA1F3" w14:textId="2B285EE7" w:rsidR="00382D55" w:rsidRPr="00124824" w:rsidRDefault="00382D55" w:rsidP="00124824">
      <w:pPr>
        <w:pStyle w:val="ListParagraph"/>
        <w:numPr>
          <w:ilvl w:val="0"/>
          <w:numId w:val="4"/>
        </w:numPr>
        <w:spacing w:after="0"/>
        <w:rPr>
          <w:rFonts w:ascii="Times New Roman" w:hAnsi="Times New Roman" w:cs="Times New Roman"/>
        </w:rPr>
      </w:pPr>
      <w:r w:rsidRPr="00124824">
        <w:rPr>
          <w:rFonts w:ascii="Times New Roman" w:hAnsi="Times New Roman" w:cs="Times New Roman"/>
        </w:rPr>
        <w:t>Merge scenarios 1 and 2 (on SME participation) into one scenario</w:t>
      </w:r>
    </w:p>
    <w:p w14:paraId="0655CCFC" w14:textId="4EC50745" w:rsidR="00382D55" w:rsidRPr="008A5046" w:rsidRDefault="00382D55" w:rsidP="00124824">
      <w:pPr>
        <w:pStyle w:val="ListParagraph"/>
        <w:numPr>
          <w:ilvl w:val="0"/>
          <w:numId w:val="4"/>
        </w:numPr>
        <w:spacing w:after="0"/>
        <w:rPr>
          <w:rFonts w:ascii="Times New Roman" w:hAnsi="Times New Roman" w:cs="Times New Roman"/>
        </w:rPr>
      </w:pPr>
      <w:r w:rsidRPr="008A5046">
        <w:rPr>
          <w:rFonts w:ascii="Times New Roman" w:hAnsi="Times New Roman" w:cs="Times New Roman"/>
        </w:rPr>
        <w:t>Present only one range for the total funding requirement rather than two</w:t>
      </w:r>
    </w:p>
    <w:p w14:paraId="24A58FE1" w14:textId="6CA1F90D" w:rsidR="00382D55" w:rsidRPr="008A5046" w:rsidRDefault="00382D55" w:rsidP="00124824">
      <w:pPr>
        <w:pStyle w:val="ListParagraph"/>
        <w:numPr>
          <w:ilvl w:val="0"/>
          <w:numId w:val="4"/>
        </w:numPr>
        <w:spacing w:after="0"/>
        <w:rPr>
          <w:rFonts w:ascii="Times New Roman" w:hAnsi="Times New Roman" w:cs="Times New Roman"/>
        </w:rPr>
      </w:pPr>
      <w:r w:rsidRPr="008A5046">
        <w:rPr>
          <w:rFonts w:ascii="Times New Roman" w:hAnsi="Times New Roman" w:cs="Times New Roman"/>
        </w:rPr>
        <w:t>Revise the low end of the overall funding range by:</w:t>
      </w:r>
    </w:p>
    <w:p w14:paraId="7E8D6448" w14:textId="77777777" w:rsidR="00382D55" w:rsidRPr="008A5046" w:rsidRDefault="00382D55" w:rsidP="00124824">
      <w:pPr>
        <w:spacing w:after="0"/>
        <w:ind w:left="709"/>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Calculating funding requirements for HCFCs and HFCs based on reductions required from latest consumption to meet the selected targets</w:t>
      </w:r>
    </w:p>
    <w:p w14:paraId="114D0B2E" w14:textId="77777777" w:rsidR="00382D55" w:rsidRPr="008A5046" w:rsidRDefault="00382D55" w:rsidP="00124824">
      <w:pPr>
        <w:spacing w:after="0"/>
        <w:ind w:left="709"/>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Applying historical CEs to calculate funding for the relevant HFC manufacturing sectors</w:t>
      </w:r>
    </w:p>
    <w:p w14:paraId="07084AF9" w14:textId="796592A6" w:rsidR="00382D55" w:rsidRPr="008A5046" w:rsidRDefault="00382D55" w:rsidP="00124824">
      <w:pPr>
        <w:spacing w:after="0"/>
        <w:ind w:left="709"/>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Assuming largest Group I A5 Party receives funding at same level as past 5 years: US $27M</w:t>
      </w:r>
    </w:p>
    <w:p w14:paraId="6430E961" w14:textId="0C3DAF14" w:rsidR="00382D55" w:rsidRPr="008A5046" w:rsidRDefault="00382D55" w:rsidP="00124824">
      <w:pPr>
        <w:pStyle w:val="ListParagraph"/>
        <w:numPr>
          <w:ilvl w:val="0"/>
          <w:numId w:val="4"/>
        </w:numPr>
        <w:spacing w:after="0"/>
        <w:rPr>
          <w:rFonts w:ascii="Times New Roman" w:hAnsi="Times New Roman" w:cs="Times New Roman"/>
        </w:rPr>
      </w:pPr>
      <w:r w:rsidRPr="008A5046">
        <w:rPr>
          <w:rFonts w:ascii="Times New Roman" w:hAnsi="Times New Roman" w:cs="Times New Roman"/>
        </w:rPr>
        <w:t>Revise the high end of the overall funding range by:</w:t>
      </w:r>
    </w:p>
    <w:p w14:paraId="43760D8C" w14:textId="77777777" w:rsidR="00382D55" w:rsidRPr="008A5046" w:rsidRDefault="00382D55" w:rsidP="00124824">
      <w:pPr>
        <w:spacing w:after="0"/>
        <w:ind w:left="709"/>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 xml:space="preserve">Modifying Resource Allocation </w:t>
      </w:r>
      <w:proofErr w:type="gramStart"/>
      <w:r w:rsidRPr="008A5046">
        <w:rPr>
          <w:rFonts w:ascii="Times New Roman" w:hAnsi="Times New Roman" w:cs="Times New Roman"/>
        </w:rPr>
        <w:t>schedule</w:t>
      </w:r>
      <w:proofErr w:type="gramEnd"/>
      <w:r w:rsidRPr="008A5046">
        <w:rPr>
          <w:rFonts w:ascii="Times New Roman" w:hAnsi="Times New Roman" w:cs="Times New Roman"/>
        </w:rPr>
        <w:t xml:space="preserve"> A so that no more 70% of funding for stage II KIPs is approved for Group I parties without KIPs to reflect a more realistic implementation schedule  </w:t>
      </w:r>
    </w:p>
    <w:p w14:paraId="3EF07E66" w14:textId="22F28F80" w:rsidR="00046E40" w:rsidRPr="008A5046" w:rsidRDefault="00382D55" w:rsidP="00124824">
      <w:pPr>
        <w:spacing w:after="0"/>
        <w:ind w:left="709"/>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Assuming largest Group I A5 Party receives funding at the same proportion of total funding approved for A5 Parties as part of 5 years – 24%</w:t>
      </w:r>
    </w:p>
    <w:p w14:paraId="57E4799E" w14:textId="77777777" w:rsidR="00124824" w:rsidRDefault="00124824" w:rsidP="00124824">
      <w:pPr>
        <w:spacing w:after="0"/>
        <w:rPr>
          <w:rFonts w:ascii="Times New Roman" w:hAnsi="Times New Roman" w:cs="Times New Roman"/>
          <w:b/>
          <w:bCs/>
        </w:rPr>
      </w:pPr>
    </w:p>
    <w:p w14:paraId="5ACA3A1C" w14:textId="1B243A7C" w:rsidR="00124824" w:rsidRDefault="00C37972" w:rsidP="00124824">
      <w:pPr>
        <w:spacing w:after="0"/>
        <w:rPr>
          <w:rFonts w:ascii="Times New Roman" w:hAnsi="Times New Roman" w:cs="Times New Roman"/>
        </w:rPr>
      </w:pPr>
      <w:r w:rsidRPr="00124824">
        <w:rPr>
          <w:rFonts w:ascii="Times New Roman" w:hAnsi="Times New Roman" w:cs="Times New Roman"/>
          <w:b/>
          <w:bCs/>
        </w:rPr>
        <w:lastRenderedPageBreak/>
        <w:t>(Bahrain)</w:t>
      </w:r>
      <w:r w:rsidRPr="00124824">
        <w:rPr>
          <w:rFonts w:ascii="Times New Roman" w:hAnsi="Times New Roman" w:cs="Times New Roman"/>
        </w:rPr>
        <w:t xml:space="preserve"> </w:t>
      </w:r>
    </w:p>
    <w:p w14:paraId="57D09953" w14:textId="231AEB86" w:rsidR="00C37972" w:rsidRDefault="00C37972" w:rsidP="00124824">
      <w:pPr>
        <w:spacing w:after="0"/>
        <w:rPr>
          <w:rFonts w:ascii="Times New Roman" w:hAnsi="Times New Roman" w:cs="Times New Roman"/>
        </w:rPr>
      </w:pPr>
      <w:r w:rsidRPr="00124824">
        <w:rPr>
          <w:rFonts w:ascii="Times New Roman" w:hAnsi="Times New Roman" w:cs="Times New Roman"/>
        </w:rPr>
        <w:t xml:space="preserve">To include the cost assessment for LVCs for the next triennium, costs for stage II to achieve 30% reduction in 2035 and 50% reduction in 2040 in two different scenarios. </w:t>
      </w:r>
    </w:p>
    <w:p w14:paraId="5B1436B5" w14:textId="77777777" w:rsidR="00124824" w:rsidRPr="00124824" w:rsidRDefault="00124824" w:rsidP="00124824">
      <w:pPr>
        <w:spacing w:after="0"/>
        <w:rPr>
          <w:rFonts w:ascii="Times New Roman" w:hAnsi="Times New Roman" w:cs="Times New Roman"/>
        </w:rPr>
      </w:pPr>
    </w:p>
    <w:p w14:paraId="278239B4" w14:textId="77777777" w:rsidR="00124824" w:rsidRDefault="002028FB" w:rsidP="00124824">
      <w:pPr>
        <w:spacing w:after="0"/>
        <w:rPr>
          <w:rFonts w:ascii="Times New Roman" w:hAnsi="Times New Roman" w:cs="Times New Roman"/>
        </w:rPr>
      </w:pPr>
      <w:r w:rsidRPr="00124824">
        <w:rPr>
          <w:rFonts w:ascii="Times New Roman" w:hAnsi="Times New Roman" w:cs="Times New Roman"/>
          <w:b/>
          <w:bCs/>
        </w:rPr>
        <w:t>(Japan)</w:t>
      </w:r>
      <w:r w:rsidRPr="00124824">
        <w:rPr>
          <w:rFonts w:ascii="Times New Roman" w:hAnsi="Times New Roman" w:cs="Times New Roman"/>
        </w:rPr>
        <w:t xml:space="preserve"> </w:t>
      </w:r>
    </w:p>
    <w:p w14:paraId="6648C771" w14:textId="1E791E0A" w:rsidR="00C37972" w:rsidRPr="00124824" w:rsidRDefault="00C37972" w:rsidP="00124824">
      <w:pPr>
        <w:spacing w:after="0"/>
        <w:rPr>
          <w:rFonts w:ascii="Times New Roman" w:hAnsi="Times New Roman" w:cs="Times New Roman"/>
        </w:rPr>
      </w:pPr>
      <w:r w:rsidRPr="00124824">
        <w:rPr>
          <w:rFonts w:ascii="Times New Roman" w:hAnsi="Times New Roman" w:cs="Times New Roman"/>
        </w:rPr>
        <w:t>Additional scenarios:</w:t>
      </w:r>
    </w:p>
    <w:p w14:paraId="5D8890B3" w14:textId="63CFB92B" w:rsidR="00C37972" w:rsidRPr="008A5046" w:rsidRDefault="00C37972" w:rsidP="00124824">
      <w:pPr>
        <w:pStyle w:val="ListParagraph"/>
        <w:numPr>
          <w:ilvl w:val="0"/>
          <w:numId w:val="3"/>
        </w:numPr>
        <w:spacing w:after="0"/>
        <w:ind w:left="426"/>
        <w:contextualSpacing w:val="0"/>
        <w:rPr>
          <w:rFonts w:ascii="Times New Roman" w:hAnsi="Times New Roman" w:cs="Times New Roman"/>
        </w:rPr>
      </w:pPr>
      <w:r w:rsidRPr="008A5046">
        <w:rPr>
          <w:rFonts w:ascii="Times New Roman" w:hAnsi="Times New Roman" w:cs="Times New Roman"/>
        </w:rPr>
        <w:t>For the 3 cancelled HPMPs, provide one revised low-end scenario that assumes no resubmission</w:t>
      </w:r>
    </w:p>
    <w:p w14:paraId="10C48B76" w14:textId="6AE133F3" w:rsidR="00C37972" w:rsidRPr="008A5046" w:rsidRDefault="00C37972" w:rsidP="00124824">
      <w:pPr>
        <w:pStyle w:val="ListParagraph"/>
        <w:numPr>
          <w:ilvl w:val="0"/>
          <w:numId w:val="3"/>
        </w:numPr>
        <w:spacing w:after="0"/>
        <w:ind w:left="426"/>
        <w:contextualSpacing w:val="0"/>
        <w:rPr>
          <w:rFonts w:ascii="Times New Roman" w:hAnsi="Times New Roman" w:cs="Times New Roman"/>
        </w:rPr>
      </w:pPr>
      <w:r w:rsidRPr="008A5046">
        <w:rPr>
          <w:rFonts w:ascii="Times New Roman" w:hAnsi="Times New Roman" w:cs="Times New Roman"/>
        </w:rPr>
        <w:t>A revised cost estimates for only funding the complete phase-out steps</w:t>
      </w:r>
    </w:p>
    <w:p w14:paraId="07504699" w14:textId="57E8BE96" w:rsidR="00C37972" w:rsidRDefault="00C37972" w:rsidP="00124824">
      <w:pPr>
        <w:pStyle w:val="ListParagraph"/>
        <w:numPr>
          <w:ilvl w:val="0"/>
          <w:numId w:val="3"/>
        </w:numPr>
        <w:spacing w:after="0"/>
        <w:ind w:left="426"/>
        <w:contextualSpacing w:val="0"/>
        <w:rPr>
          <w:rFonts w:ascii="Times New Roman" w:hAnsi="Times New Roman" w:cs="Times New Roman"/>
        </w:rPr>
      </w:pPr>
      <w:r w:rsidRPr="008A5046">
        <w:rPr>
          <w:rFonts w:ascii="Times New Roman" w:hAnsi="Times New Roman" w:cs="Times New Roman"/>
        </w:rPr>
        <w:t>To revise the low-end scenario to assume that none of the 19 remaining A5 parties that have not ratified the KA do not do so by 2029</w:t>
      </w:r>
      <w:r w:rsidR="002028FB" w:rsidRPr="008A5046">
        <w:rPr>
          <w:rFonts w:ascii="Times New Roman" w:hAnsi="Times New Roman" w:cs="Times New Roman"/>
        </w:rPr>
        <w:t>.</w:t>
      </w:r>
    </w:p>
    <w:p w14:paraId="7C5DBB75" w14:textId="77777777" w:rsidR="00A628AF" w:rsidRDefault="00A628AF" w:rsidP="00124824">
      <w:pPr>
        <w:spacing w:after="0"/>
        <w:rPr>
          <w:rFonts w:ascii="Times New Roman" w:hAnsi="Times New Roman" w:cs="Times New Roman"/>
          <w:b/>
          <w:bCs/>
        </w:rPr>
      </w:pPr>
    </w:p>
    <w:p w14:paraId="4BC483FD" w14:textId="77777777" w:rsidR="00A628AF" w:rsidRDefault="002028FB" w:rsidP="00124824">
      <w:pPr>
        <w:spacing w:after="0"/>
        <w:rPr>
          <w:rFonts w:ascii="Times New Roman" w:hAnsi="Times New Roman" w:cs="Times New Roman"/>
        </w:rPr>
      </w:pPr>
      <w:r w:rsidRPr="008A5046">
        <w:rPr>
          <w:rFonts w:ascii="Times New Roman" w:hAnsi="Times New Roman" w:cs="Times New Roman"/>
          <w:b/>
          <w:bCs/>
        </w:rPr>
        <w:t>(</w:t>
      </w:r>
      <w:r w:rsidR="00A628AF">
        <w:rPr>
          <w:rFonts w:ascii="Times New Roman" w:hAnsi="Times New Roman" w:cs="Times New Roman"/>
          <w:b/>
          <w:bCs/>
        </w:rPr>
        <w:t>Trinidad and Tobago</w:t>
      </w:r>
      <w:r w:rsidRPr="008A5046">
        <w:rPr>
          <w:rFonts w:ascii="Times New Roman" w:hAnsi="Times New Roman" w:cs="Times New Roman"/>
          <w:b/>
          <w:bCs/>
        </w:rPr>
        <w:t>)</w:t>
      </w:r>
      <w:r w:rsidRPr="008A5046">
        <w:rPr>
          <w:rFonts w:ascii="Times New Roman" w:hAnsi="Times New Roman" w:cs="Times New Roman"/>
        </w:rPr>
        <w:t xml:space="preserve"> </w:t>
      </w:r>
    </w:p>
    <w:p w14:paraId="7BE84C3E" w14:textId="731A1C81" w:rsidR="002028FB" w:rsidRPr="008A5046" w:rsidRDefault="002028FB" w:rsidP="00124824">
      <w:pPr>
        <w:spacing w:after="0"/>
        <w:rPr>
          <w:rFonts w:ascii="Times New Roman" w:hAnsi="Times New Roman" w:cs="Times New Roman"/>
        </w:rPr>
      </w:pPr>
      <w:r w:rsidRPr="008A5046">
        <w:rPr>
          <w:rFonts w:ascii="Times New Roman" w:hAnsi="Times New Roman" w:cs="Times New Roman"/>
        </w:rPr>
        <w:t>KIP Stage II shortfall the report identifies.</w:t>
      </w:r>
    </w:p>
    <w:p w14:paraId="76234590" w14:textId="4D0855F4" w:rsidR="00046E40" w:rsidRPr="008A5046" w:rsidRDefault="002028FB" w:rsidP="00A628AF">
      <w:pPr>
        <w:spacing w:after="0"/>
        <w:rPr>
          <w:rFonts w:ascii="Times New Roman" w:hAnsi="Times New Roman" w:cs="Times New Roman"/>
        </w:rPr>
      </w:pPr>
      <w:r w:rsidRPr="008A5046">
        <w:rPr>
          <w:rFonts w:ascii="Times New Roman" w:hAnsi="Times New Roman" w:cs="Times New Roman"/>
        </w:rPr>
        <w:t xml:space="preserve">The report concludes that if Stage II is funded at the same rate as Stage I, the amounts will fall below what parties had available up to 2030, leaving LVCs and VLVCs unable to cover fixed-cost system-building and the training needed to move to flammable </w:t>
      </w:r>
      <w:proofErr w:type="spellStart"/>
      <w:r w:rsidRPr="008A5046">
        <w:rPr>
          <w:rFonts w:ascii="Times New Roman" w:hAnsi="Times New Roman" w:cs="Times New Roman"/>
        </w:rPr>
        <w:t>refrigerants.We</w:t>
      </w:r>
      <w:proofErr w:type="spellEnd"/>
      <w:r w:rsidRPr="008A5046">
        <w:rPr>
          <w:rFonts w:ascii="Times New Roman" w:hAnsi="Times New Roman" w:cs="Times New Roman"/>
        </w:rPr>
        <w:t xml:space="preserve"> request TEAP to quantify the projected Stage II funding shortfall for LVCs and VLVCs and provide an indicative estimate of the additional resources required to achieve the 30 per cent reduction target without reducing the funding available for technology deployment and implementation.</w:t>
      </w:r>
    </w:p>
    <w:p w14:paraId="06FA2669" w14:textId="77777777" w:rsidR="00A628AF" w:rsidRDefault="00A628AF" w:rsidP="008A5046">
      <w:pPr>
        <w:spacing w:after="0"/>
        <w:ind w:left="1080"/>
        <w:rPr>
          <w:rFonts w:ascii="Times New Roman" w:hAnsi="Times New Roman" w:cs="Times New Roman"/>
        </w:rPr>
      </w:pPr>
    </w:p>
    <w:p w14:paraId="34029FAC" w14:textId="77777777" w:rsidR="00A628AF" w:rsidRPr="00A628AF" w:rsidRDefault="002028FB" w:rsidP="00A628AF">
      <w:pPr>
        <w:spacing w:after="0"/>
        <w:rPr>
          <w:rFonts w:ascii="Times New Roman" w:hAnsi="Times New Roman" w:cs="Times New Roman"/>
          <w:b/>
          <w:bCs/>
        </w:rPr>
      </w:pPr>
      <w:r w:rsidRPr="00A628AF">
        <w:rPr>
          <w:rFonts w:ascii="Times New Roman" w:hAnsi="Times New Roman" w:cs="Times New Roman"/>
          <w:b/>
          <w:bCs/>
        </w:rPr>
        <w:t xml:space="preserve">(India) </w:t>
      </w:r>
    </w:p>
    <w:p w14:paraId="7F861282" w14:textId="00D2DA05" w:rsidR="002028FB" w:rsidRPr="008A5046" w:rsidRDefault="002028FB" w:rsidP="00A628AF">
      <w:pPr>
        <w:spacing w:after="0"/>
        <w:rPr>
          <w:rFonts w:ascii="Times New Roman" w:hAnsi="Times New Roman" w:cs="Times New Roman"/>
        </w:rPr>
      </w:pPr>
      <w:r w:rsidRPr="008A5046">
        <w:rPr>
          <w:rFonts w:ascii="Times New Roman" w:hAnsi="Times New Roman" w:cs="Times New Roman"/>
        </w:rPr>
        <w:t>To review the funding brackets and allocations for LVC and VLVC countries specifically for stage II of their KIPs. The review should propose adjustments to ensure that funding is sufficient to cover not only the phase-down of refrigerants but also essential fixed cost activities like policy development, customs enforcement and technician certification.</w:t>
      </w:r>
    </w:p>
    <w:p w14:paraId="1B44B977" w14:textId="77777777" w:rsidR="00A628AF" w:rsidRDefault="00A628AF" w:rsidP="008A5046">
      <w:pPr>
        <w:spacing w:after="0"/>
        <w:ind w:left="1080"/>
        <w:rPr>
          <w:rFonts w:ascii="Times New Roman" w:hAnsi="Times New Roman" w:cs="Times New Roman"/>
          <w:b/>
          <w:bCs/>
        </w:rPr>
      </w:pPr>
    </w:p>
    <w:p w14:paraId="4C50BF59" w14:textId="77777777" w:rsidR="00A628AF" w:rsidRDefault="002028FB" w:rsidP="00A628AF">
      <w:pPr>
        <w:spacing w:after="0"/>
        <w:rPr>
          <w:rFonts w:ascii="Times New Roman" w:hAnsi="Times New Roman" w:cs="Times New Roman"/>
        </w:rPr>
      </w:pPr>
      <w:r w:rsidRPr="008A5046">
        <w:rPr>
          <w:rFonts w:ascii="Times New Roman" w:hAnsi="Times New Roman" w:cs="Times New Roman"/>
          <w:b/>
          <w:bCs/>
        </w:rPr>
        <w:t>(China)</w:t>
      </w:r>
      <w:r w:rsidRPr="008A5046">
        <w:rPr>
          <w:rFonts w:ascii="Times New Roman" w:hAnsi="Times New Roman" w:cs="Times New Roman"/>
        </w:rPr>
        <w:t xml:space="preserve"> </w:t>
      </w:r>
    </w:p>
    <w:p w14:paraId="1B399328" w14:textId="502F9415" w:rsidR="002028FB" w:rsidRPr="008A5046" w:rsidRDefault="002028FB" w:rsidP="00A628AF">
      <w:pPr>
        <w:spacing w:after="0"/>
        <w:rPr>
          <w:rFonts w:ascii="Times New Roman" w:hAnsi="Times New Roman" w:cs="Times New Roman"/>
        </w:rPr>
      </w:pPr>
      <w:r w:rsidRPr="008A5046">
        <w:rPr>
          <w:rFonts w:ascii="Times New Roman" w:hAnsi="Times New Roman" w:cs="Times New Roman"/>
        </w:rPr>
        <w:t>A</w:t>
      </w:r>
      <w:r w:rsidR="00A13BEA" w:rsidRPr="008A5046">
        <w:rPr>
          <w:rFonts w:ascii="Times New Roman" w:hAnsi="Times New Roman" w:cs="Times New Roman"/>
        </w:rPr>
        <w:t>ny</w:t>
      </w:r>
      <w:r w:rsidRPr="008A5046">
        <w:rPr>
          <w:rFonts w:ascii="Times New Roman" w:hAnsi="Times New Roman" w:cs="Times New Roman"/>
        </w:rPr>
        <w:t xml:space="preserve"> review of historical CE undertaken for the supplementary report shall be carried out in an equal manner for A5 parties </w:t>
      </w:r>
      <w:proofErr w:type="gramStart"/>
      <w:r w:rsidRPr="008A5046">
        <w:rPr>
          <w:rFonts w:ascii="Times New Roman" w:hAnsi="Times New Roman" w:cs="Times New Roman"/>
        </w:rPr>
        <w:t>on the basis of</w:t>
      </w:r>
      <w:proofErr w:type="gramEnd"/>
      <w:r w:rsidRPr="008A5046">
        <w:rPr>
          <w:rFonts w:ascii="Times New Roman" w:hAnsi="Times New Roman" w:cs="Times New Roman"/>
        </w:rPr>
        <w:t xml:space="preserve"> the complete record of approved projects compiled by the MLFS applying the same data coverage cost basis and calculation method to all A5 parties</w:t>
      </w:r>
    </w:p>
    <w:p w14:paraId="7A6A568A" w14:textId="77777777" w:rsidR="00A628AF" w:rsidRDefault="00A628AF" w:rsidP="008A5046">
      <w:pPr>
        <w:spacing w:after="0"/>
        <w:ind w:left="1080"/>
        <w:rPr>
          <w:rFonts w:ascii="Times New Roman" w:hAnsi="Times New Roman" w:cs="Times New Roman"/>
          <w:b/>
          <w:bCs/>
        </w:rPr>
      </w:pPr>
    </w:p>
    <w:p w14:paraId="088F7891" w14:textId="77777777" w:rsidR="00A628AF" w:rsidRDefault="000D7A21" w:rsidP="00A628AF">
      <w:pPr>
        <w:spacing w:after="0"/>
        <w:rPr>
          <w:rFonts w:ascii="Times New Roman" w:hAnsi="Times New Roman" w:cs="Times New Roman"/>
        </w:rPr>
      </w:pPr>
      <w:r w:rsidRPr="008A5046">
        <w:rPr>
          <w:rFonts w:ascii="Times New Roman" w:hAnsi="Times New Roman" w:cs="Times New Roman"/>
          <w:b/>
          <w:bCs/>
        </w:rPr>
        <w:t>(Vanuatu)</w:t>
      </w:r>
      <w:r w:rsidRPr="008A5046">
        <w:rPr>
          <w:rFonts w:ascii="Times New Roman" w:hAnsi="Times New Roman" w:cs="Times New Roman"/>
        </w:rPr>
        <w:t xml:space="preserve"> </w:t>
      </w:r>
    </w:p>
    <w:p w14:paraId="42E6FF22" w14:textId="15A0B3C5" w:rsidR="00A628AF" w:rsidRPr="00A628AF" w:rsidRDefault="00A628AF" w:rsidP="00A628AF">
      <w:pPr>
        <w:pStyle w:val="ListParagraph"/>
        <w:numPr>
          <w:ilvl w:val="0"/>
          <w:numId w:val="1"/>
        </w:numPr>
        <w:spacing w:after="0"/>
        <w:ind w:left="360"/>
        <w:contextualSpacing w:val="0"/>
        <w:rPr>
          <w:rFonts w:ascii="Times New Roman" w:hAnsi="Times New Roman" w:cs="Times New Roman"/>
        </w:rPr>
      </w:pPr>
      <w:r w:rsidRPr="00A628AF">
        <w:rPr>
          <w:rFonts w:ascii="Times New Roman" w:hAnsi="Times New Roman" w:cs="Times New Roman"/>
        </w:rPr>
        <w:t>P</w:t>
      </w:r>
      <w:r w:rsidR="000D7A21" w:rsidRPr="00A628AF">
        <w:rPr>
          <w:rFonts w:ascii="Times New Roman" w:hAnsi="Times New Roman" w:cs="Times New Roman"/>
        </w:rPr>
        <w:t xml:space="preserve">rovide revised estimates for funding window that would support action for national implementation plans developed under ExCom decision 91/66 </w:t>
      </w:r>
    </w:p>
    <w:p w14:paraId="111E1D57" w14:textId="64873579" w:rsidR="000D7A21" w:rsidRPr="008A5046" w:rsidRDefault="000D7A21" w:rsidP="00A628AF">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 xml:space="preserve">Provide updated estimates of costs of managing reclamation, recycling and cost-effective destruction of banks including collection, transport and disposal activities. </w:t>
      </w:r>
    </w:p>
    <w:p w14:paraId="299A139A" w14:textId="2993CA45" w:rsidR="000D7A21" w:rsidRPr="008A5046" w:rsidRDefault="000D7A21" w:rsidP="00A628AF">
      <w:pPr>
        <w:pStyle w:val="ListParagraph"/>
        <w:numPr>
          <w:ilvl w:val="0"/>
          <w:numId w:val="1"/>
        </w:numPr>
        <w:spacing w:after="0"/>
        <w:ind w:left="360"/>
        <w:contextualSpacing w:val="0"/>
        <w:rPr>
          <w:rFonts w:ascii="Times New Roman" w:hAnsi="Times New Roman" w:cs="Times New Roman"/>
        </w:rPr>
      </w:pPr>
      <w:r w:rsidRPr="008A5046">
        <w:rPr>
          <w:rFonts w:ascii="Times New Roman" w:hAnsi="Times New Roman" w:cs="Times New Roman"/>
        </w:rPr>
        <w:t>Consider a scenario for end-of-life activities considered under ExCom decision 91/66</w:t>
      </w:r>
    </w:p>
    <w:p w14:paraId="1968EA0A" w14:textId="77777777" w:rsidR="00A628AF" w:rsidRDefault="00A628AF" w:rsidP="008A5046">
      <w:pPr>
        <w:spacing w:after="0"/>
        <w:ind w:left="1080"/>
        <w:rPr>
          <w:rFonts w:ascii="Times New Roman" w:hAnsi="Times New Roman" w:cs="Times New Roman"/>
          <w:b/>
          <w:bCs/>
        </w:rPr>
      </w:pPr>
    </w:p>
    <w:p w14:paraId="58BBD58D" w14:textId="77777777" w:rsidR="00A628AF" w:rsidRDefault="00A628AF" w:rsidP="008A5046">
      <w:pPr>
        <w:spacing w:after="0"/>
        <w:ind w:left="1080"/>
        <w:rPr>
          <w:rFonts w:ascii="Times New Roman" w:hAnsi="Times New Roman" w:cs="Times New Roman"/>
          <w:b/>
          <w:bCs/>
        </w:rPr>
      </w:pPr>
    </w:p>
    <w:p w14:paraId="45087C1D" w14:textId="77777777" w:rsidR="00A628AF" w:rsidRDefault="00A628AF" w:rsidP="008A5046">
      <w:pPr>
        <w:spacing w:after="0"/>
        <w:ind w:left="1080"/>
        <w:rPr>
          <w:rFonts w:ascii="Times New Roman" w:hAnsi="Times New Roman" w:cs="Times New Roman"/>
          <w:b/>
          <w:bCs/>
        </w:rPr>
      </w:pPr>
    </w:p>
    <w:p w14:paraId="1F737A28" w14:textId="52B58981" w:rsidR="004335A9" w:rsidRPr="008A5046" w:rsidRDefault="004335A9" w:rsidP="00A628AF">
      <w:pPr>
        <w:spacing w:after="0"/>
        <w:rPr>
          <w:rFonts w:ascii="Times New Roman" w:hAnsi="Times New Roman" w:cs="Times New Roman"/>
          <w:b/>
          <w:bCs/>
        </w:rPr>
      </w:pPr>
      <w:r w:rsidRPr="008A5046">
        <w:rPr>
          <w:rFonts w:ascii="Times New Roman" w:hAnsi="Times New Roman" w:cs="Times New Roman"/>
          <w:b/>
          <w:bCs/>
        </w:rPr>
        <w:lastRenderedPageBreak/>
        <w:t xml:space="preserve">(USA) </w:t>
      </w:r>
    </w:p>
    <w:p w14:paraId="324E38C1" w14:textId="33996229" w:rsidR="006E4C75" w:rsidRPr="006E4C75" w:rsidRDefault="006E4C75" w:rsidP="00262004">
      <w:pPr>
        <w:pStyle w:val="ListParagraph"/>
        <w:numPr>
          <w:ilvl w:val="0"/>
          <w:numId w:val="1"/>
        </w:numPr>
        <w:spacing w:after="0"/>
        <w:ind w:left="426"/>
        <w:rPr>
          <w:rFonts w:ascii="Times New Roman" w:hAnsi="Times New Roman" w:cs="Times New Roman"/>
        </w:rPr>
      </w:pPr>
      <w:r w:rsidRPr="006E4C75">
        <w:rPr>
          <w:rFonts w:ascii="Times New Roman" w:hAnsi="Times New Roman" w:cs="Times New Roman"/>
        </w:rPr>
        <w:t>Revise the low-end scenario to assume that no further new HFC-23 projects will be submitted in the next triennium, recognizing that obligations related to this issue have been in effect since 2019.</w:t>
      </w:r>
    </w:p>
    <w:p w14:paraId="567F110D" w14:textId="7D122E61" w:rsidR="00046E40" w:rsidRPr="004335A9" w:rsidRDefault="006E4C75" w:rsidP="00262004">
      <w:pPr>
        <w:pStyle w:val="ListParagraph"/>
        <w:numPr>
          <w:ilvl w:val="0"/>
          <w:numId w:val="1"/>
        </w:numPr>
        <w:spacing w:after="0"/>
        <w:ind w:left="426"/>
        <w:contextualSpacing w:val="0"/>
        <w:rPr>
          <w:rFonts w:ascii="Times New Roman" w:hAnsi="Times New Roman" w:cs="Times New Roman"/>
        </w:rPr>
      </w:pPr>
      <w:r w:rsidRPr="006E4C75">
        <w:rPr>
          <w:rFonts w:ascii="Times New Roman" w:hAnsi="Times New Roman" w:cs="Times New Roman"/>
        </w:rPr>
        <w:t>Provide a revised low-end scenario for EE activities under decision 94/60 assuming 50% of the remaining funds under this window are utilized in the 2027-2029 triennium.</w:t>
      </w:r>
      <w:r w:rsidR="00045835">
        <w:rPr>
          <w:rFonts w:ascii="Times New Roman" w:hAnsi="Times New Roman" w:cs="Times New Roman"/>
        </w:rPr>
        <w:t xml:space="preserve"> </w:t>
      </w:r>
    </w:p>
    <w:sectPr w:rsidR="00046E40" w:rsidRPr="00433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0772"/>
    <w:multiLevelType w:val="hybridMultilevel"/>
    <w:tmpl w:val="E75EC87C"/>
    <w:lvl w:ilvl="0" w:tplc="9B8CB7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170DE8"/>
    <w:multiLevelType w:val="hybridMultilevel"/>
    <w:tmpl w:val="870E9B8C"/>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2"/>
  </w:num>
  <w:num w:numId="2" w16cid:durableId="804128231">
    <w:abstractNumId w:val="0"/>
  </w:num>
  <w:num w:numId="3" w16cid:durableId="1103761931">
    <w:abstractNumId w:val="3"/>
  </w:num>
  <w:num w:numId="4" w16cid:durableId="92828510">
    <w:abstractNumId w:val="1"/>
  </w:num>
  <w:num w:numId="5" w16cid:durableId="2062820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45835"/>
    <w:rsid w:val="00046E40"/>
    <w:rsid w:val="000D7A21"/>
    <w:rsid w:val="000D7D53"/>
    <w:rsid w:val="00124824"/>
    <w:rsid w:val="00187E19"/>
    <w:rsid w:val="002028FB"/>
    <w:rsid w:val="00226891"/>
    <w:rsid w:val="00262004"/>
    <w:rsid w:val="00382D55"/>
    <w:rsid w:val="003E42F0"/>
    <w:rsid w:val="004335A9"/>
    <w:rsid w:val="00444C4B"/>
    <w:rsid w:val="004840A5"/>
    <w:rsid w:val="006859AD"/>
    <w:rsid w:val="006E4C75"/>
    <w:rsid w:val="007B0F6A"/>
    <w:rsid w:val="00836938"/>
    <w:rsid w:val="008A5046"/>
    <w:rsid w:val="00A13BEA"/>
    <w:rsid w:val="00A434BB"/>
    <w:rsid w:val="00A628AF"/>
    <w:rsid w:val="00A74036"/>
    <w:rsid w:val="00AB499E"/>
    <w:rsid w:val="00C118CF"/>
    <w:rsid w:val="00C37972"/>
    <w:rsid w:val="00C631D4"/>
    <w:rsid w:val="00DA0350"/>
    <w:rsid w:val="00DE310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4</cp:revision>
  <dcterms:created xsi:type="dcterms:W3CDTF">2026-07-15T11:56:00Z</dcterms:created>
  <dcterms:modified xsi:type="dcterms:W3CDTF">2026-07-15T11:59:00Z</dcterms:modified>
</cp:coreProperties>
</file>