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6DA3AC" w14:textId="77777777" w:rsidR="00674CC5" w:rsidRPr="007F4F67" w:rsidRDefault="00674CC5" w:rsidP="00395B15">
      <w:pPr>
        <w:pStyle w:val="BBTitle"/>
        <w:keepNext w:val="0"/>
        <w:keepLines w:val="0"/>
        <w:tabs>
          <w:tab w:val="left" w:pos="1701"/>
        </w:tabs>
        <w:spacing w:before="0" w:after="0"/>
        <w:ind w:left="851"/>
      </w:pPr>
      <w:r>
        <w:t>Draft decision on u</w:t>
      </w:r>
      <w:r w:rsidRPr="007F4F67">
        <w:t>pdat</w:t>
      </w:r>
      <w:r>
        <w:t>ing the</w:t>
      </w:r>
      <w:r w:rsidRPr="007F4F67">
        <w:t xml:space="preserve"> nomination </w:t>
      </w:r>
      <w:r w:rsidR="00BE7A67">
        <w:t xml:space="preserve">and </w:t>
      </w:r>
      <w:r>
        <w:t xml:space="preserve">operational </w:t>
      </w:r>
      <w:r w:rsidRPr="007F4F67">
        <w:t xml:space="preserve">processes </w:t>
      </w:r>
      <w:r>
        <w:t xml:space="preserve">of </w:t>
      </w:r>
      <w:r w:rsidRPr="007F4F67">
        <w:t>the Technology and Economic Assessment Panel</w:t>
      </w:r>
      <w:r w:rsidR="00BE7A67">
        <w:t xml:space="preserve"> and its subsidiary bodies</w:t>
      </w:r>
    </w:p>
    <w:p w14:paraId="2D2D0149" w14:textId="77777777" w:rsidR="00395B15" w:rsidRDefault="00395B15" w:rsidP="00395B15">
      <w:pPr>
        <w:pStyle w:val="Subtitle"/>
        <w:tabs>
          <w:tab w:val="left" w:pos="1701"/>
        </w:tabs>
        <w:ind w:left="851"/>
      </w:pPr>
    </w:p>
    <w:p w14:paraId="3297147A" w14:textId="77777777" w:rsidR="00674CC5" w:rsidRDefault="00674CC5" w:rsidP="00395B15">
      <w:pPr>
        <w:pStyle w:val="Subtitle"/>
        <w:tabs>
          <w:tab w:val="left" w:pos="1701"/>
        </w:tabs>
        <w:ind w:left="851"/>
        <w:rPr>
          <w:u w:val="single"/>
        </w:rPr>
      </w:pPr>
      <w:r>
        <w:t>Submission by Contact Group</w:t>
      </w:r>
    </w:p>
    <w:p w14:paraId="68F966AF" w14:textId="77777777" w:rsidR="00395B15" w:rsidRDefault="00395B15" w:rsidP="00395B15">
      <w:pPr>
        <w:pStyle w:val="NormalNonumber"/>
        <w:tabs>
          <w:tab w:val="left" w:pos="624"/>
          <w:tab w:val="left" w:pos="1701"/>
        </w:tabs>
        <w:spacing w:after="0"/>
        <w:ind w:left="851"/>
        <w:rPr>
          <w:i/>
        </w:rPr>
      </w:pPr>
    </w:p>
    <w:p w14:paraId="42E523A9" w14:textId="77777777" w:rsidR="00674CC5" w:rsidRPr="00153F90" w:rsidRDefault="00674CC5" w:rsidP="00395B15">
      <w:pPr>
        <w:pStyle w:val="NormalNonumber"/>
        <w:tabs>
          <w:tab w:val="left" w:pos="624"/>
          <w:tab w:val="left" w:pos="1701"/>
        </w:tabs>
        <w:spacing w:after="0"/>
        <w:ind w:left="851"/>
      </w:pPr>
      <w:r w:rsidRPr="00FC763F">
        <w:rPr>
          <w:i/>
        </w:rPr>
        <w:t>The Twenty-Third Meeting of the Parties decides</w:t>
      </w:r>
      <w:r w:rsidRPr="00153F90">
        <w:t>:</w:t>
      </w:r>
    </w:p>
    <w:p w14:paraId="6B95ED4C" w14:textId="77777777" w:rsidR="00395B15" w:rsidRDefault="00395B15" w:rsidP="00395B15">
      <w:pPr>
        <w:pStyle w:val="NormalNonumber"/>
        <w:tabs>
          <w:tab w:val="left" w:pos="624"/>
          <w:tab w:val="left" w:pos="1701"/>
        </w:tabs>
        <w:spacing w:after="0"/>
        <w:ind w:left="851"/>
        <w:rPr>
          <w:i/>
        </w:rPr>
      </w:pPr>
    </w:p>
    <w:p w14:paraId="71BD73D1" w14:textId="77777777" w:rsidR="00674CC5" w:rsidRDefault="00674CC5" w:rsidP="00395B15">
      <w:pPr>
        <w:pStyle w:val="NormalNonumber"/>
        <w:tabs>
          <w:tab w:val="left" w:pos="624"/>
          <w:tab w:val="left" w:pos="1701"/>
        </w:tabs>
        <w:spacing w:after="0"/>
        <w:ind w:left="851"/>
      </w:pPr>
      <w:r w:rsidRPr="004A7C28">
        <w:rPr>
          <w:i/>
        </w:rPr>
        <w:t>Recalling</w:t>
      </w:r>
      <w:r w:rsidRPr="00153F90">
        <w:t xml:space="preserve"> the terms of reference for the Technology and Economic Assessment Panel </w:t>
      </w:r>
      <w:r>
        <w:t>set forth in d</w:t>
      </w:r>
      <w:r w:rsidRPr="00153F90">
        <w:t>ecision VIII/19 and amended by decision XVIII/19</w:t>
      </w:r>
      <w:r>
        <w:t>,</w:t>
      </w:r>
    </w:p>
    <w:p w14:paraId="0C1118D5" w14:textId="77777777" w:rsidR="00395B15" w:rsidRDefault="00395B15" w:rsidP="00395B15">
      <w:pPr>
        <w:pStyle w:val="NormalNonumber"/>
        <w:tabs>
          <w:tab w:val="left" w:pos="624"/>
          <w:tab w:val="left" w:pos="1701"/>
        </w:tabs>
        <w:spacing w:after="0"/>
        <w:ind w:left="851"/>
        <w:rPr>
          <w:i/>
        </w:rPr>
      </w:pPr>
    </w:p>
    <w:p w14:paraId="06F25942" w14:textId="22CABB00" w:rsidR="00AB5D44" w:rsidRPr="00AB5D44" w:rsidRDefault="00AB5D44" w:rsidP="00395B15">
      <w:pPr>
        <w:pStyle w:val="NormalNonumber"/>
        <w:tabs>
          <w:tab w:val="left" w:pos="624"/>
          <w:tab w:val="left" w:pos="1701"/>
        </w:tabs>
        <w:spacing w:after="0"/>
        <w:ind w:left="851"/>
      </w:pPr>
      <w:r w:rsidRPr="00B44672">
        <w:rPr>
          <w:i/>
        </w:rPr>
        <w:t xml:space="preserve">Recalling </w:t>
      </w:r>
      <w:r w:rsidRPr="00395B15">
        <w:t xml:space="preserve">decision VII/34 on the organisation and functioning of </w:t>
      </w:r>
      <w:r w:rsidR="003D59F8">
        <w:t xml:space="preserve">the </w:t>
      </w:r>
      <w:r w:rsidRPr="00395B15">
        <w:t>T</w:t>
      </w:r>
      <w:r w:rsidR="003D59F8">
        <w:t xml:space="preserve">echnology and </w:t>
      </w:r>
      <w:r w:rsidRPr="00395B15">
        <w:t>E</w:t>
      </w:r>
      <w:r w:rsidR="003D59F8">
        <w:t xml:space="preserve">conomic </w:t>
      </w:r>
      <w:r w:rsidRPr="00395B15">
        <w:t>A</w:t>
      </w:r>
      <w:r w:rsidR="003D59F8">
        <w:t xml:space="preserve">ssessment </w:t>
      </w:r>
      <w:r w:rsidRPr="00395B15">
        <w:t>P</w:t>
      </w:r>
      <w:r w:rsidR="003D59F8">
        <w:t>anel</w:t>
      </w:r>
      <w:r w:rsidRPr="00395B15">
        <w:t xml:space="preserve"> and specifically on efforts to increase </w:t>
      </w:r>
      <w:r w:rsidR="003D59F8">
        <w:t xml:space="preserve">the </w:t>
      </w:r>
      <w:r w:rsidRPr="00395B15">
        <w:t xml:space="preserve">participation of </w:t>
      </w:r>
      <w:r w:rsidR="003D59F8">
        <w:t xml:space="preserve">experts from parties operating under </w:t>
      </w:r>
      <w:r w:rsidR="002C3E7B">
        <w:t xml:space="preserve">paragraph 1 of </w:t>
      </w:r>
      <w:r w:rsidR="003D59F8">
        <w:t xml:space="preserve">Article </w:t>
      </w:r>
      <w:r w:rsidRPr="00395B15">
        <w:t xml:space="preserve">5 </w:t>
      </w:r>
      <w:r w:rsidR="002C3E7B">
        <w:t xml:space="preserve">(Article 5 Parties) </w:t>
      </w:r>
      <w:r w:rsidRPr="00395B15">
        <w:t>and to improve geographical expertise and balance</w:t>
      </w:r>
      <w:r w:rsidR="00395B15" w:rsidRPr="00395B15">
        <w:t>,</w:t>
      </w:r>
    </w:p>
    <w:p w14:paraId="1A56DD18" w14:textId="77777777" w:rsidR="00395B15" w:rsidRDefault="00395B15" w:rsidP="00395B15">
      <w:pPr>
        <w:pStyle w:val="NormalNonumber"/>
        <w:tabs>
          <w:tab w:val="left" w:pos="624"/>
          <w:tab w:val="left" w:pos="1701"/>
        </w:tabs>
        <w:spacing w:after="0"/>
        <w:ind w:left="851"/>
      </w:pPr>
    </w:p>
    <w:p w14:paraId="116CAA54" w14:textId="2AE31E11" w:rsidR="00674CC5" w:rsidRPr="00153F90" w:rsidRDefault="00674CC5" w:rsidP="00395B15">
      <w:pPr>
        <w:pStyle w:val="NormalNonumber"/>
        <w:tabs>
          <w:tab w:val="left" w:pos="624"/>
          <w:tab w:val="left" w:pos="1701"/>
        </w:tabs>
        <w:spacing w:after="0"/>
        <w:ind w:left="851"/>
      </w:pPr>
      <w:r w:rsidRPr="00395B15">
        <w:rPr>
          <w:i/>
        </w:rPr>
        <w:t>Recalling</w:t>
      </w:r>
      <w:r>
        <w:t xml:space="preserve"> in particular section 2.1 of the terms of reference </w:t>
      </w:r>
      <w:r w:rsidR="00AB5D44">
        <w:t>of the T</w:t>
      </w:r>
      <w:r w:rsidR="003D59F8">
        <w:t xml:space="preserve">echnology and </w:t>
      </w:r>
      <w:r w:rsidR="00AB5D44">
        <w:t>E</w:t>
      </w:r>
      <w:r w:rsidR="003D59F8">
        <w:t xml:space="preserve">conomic </w:t>
      </w:r>
      <w:r w:rsidR="00AB5D44">
        <w:t>A</w:t>
      </w:r>
      <w:r w:rsidR="003D59F8">
        <w:t xml:space="preserve">ssessment </w:t>
      </w:r>
      <w:r w:rsidR="00AB5D44">
        <w:t>P</w:t>
      </w:r>
      <w:r w:rsidR="003D59F8">
        <w:t>anel</w:t>
      </w:r>
      <w:r w:rsidR="00AB5D44">
        <w:t xml:space="preserve"> </w:t>
      </w:r>
      <w:r>
        <w:t xml:space="preserve">on the size and balance of the Panel, and the need to promote a membership that balances geography and expertise, including </w:t>
      </w:r>
      <w:r w:rsidRPr="001A06A3">
        <w:t xml:space="preserve">the </w:t>
      </w:r>
      <w:r w:rsidRPr="001A06A3">
        <w:rPr>
          <w:color w:val="000000"/>
          <w:szCs w:val="20"/>
          <w:lang w:val="en-US" w:eastAsia="en-US"/>
        </w:rPr>
        <w:t xml:space="preserve">overall goal to achieve a representation of about 50 per cent for </w:t>
      </w:r>
      <w:r w:rsidR="002C3E7B">
        <w:rPr>
          <w:color w:val="000000"/>
          <w:szCs w:val="20"/>
          <w:lang w:val="en-US" w:eastAsia="en-US"/>
        </w:rPr>
        <w:t xml:space="preserve">experts from </w:t>
      </w:r>
      <w:r w:rsidRPr="001A06A3">
        <w:rPr>
          <w:color w:val="000000"/>
          <w:szCs w:val="20"/>
          <w:lang w:val="en-US" w:eastAsia="en-US"/>
        </w:rPr>
        <w:t xml:space="preserve">Article 5 </w:t>
      </w:r>
      <w:r w:rsidR="002C3E7B">
        <w:rPr>
          <w:color w:val="000000"/>
          <w:szCs w:val="20"/>
          <w:lang w:val="en-US" w:eastAsia="en-US"/>
        </w:rPr>
        <w:t xml:space="preserve">parties </w:t>
      </w:r>
      <w:r w:rsidRPr="001A06A3">
        <w:rPr>
          <w:color w:val="000000"/>
          <w:szCs w:val="20"/>
          <w:lang w:val="en-US" w:eastAsia="en-US"/>
        </w:rPr>
        <w:t xml:space="preserve">in the </w:t>
      </w:r>
      <w:r w:rsidR="002C3E7B">
        <w:rPr>
          <w:color w:val="000000"/>
          <w:szCs w:val="20"/>
          <w:lang w:val="en-US" w:eastAsia="en-US"/>
        </w:rPr>
        <w:t>Panel and its technical options committees</w:t>
      </w:r>
      <w:r>
        <w:rPr>
          <w:color w:val="000000"/>
          <w:szCs w:val="20"/>
          <w:lang w:val="en-US" w:eastAsia="en-US"/>
        </w:rPr>
        <w:t>,</w:t>
      </w:r>
    </w:p>
    <w:p w14:paraId="10CF0C5F" w14:textId="77777777" w:rsidR="00395B15" w:rsidRDefault="00395B15" w:rsidP="00395B15">
      <w:pPr>
        <w:pStyle w:val="NormalNonumber"/>
        <w:tabs>
          <w:tab w:val="left" w:pos="624"/>
          <w:tab w:val="left" w:pos="1701"/>
        </w:tabs>
        <w:spacing w:after="0"/>
        <w:ind w:left="851"/>
      </w:pPr>
    </w:p>
    <w:p w14:paraId="721A404C" w14:textId="77777777" w:rsidR="00674CC5" w:rsidRPr="006005B4" w:rsidRDefault="00674CC5" w:rsidP="00395B15">
      <w:pPr>
        <w:pStyle w:val="NormalNonumber"/>
        <w:tabs>
          <w:tab w:val="left" w:pos="624"/>
          <w:tab w:val="left" w:pos="1701"/>
        </w:tabs>
        <w:spacing w:after="0"/>
        <w:ind w:left="851"/>
      </w:pPr>
      <w:r w:rsidRPr="00395B15">
        <w:rPr>
          <w:i/>
        </w:rPr>
        <w:t>Recognising</w:t>
      </w:r>
      <w:r w:rsidRPr="006005B4">
        <w:t xml:space="preserve"> the need for the process and criteria for appointment to the Panel should be transparent and equitable,</w:t>
      </w:r>
    </w:p>
    <w:p w14:paraId="74218EC1" w14:textId="77777777" w:rsidR="00395B15" w:rsidRDefault="00395B15" w:rsidP="00395B15">
      <w:pPr>
        <w:pStyle w:val="NormalNonumber"/>
        <w:tabs>
          <w:tab w:val="left" w:pos="624"/>
          <w:tab w:val="left" w:pos="1701"/>
        </w:tabs>
        <w:spacing w:after="0"/>
        <w:ind w:left="851"/>
        <w:rPr>
          <w:i/>
        </w:rPr>
      </w:pPr>
    </w:p>
    <w:p w14:paraId="466E78BA" w14:textId="53CBB108" w:rsidR="00674CC5" w:rsidRDefault="00674CC5" w:rsidP="00395B15">
      <w:pPr>
        <w:pStyle w:val="NormalNonumber"/>
        <w:tabs>
          <w:tab w:val="left" w:pos="624"/>
          <w:tab w:val="left" w:pos="1701"/>
        </w:tabs>
        <w:spacing w:after="0"/>
        <w:ind w:left="851"/>
      </w:pPr>
      <w:r w:rsidRPr="004A7C28">
        <w:rPr>
          <w:i/>
        </w:rPr>
        <w:t>Recalling also</w:t>
      </w:r>
      <w:r>
        <w:t xml:space="preserve"> </w:t>
      </w:r>
      <w:r w:rsidRPr="00153F90">
        <w:t>sections 2.2 and 2.3 of th</w:t>
      </w:r>
      <w:r>
        <w:t>e</w:t>
      </w:r>
      <w:r w:rsidRPr="00153F90">
        <w:t xml:space="preserve"> terms of reference</w:t>
      </w:r>
      <w:r w:rsidR="00AB5D44">
        <w:t xml:space="preserve"> of the </w:t>
      </w:r>
      <w:r w:rsidR="002C3E7B">
        <w:t>Technology and Economic Assessment Panel</w:t>
      </w:r>
      <w:r>
        <w:t>,</w:t>
      </w:r>
      <w:r w:rsidRPr="00153F90">
        <w:t xml:space="preserve"> on nominations to the Panel and appointment of members to the Panel</w:t>
      </w:r>
      <w:r>
        <w:t>,</w:t>
      </w:r>
      <w:r w:rsidRPr="00153F90">
        <w:t xml:space="preserve"> and specifically</w:t>
      </w:r>
      <w:r>
        <w:t>,</w:t>
      </w:r>
      <w:r w:rsidRPr="00153F90">
        <w:t xml:space="preserve"> </w:t>
      </w:r>
      <w:r>
        <w:t xml:space="preserve">the provision </w:t>
      </w:r>
      <w:r w:rsidRPr="00153F90">
        <w:t xml:space="preserve">that any nominations made by the </w:t>
      </w:r>
      <w:r>
        <w:t>Panel</w:t>
      </w:r>
      <w:r w:rsidRPr="00153F90">
        <w:t xml:space="preserve"> </w:t>
      </w:r>
      <w:r>
        <w:t>are to</w:t>
      </w:r>
      <w:r w:rsidRPr="00153F90">
        <w:t xml:space="preserve"> be communicated to the relevant party for consultation before recommendations for appointment are made</w:t>
      </w:r>
      <w:r>
        <w:t>,</w:t>
      </w:r>
    </w:p>
    <w:p w14:paraId="171A3FBB" w14:textId="77777777" w:rsidR="00395B15" w:rsidRDefault="00395B15" w:rsidP="00395B15">
      <w:pPr>
        <w:pStyle w:val="NormalNonumber"/>
        <w:tabs>
          <w:tab w:val="left" w:pos="624"/>
          <w:tab w:val="left" w:pos="1701"/>
        </w:tabs>
        <w:spacing w:after="0"/>
        <w:ind w:left="851"/>
        <w:rPr>
          <w:i/>
        </w:rPr>
      </w:pPr>
    </w:p>
    <w:p w14:paraId="650B9956" w14:textId="1FDF6230" w:rsidR="00674CC5" w:rsidRDefault="00674CC5" w:rsidP="00395B15">
      <w:pPr>
        <w:pStyle w:val="NormalNonumber"/>
        <w:tabs>
          <w:tab w:val="left" w:pos="624"/>
          <w:tab w:val="left" w:pos="1701"/>
        </w:tabs>
        <w:spacing w:after="0"/>
        <w:ind w:left="851"/>
      </w:pPr>
      <w:r w:rsidRPr="005B34CC">
        <w:rPr>
          <w:i/>
        </w:rPr>
        <w:t>Recognising</w:t>
      </w:r>
      <w:r w:rsidRPr="00F31C5F">
        <w:t xml:space="preserve"> the need for Parties to receive from </w:t>
      </w:r>
      <w:r>
        <w:t xml:space="preserve">the </w:t>
      </w:r>
      <w:r w:rsidRPr="00F31C5F">
        <w:t xml:space="preserve">Panel advice of the highest quality and to ensure that </w:t>
      </w:r>
      <w:r>
        <w:t>changes to the nomination process do not have an adverse effect on the expertise of the Pane</w:t>
      </w:r>
      <w:r w:rsidR="002C3E7B">
        <w:t>l or the quality of its advice,</w:t>
      </w:r>
    </w:p>
    <w:p w14:paraId="09065F1F" w14:textId="77777777" w:rsidR="00395B15" w:rsidRDefault="00395B15" w:rsidP="00395B15">
      <w:pPr>
        <w:pStyle w:val="NormalNonumber"/>
        <w:tabs>
          <w:tab w:val="left" w:pos="624"/>
          <w:tab w:val="left" w:pos="1701"/>
        </w:tabs>
        <w:spacing w:after="0"/>
        <w:ind w:left="851"/>
        <w:rPr>
          <w:i/>
        </w:rPr>
      </w:pPr>
    </w:p>
    <w:p w14:paraId="547BEACC" w14:textId="77777777" w:rsidR="00674CC5" w:rsidRPr="00153F90" w:rsidRDefault="00674CC5" w:rsidP="00395B15">
      <w:pPr>
        <w:pStyle w:val="NormalNonumber"/>
        <w:tabs>
          <w:tab w:val="left" w:pos="624"/>
          <w:tab w:val="left" w:pos="1701"/>
        </w:tabs>
        <w:spacing w:after="0"/>
        <w:ind w:left="851"/>
      </w:pPr>
      <w:r w:rsidRPr="000C4095">
        <w:rPr>
          <w:i/>
        </w:rPr>
        <w:t>Taking note</w:t>
      </w:r>
      <w:r>
        <w:t xml:space="preserve"> of</w:t>
      </w:r>
      <w:r w:rsidRPr="00153F90">
        <w:t xml:space="preserve"> the information provided by the Panel in its 2011 progress report</w:t>
      </w:r>
      <w:r>
        <w:t xml:space="preserve"> in particular </w:t>
      </w:r>
      <w:r w:rsidRPr="00153F90">
        <w:t>in response to decision XXII/22</w:t>
      </w:r>
      <w:r>
        <w:t>,</w:t>
      </w:r>
    </w:p>
    <w:p w14:paraId="30EB7957" w14:textId="77777777" w:rsidR="00674CC5" w:rsidRDefault="00674CC5" w:rsidP="00395B15">
      <w:pPr>
        <w:pStyle w:val="Normalnumber"/>
        <w:tabs>
          <w:tab w:val="left" w:pos="567"/>
          <w:tab w:val="left" w:pos="1701"/>
        </w:tabs>
        <w:spacing w:after="0"/>
        <w:ind w:left="851"/>
      </w:pPr>
    </w:p>
    <w:p w14:paraId="549AC14A" w14:textId="67206DAE" w:rsidR="00BE7A67" w:rsidRDefault="00395B15" w:rsidP="00395B15">
      <w:pPr>
        <w:pStyle w:val="Normalnumber"/>
        <w:tabs>
          <w:tab w:val="left" w:pos="567"/>
          <w:tab w:val="left" w:pos="1701"/>
        </w:tabs>
        <w:spacing w:after="0"/>
        <w:ind w:left="851"/>
      </w:pPr>
      <w:r>
        <w:t>1.</w:t>
      </w:r>
      <w:r>
        <w:tab/>
      </w:r>
      <w:r w:rsidR="00674CC5">
        <w:t xml:space="preserve">To request the Panel to compose its </w:t>
      </w:r>
      <w:r w:rsidR="002C3E7B">
        <w:t>technical options committees</w:t>
      </w:r>
      <w:r w:rsidR="00674CC5">
        <w:t xml:space="preserve"> and </w:t>
      </w:r>
      <w:r w:rsidR="00077DEB">
        <w:t>its t</w:t>
      </w:r>
      <w:r w:rsidR="002C3E7B">
        <w:t>emporary subsidiary bodies</w:t>
      </w:r>
      <w:r w:rsidR="00674CC5">
        <w:t xml:space="preserve"> to reflect a balance of appropriate expertise so that their reports and information are comprehensive, objective, and policy neutral, and to provide a description in reports by </w:t>
      </w:r>
      <w:r w:rsidR="002C3E7B">
        <w:t xml:space="preserve">temporary subsidiary bodies </w:t>
      </w:r>
      <w:r w:rsidR="00674CC5">
        <w:t>on how the</w:t>
      </w:r>
      <w:r w:rsidR="002C3E7B">
        <w:t xml:space="preserve">ir </w:t>
      </w:r>
      <w:r w:rsidR="00674CC5">
        <w:t>composition was determined</w:t>
      </w:r>
      <w:proofErr w:type="gramStart"/>
      <w:r w:rsidR="00674CC5">
        <w:t>;</w:t>
      </w:r>
      <w:proofErr w:type="gramEnd"/>
    </w:p>
    <w:p w14:paraId="4FF6270C" w14:textId="77777777" w:rsidR="00395B15" w:rsidRDefault="00395B15" w:rsidP="00395B15">
      <w:pPr>
        <w:pStyle w:val="Normalnumber"/>
        <w:tabs>
          <w:tab w:val="left" w:pos="567"/>
          <w:tab w:val="left" w:pos="1701"/>
        </w:tabs>
        <w:spacing w:after="0"/>
        <w:ind w:left="851"/>
      </w:pPr>
    </w:p>
    <w:p w14:paraId="3144D82B" w14:textId="621C9DF3" w:rsidR="00674CC5" w:rsidRDefault="00395B15" w:rsidP="00395B15">
      <w:pPr>
        <w:pStyle w:val="Normalnumber"/>
        <w:tabs>
          <w:tab w:val="left" w:pos="567"/>
          <w:tab w:val="left" w:pos="1701"/>
        </w:tabs>
        <w:spacing w:after="0"/>
        <w:ind w:left="851"/>
      </w:pPr>
      <w:r>
        <w:t>2.</w:t>
      </w:r>
      <w:r>
        <w:tab/>
      </w:r>
      <w:r w:rsidR="00674CC5">
        <w:t>To request</w:t>
      </w:r>
      <w:r w:rsidR="00674CC5" w:rsidRPr="007F4F67">
        <w:t xml:space="preserve"> </w:t>
      </w:r>
      <w:r w:rsidR="00674CC5">
        <w:t>the Panel</w:t>
      </w:r>
      <w:r w:rsidR="00674CC5" w:rsidRPr="007F4F67">
        <w:t xml:space="preserve"> to update its matrix of needed capabilities calling for expertise on the </w:t>
      </w:r>
      <w:r w:rsidR="00674CC5">
        <w:t>Panel</w:t>
      </w:r>
      <w:r w:rsidR="00674CC5" w:rsidRPr="007F4F67">
        <w:t xml:space="preserve">, its </w:t>
      </w:r>
      <w:r w:rsidR="00674CC5">
        <w:t>technical options committees</w:t>
      </w:r>
      <w:r w:rsidR="00674CC5" w:rsidRPr="007F4F67">
        <w:t xml:space="preserve"> and </w:t>
      </w:r>
      <w:r w:rsidR="00077DEB">
        <w:t xml:space="preserve">its </w:t>
      </w:r>
      <w:r w:rsidR="00674CC5">
        <w:t>temporary subsidiary bodies</w:t>
      </w:r>
      <w:r w:rsidR="00674CC5" w:rsidRPr="007F4F67">
        <w:t xml:space="preserve"> </w:t>
      </w:r>
      <w:r w:rsidR="00674CC5">
        <w:t>twice a year</w:t>
      </w:r>
      <w:r w:rsidR="00674CC5" w:rsidRPr="007F4F67">
        <w:t xml:space="preserve"> and to publish the matrix on the Ozone Secretariat website and in the </w:t>
      </w:r>
      <w:r w:rsidR="00674CC5">
        <w:t>Panel’s</w:t>
      </w:r>
      <w:r w:rsidR="00674CC5" w:rsidRPr="007F4F67">
        <w:t xml:space="preserve"> annual progress reports;</w:t>
      </w:r>
      <w:r w:rsidR="00090CB3">
        <w:t xml:space="preserve"> </w:t>
      </w:r>
      <w:r w:rsidR="00674CC5">
        <w:t xml:space="preserve">this matrix should </w:t>
      </w:r>
      <w:r w:rsidR="002A5E21">
        <w:t>include</w:t>
      </w:r>
      <w:r w:rsidR="00674CC5">
        <w:t xml:space="preserve"> </w:t>
      </w:r>
      <w:r w:rsidR="002A5E21">
        <w:t>the need for</w:t>
      </w:r>
      <w:r w:rsidR="00674CC5">
        <w:t xml:space="preserve"> geographic and expertise balance; </w:t>
      </w:r>
    </w:p>
    <w:p w14:paraId="3925B72C" w14:textId="77777777" w:rsidR="00395B15" w:rsidRDefault="00395B15" w:rsidP="00395B15">
      <w:pPr>
        <w:pStyle w:val="Normalnumber"/>
        <w:tabs>
          <w:tab w:val="left" w:pos="567"/>
          <w:tab w:val="left" w:pos="1701"/>
        </w:tabs>
        <w:spacing w:after="0"/>
        <w:ind w:left="851"/>
      </w:pPr>
    </w:p>
    <w:p w14:paraId="76F0ECBF" w14:textId="77777777" w:rsidR="00674CC5" w:rsidRDefault="00395B15" w:rsidP="00395B15">
      <w:pPr>
        <w:pStyle w:val="Normalnumber"/>
        <w:tabs>
          <w:tab w:val="left" w:pos="567"/>
          <w:tab w:val="left" w:pos="1701"/>
        </w:tabs>
        <w:spacing w:after="0"/>
        <w:ind w:left="851"/>
      </w:pPr>
      <w:r>
        <w:t>3.</w:t>
      </w:r>
      <w:r>
        <w:tab/>
      </w:r>
      <w:r w:rsidR="00674CC5">
        <w:t>Also to request the Panel</w:t>
      </w:r>
      <w:r w:rsidR="00674CC5" w:rsidRPr="007F4F67">
        <w:t xml:space="preserve"> to ensure</w:t>
      </w:r>
      <w:r w:rsidR="00674CC5">
        <w:t xml:space="preserve"> that</w:t>
      </w:r>
      <w:r w:rsidR="00674CC5" w:rsidRPr="007F4F67">
        <w:t xml:space="preserve"> the information in the matrix is clear and sufficient to allow a full understanding of needed expertise and that information on the nomination process, the selection process, the</w:t>
      </w:r>
      <w:r w:rsidR="00674CC5">
        <w:t xml:space="preserve"> Panel’s</w:t>
      </w:r>
      <w:r w:rsidR="00674CC5" w:rsidRPr="007F4F67">
        <w:t xml:space="preserve"> terms of reference and the operation of the </w:t>
      </w:r>
      <w:r w:rsidR="00674CC5">
        <w:t>Panel</w:t>
      </w:r>
      <w:r w:rsidR="00674CC5" w:rsidRPr="007F4F67">
        <w:t xml:space="preserve"> and its subsidiary bodies is published on the Ozone Secretariat website</w:t>
      </w:r>
      <w:r w:rsidR="00674CC5" w:rsidRPr="007F4F67" w:rsidDel="006F024A">
        <w:t xml:space="preserve"> </w:t>
      </w:r>
      <w:r w:rsidR="00674CC5" w:rsidRPr="007F4F67">
        <w:t>in an easily accessible format;</w:t>
      </w:r>
    </w:p>
    <w:p w14:paraId="13B74C75" w14:textId="77777777" w:rsidR="00395B15" w:rsidRDefault="00395B15" w:rsidP="00395B15">
      <w:pPr>
        <w:pStyle w:val="Normalnumber"/>
        <w:tabs>
          <w:tab w:val="left" w:pos="567"/>
          <w:tab w:val="left" w:pos="1701"/>
        </w:tabs>
        <w:spacing w:after="0"/>
        <w:ind w:left="851"/>
      </w:pPr>
    </w:p>
    <w:p w14:paraId="79FCDBB9" w14:textId="3E44F289" w:rsidR="00674CC5" w:rsidRDefault="00395B15" w:rsidP="00395B15">
      <w:pPr>
        <w:pStyle w:val="Normalnumber"/>
        <w:tabs>
          <w:tab w:val="left" w:pos="567"/>
          <w:tab w:val="left" w:pos="1701"/>
        </w:tabs>
        <w:spacing w:after="0"/>
        <w:ind w:left="851"/>
      </w:pPr>
      <w:r>
        <w:t>4.</w:t>
      </w:r>
      <w:r>
        <w:tab/>
      </w:r>
      <w:r w:rsidR="00674CC5">
        <w:t>Further to request</w:t>
      </w:r>
      <w:r w:rsidR="00674CC5" w:rsidRPr="007F4F67">
        <w:t xml:space="preserve"> </w:t>
      </w:r>
      <w:r w:rsidR="00674CC5">
        <w:t>the Panel</w:t>
      </w:r>
      <w:r w:rsidR="00674CC5" w:rsidRPr="007F4F67">
        <w:t xml:space="preserve"> to standardi</w:t>
      </w:r>
      <w:r w:rsidR="00674CC5">
        <w:t>z</w:t>
      </w:r>
      <w:r w:rsidR="00674CC5" w:rsidRPr="007F4F67">
        <w:t xml:space="preserve">e the information required from potential experts for all nominations to </w:t>
      </w:r>
      <w:r w:rsidR="00674CC5">
        <w:t>the Panel</w:t>
      </w:r>
      <w:r w:rsidR="00674CC5" w:rsidRPr="007F4F67">
        <w:t xml:space="preserve">, </w:t>
      </w:r>
      <w:r w:rsidR="00674CC5">
        <w:t>its technical options committees</w:t>
      </w:r>
      <w:r w:rsidR="00674CC5" w:rsidRPr="007F4F67">
        <w:t xml:space="preserve"> and </w:t>
      </w:r>
      <w:r w:rsidR="00077DEB">
        <w:t xml:space="preserve">its </w:t>
      </w:r>
      <w:r w:rsidR="00674CC5">
        <w:t>temporary subsidiary bodies</w:t>
      </w:r>
      <w:r w:rsidR="002C3E7B">
        <w:t xml:space="preserve"> </w:t>
      </w:r>
      <w:r w:rsidR="00674CC5" w:rsidRPr="007F4F67">
        <w:t>in line with section 9.5.4 of the 2011 progre</w:t>
      </w:r>
      <w:r w:rsidR="00674CC5">
        <w:t xml:space="preserve">ss report, and to prepare </w:t>
      </w:r>
      <w:r w:rsidR="00674CC5" w:rsidRPr="007F4F67">
        <w:t xml:space="preserve">a draft nomination form for consideration </w:t>
      </w:r>
      <w:r w:rsidR="00674CC5">
        <w:t>by</w:t>
      </w:r>
      <w:r w:rsidR="00674CC5" w:rsidRPr="007F4F67">
        <w:t xml:space="preserve"> the </w:t>
      </w:r>
      <w:r w:rsidR="00674CC5">
        <w:t>Open-ended Wo</w:t>
      </w:r>
      <w:r w:rsidR="00077DEB">
        <w:t>rking G</w:t>
      </w:r>
      <w:r w:rsidR="00674CC5">
        <w:t>roup at its thirty-second meeting</w:t>
      </w:r>
      <w:proofErr w:type="gramStart"/>
      <w:r w:rsidR="00674CC5" w:rsidRPr="007F4F67">
        <w:t>;</w:t>
      </w:r>
      <w:proofErr w:type="gramEnd"/>
    </w:p>
    <w:p w14:paraId="74864363" w14:textId="77777777" w:rsidR="00395B15" w:rsidRDefault="00395B15" w:rsidP="00395B15">
      <w:pPr>
        <w:pStyle w:val="Normalnumber"/>
        <w:tabs>
          <w:tab w:val="left" w:pos="567"/>
          <w:tab w:val="left" w:pos="1701"/>
        </w:tabs>
        <w:spacing w:after="0"/>
        <w:ind w:left="851"/>
      </w:pPr>
    </w:p>
    <w:p w14:paraId="5DD41E7B" w14:textId="25072520" w:rsidR="00674CC5" w:rsidRDefault="00395B15" w:rsidP="00395B15">
      <w:pPr>
        <w:pStyle w:val="Normalnumber"/>
        <w:tabs>
          <w:tab w:val="left" w:pos="567"/>
          <w:tab w:val="left" w:pos="1701"/>
        </w:tabs>
        <w:spacing w:after="0"/>
        <w:ind w:left="851"/>
      </w:pPr>
      <w:r>
        <w:t>5.</w:t>
      </w:r>
      <w:r>
        <w:tab/>
      </w:r>
      <w:r w:rsidR="00674CC5">
        <w:t>To r</w:t>
      </w:r>
      <w:r w:rsidR="00674CC5" w:rsidRPr="007F4F67">
        <w:t xml:space="preserve">equest </w:t>
      </w:r>
      <w:r w:rsidR="00674CC5">
        <w:t>the Panel</w:t>
      </w:r>
      <w:r w:rsidR="00674CC5" w:rsidRPr="007F4F67">
        <w:t xml:space="preserve"> to ensure that all nominations for appointments to the </w:t>
      </w:r>
      <w:r w:rsidR="00674CC5">
        <w:t>Panel</w:t>
      </w:r>
      <w:r w:rsidR="00674CC5" w:rsidRPr="007F4F67">
        <w:t xml:space="preserve">, </w:t>
      </w:r>
      <w:r w:rsidR="00674CC5">
        <w:t>its technical options committees</w:t>
      </w:r>
      <w:r w:rsidR="00674CC5" w:rsidRPr="007F4F67">
        <w:t xml:space="preserve"> and </w:t>
      </w:r>
      <w:r w:rsidR="00674CC5">
        <w:t>its temporary subsidiary bodies,</w:t>
      </w:r>
      <w:r w:rsidR="00674CC5" w:rsidRPr="007F4F67">
        <w:t xml:space="preserve"> including co-chairs, are received from </w:t>
      </w:r>
      <w:r w:rsidR="00674CC5">
        <w:t>the national focal</w:t>
      </w:r>
      <w:r w:rsidR="00077DEB">
        <w:t xml:space="preserve"> points</w:t>
      </w:r>
      <w:r w:rsidR="00674CC5">
        <w:t xml:space="preserve"> </w:t>
      </w:r>
      <w:r w:rsidR="00674CC5" w:rsidRPr="007F4F67">
        <w:t xml:space="preserve">of the parties </w:t>
      </w:r>
      <w:r w:rsidR="00674CC5">
        <w:t>of</w:t>
      </w:r>
      <w:r w:rsidR="00674CC5" w:rsidRPr="007F4F67">
        <w:t xml:space="preserve"> the nominated expert</w:t>
      </w:r>
      <w:r w:rsidR="00674CC5">
        <w:t xml:space="preserve">s </w:t>
      </w:r>
      <w:r w:rsidR="00077DEB">
        <w:t xml:space="preserve">whose national focal points </w:t>
      </w:r>
      <w:r w:rsidR="00A35C69">
        <w:t>s</w:t>
      </w:r>
      <w:r w:rsidR="00077DEB">
        <w:t>hould be</w:t>
      </w:r>
      <w:r w:rsidR="00A35C69">
        <w:t xml:space="preserve"> consistent with the passport</w:t>
      </w:r>
      <w:r w:rsidR="00077DEB">
        <w:t>s</w:t>
      </w:r>
      <w:r w:rsidR="00A35C69">
        <w:t xml:space="preserve"> they hold </w:t>
      </w:r>
      <w:r w:rsidR="00674CC5" w:rsidRPr="007C1F12">
        <w:t>so that</w:t>
      </w:r>
      <w:r w:rsidR="00674CC5">
        <w:t xml:space="preserve"> </w:t>
      </w:r>
      <w:r w:rsidR="00674CC5" w:rsidRPr="007F4F67">
        <w:t>potential conflicts of interest</w:t>
      </w:r>
      <w:r w:rsidR="00674CC5">
        <w:t xml:space="preserve"> </w:t>
      </w:r>
      <w:r w:rsidR="00674CC5" w:rsidRPr="007F4F67">
        <w:rPr>
          <w:rStyle w:val="yiv315943952343535721-12072011"/>
        </w:rPr>
        <w:t xml:space="preserve">and sources </w:t>
      </w:r>
      <w:r w:rsidR="00EA6ACB">
        <w:rPr>
          <w:rStyle w:val="yiv315943952343535721-12072011"/>
        </w:rPr>
        <w:t xml:space="preserve">and conditions </w:t>
      </w:r>
      <w:r w:rsidR="00674CC5" w:rsidRPr="007F4F67">
        <w:rPr>
          <w:rStyle w:val="yiv315943952343535721-12072011"/>
        </w:rPr>
        <w:t xml:space="preserve">of funding for participation </w:t>
      </w:r>
      <w:r w:rsidR="007C1F12">
        <w:t>are identified in</w:t>
      </w:r>
      <w:r w:rsidR="00A35C69">
        <w:t>,</w:t>
      </w:r>
      <w:r w:rsidR="00674CC5" w:rsidRPr="007F4F67">
        <w:t xml:space="preserve"> </w:t>
      </w:r>
      <w:r w:rsidR="00A35C69">
        <w:t>but limited to</w:t>
      </w:r>
      <w:r w:rsidR="00077DEB">
        <w:t>,</w:t>
      </w:r>
      <w:r w:rsidR="00A35C69">
        <w:t xml:space="preserve"> </w:t>
      </w:r>
      <w:r w:rsidR="00674CC5" w:rsidRPr="007F4F67">
        <w:t>the nomination process</w:t>
      </w:r>
      <w:r w:rsidR="00674CC5">
        <w:t>;</w:t>
      </w:r>
      <w:r w:rsidR="00674CC5" w:rsidRPr="007F4F67">
        <w:t xml:space="preserve"> </w:t>
      </w:r>
    </w:p>
    <w:p w14:paraId="2DA235B8" w14:textId="77777777" w:rsidR="00395B15" w:rsidRDefault="00395B15" w:rsidP="00395B15">
      <w:pPr>
        <w:pStyle w:val="Normalnumber"/>
        <w:tabs>
          <w:tab w:val="left" w:pos="567"/>
          <w:tab w:val="left" w:pos="1701"/>
        </w:tabs>
        <w:spacing w:after="0"/>
        <w:ind w:left="851"/>
      </w:pPr>
    </w:p>
    <w:p w14:paraId="42F38FF0" w14:textId="2A45FD3E" w:rsidR="00674CC5" w:rsidRDefault="00395B15" w:rsidP="00395B15">
      <w:pPr>
        <w:pStyle w:val="Normalnumber"/>
        <w:tabs>
          <w:tab w:val="left" w:pos="567"/>
          <w:tab w:val="left" w:pos="1701"/>
        </w:tabs>
        <w:spacing w:after="0"/>
        <w:ind w:left="851"/>
      </w:pPr>
      <w:r>
        <w:lastRenderedPageBreak/>
        <w:t>6.</w:t>
      </w:r>
      <w:r>
        <w:tab/>
      </w:r>
      <w:r w:rsidR="00674CC5">
        <w:t>That a</w:t>
      </w:r>
      <w:r w:rsidR="00674CC5" w:rsidRPr="007F4F67">
        <w:t xml:space="preserve">ll appointments to </w:t>
      </w:r>
      <w:r w:rsidR="00674CC5">
        <w:t>the Panel,</w:t>
      </w:r>
      <w:r w:rsidR="00674CC5" w:rsidRPr="007F4F67">
        <w:t xml:space="preserve"> and </w:t>
      </w:r>
      <w:r w:rsidR="00674CC5">
        <w:t>its technical options committees,</w:t>
      </w:r>
      <w:r w:rsidR="00674CC5" w:rsidRPr="007F4F67">
        <w:t xml:space="preserve"> including </w:t>
      </w:r>
      <w:r w:rsidR="00077DEB">
        <w:t xml:space="preserve">those </w:t>
      </w:r>
      <w:r w:rsidR="00674CC5">
        <w:t xml:space="preserve">of </w:t>
      </w:r>
      <w:r w:rsidR="00674CC5" w:rsidRPr="007F4F67">
        <w:t>co</w:t>
      </w:r>
      <w:r w:rsidR="00674CC5">
        <w:noBreakHyphen/>
      </w:r>
      <w:r w:rsidR="00674CC5" w:rsidRPr="007F4F67">
        <w:t>chairs, should be for a period of no more than four years</w:t>
      </w:r>
      <w:r w:rsidR="00674CC5">
        <w:t>;</w:t>
      </w:r>
      <w:r w:rsidR="00674CC5" w:rsidRPr="007F4F67">
        <w:t xml:space="preserve"> </w:t>
      </w:r>
    </w:p>
    <w:p w14:paraId="14E5B797" w14:textId="77777777" w:rsidR="00395B15" w:rsidRDefault="00395B15" w:rsidP="00395B15">
      <w:pPr>
        <w:pStyle w:val="Normalnumber"/>
        <w:tabs>
          <w:tab w:val="left" w:pos="567"/>
          <w:tab w:val="left" w:pos="1701"/>
        </w:tabs>
        <w:spacing w:after="0"/>
        <w:ind w:left="851"/>
      </w:pPr>
    </w:p>
    <w:p w14:paraId="4BC0E7AF" w14:textId="77777777" w:rsidR="00674CC5" w:rsidRDefault="00395B15" w:rsidP="00395B15">
      <w:pPr>
        <w:pStyle w:val="Normalnumber"/>
        <w:tabs>
          <w:tab w:val="left" w:pos="567"/>
          <w:tab w:val="left" w:pos="1701"/>
        </w:tabs>
        <w:spacing w:after="0"/>
        <w:ind w:left="851"/>
      </w:pPr>
      <w:r>
        <w:t>7.</w:t>
      </w:r>
      <w:r>
        <w:tab/>
      </w:r>
      <w:r w:rsidR="00674CC5">
        <w:t>That members of the</w:t>
      </w:r>
      <w:r w:rsidR="00674CC5" w:rsidRPr="007F4F67">
        <w:t xml:space="preserve"> </w:t>
      </w:r>
      <w:r w:rsidR="00674CC5">
        <w:t>Panel or of the technical options committee</w:t>
      </w:r>
      <w:r w:rsidR="00090CB3">
        <w:t xml:space="preserve"> </w:t>
      </w:r>
      <w:r w:rsidR="00674CC5">
        <w:t>may be re</w:t>
      </w:r>
      <w:r w:rsidR="00674CC5">
        <w:noBreakHyphen/>
        <w:t>nominated</w:t>
      </w:r>
      <w:r w:rsidR="00674CC5" w:rsidRPr="007F4F67">
        <w:t xml:space="preserve"> for additio</w:t>
      </w:r>
      <w:r w:rsidR="00674CC5">
        <w:t>nal periods of up to four years each</w:t>
      </w:r>
      <w:proofErr w:type="gramStart"/>
      <w:r w:rsidR="00674CC5">
        <w:t>;</w:t>
      </w:r>
      <w:proofErr w:type="gramEnd"/>
    </w:p>
    <w:p w14:paraId="4284F785" w14:textId="77777777" w:rsidR="00395B15" w:rsidRDefault="00395B15" w:rsidP="00395B15">
      <w:pPr>
        <w:pStyle w:val="Normalnumber"/>
        <w:tabs>
          <w:tab w:val="left" w:pos="567"/>
          <w:tab w:val="left" w:pos="1701"/>
        </w:tabs>
        <w:spacing w:after="0"/>
        <w:ind w:left="851"/>
      </w:pPr>
    </w:p>
    <w:p w14:paraId="02188615" w14:textId="64629717" w:rsidR="00674CC5" w:rsidRDefault="009F619A" w:rsidP="00395B15">
      <w:pPr>
        <w:pStyle w:val="Normalnumber"/>
        <w:tabs>
          <w:tab w:val="left" w:pos="567"/>
          <w:tab w:val="left" w:pos="1701"/>
        </w:tabs>
        <w:spacing w:after="0"/>
        <w:ind w:left="851"/>
      </w:pPr>
      <w:r>
        <w:t>8.</w:t>
      </w:r>
      <w:r>
        <w:tab/>
      </w:r>
      <w:r w:rsidR="00674CC5">
        <w:t xml:space="preserve">That the terms of all </w:t>
      </w:r>
      <w:r w:rsidR="00054A4F">
        <w:t xml:space="preserve">the members of the </w:t>
      </w:r>
      <w:r w:rsidR="00674CC5">
        <w:t xml:space="preserve">Panel </w:t>
      </w:r>
      <w:r w:rsidR="00EA6ACB">
        <w:t xml:space="preserve">and </w:t>
      </w:r>
      <w:r w:rsidR="00054A4F">
        <w:t>its</w:t>
      </w:r>
      <w:r w:rsidR="00EA6ACB">
        <w:t xml:space="preserve"> </w:t>
      </w:r>
      <w:r w:rsidR="00054A4F">
        <w:t>technical options committees</w:t>
      </w:r>
      <w:r w:rsidR="00EA6ACB">
        <w:t xml:space="preserve"> </w:t>
      </w:r>
      <w:r w:rsidR="00674CC5" w:rsidRPr="007F4F67">
        <w:t xml:space="preserve">shall </w:t>
      </w:r>
      <w:r w:rsidR="00674CC5">
        <w:t>otherwise expire at the end of 2013</w:t>
      </w:r>
      <w:r w:rsidR="00674CC5" w:rsidRPr="007F4F67">
        <w:t xml:space="preserve"> </w:t>
      </w:r>
      <w:r w:rsidR="00EA6ACB">
        <w:t xml:space="preserve">and 2014, respectively, </w:t>
      </w:r>
      <w:r w:rsidR="00674CC5">
        <w:t xml:space="preserve">in the absence of </w:t>
      </w:r>
      <w:r w:rsidR="00674CC5" w:rsidRPr="007F4F67">
        <w:t>reappointment by</w:t>
      </w:r>
      <w:r w:rsidR="00674CC5">
        <w:t xml:space="preserve"> the parties prior to that time, except for those experts </w:t>
      </w:r>
      <w:r w:rsidR="00705ECD">
        <w:t xml:space="preserve">that have </w:t>
      </w:r>
      <w:r w:rsidR="00054A4F">
        <w:t xml:space="preserve">already </w:t>
      </w:r>
      <w:r w:rsidR="00705ECD">
        <w:t xml:space="preserve">been </w:t>
      </w:r>
      <w:r w:rsidR="00674CC5">
        <w:t>nominated for four-year periods</w:t>
      </w:r>
      <w:r w:rsidR="00054A4F">
        <w:t xml:space="preserve"> in past decisions</w:t>
      </w:r>
      <w:r w:rsidR="00674CC5">
        <w:t>;</w:t>
      </w:r>
    </w:p>
    <w:p w14:paraId="01DC822A" w14:textId="77777777" w:rsidR="00395B15" w:rsidRDefault="00395B15" w:rsidP="00395B15">
      <w:pPr>
        <w:pStyle w:val="Normalnumber"/>
        <w:tabs>
          <w:tab w:val="left" w:pos="567"/>
          <w:tab w:val="left" w:pos="1701"/>
        </w:tabs>
        <w:spacing w:after="0"/>
        <w:ind w:left="851"/>
      </w:pPr>
    </w:p>
    <w:p w14:paraId="037A3106" w14:textId="6B56BD4D" w:rsidR="00674CC5" w:rsidRDefault="00395B15" w:rsidP="00395B15">
      <w:pPr>
        <w:pStyle w:val="Normalnumber"/>
        <w:tabs>
          <w:tab w:val="left" w:pos="567"/>
          <w:tab w:val="left" w:pos="1701"/>
        </w:tabs>
        <w:spacing w:after="0"/>
        <w:ind w:left="851"/>
      </w:pPr>
      <w:r>
        <w:t>9.</w:t>
      </w:r>
      <w:r>
        <w:tab/>
      </w:r>
      <w:r w:rsidR="00674CC5">
        <w:t xml:space="preserve">That Parties may revisit the status of </w:t>
      </w:r>
      <w:r w:rsidR="00054A4F">
        <w:t xml:space="preserve">the </w:t>
      </w:r>
      <w:r w:rsidR="00674CC5">
        <w:t xml:space="preserve">Panel and </w:t>
      </w:r>
      <w:r w:rsidR="00054A4F">
        <w:t xml:space="preserve">its </w:t>
      </w:r>
      <w:r w:rsidR="00674CC5">
        <w:t>technical options com</w:t>
      </w:r>
      <w:r w:rsidR="00054A4F">
        <w:t>mittee membership at the Twenty-F</w:t>
      </w:r>
      <w:r w:rsidR="00674CC5">
        <w:t xml:space="preserve">ifth </w:t>
      </w:r>
      <w:r w:rsidR="00054A4F">
        <w:t>and T</w:t>
      </w:r>
      <w:r w:rsidR="002A45D0">
        <w:t>wenty</w:t>
      </w:r>
      <w:r w:rsidR="00054A4F">
        <w:t>-S</w:t>
      </w:r>
      <w:r w:rsidR="002A45D0">
        <w:t xml:space="preserve">ixth </w:t>
      </w:r>
      <w:r w:rsidR="00674CC5">
        <w:t>Meeting</w:t>
      </w:r>
      <w:r w:rsidR="002A45D0">
        <w:t>s</w:t>
      </w:r>
      <w:r w:rsidR="00674CC5">
        <w:t xml:space="preserve"> of </w:t>
      </w:r>
      <w:r w:rsidR="00054A4F">
        <w:t xml:space="preserve">the </w:t>
      </w:r>
      <w:r w:rsidR="00674CC5">
        <w:t xml:space="preserve">Parties </w:t>
      </w:r>
      <w:r w:rsidR="002A45D0">
        <w:t xml:space="preserve">respectively </w:t>
      </w:r>
      <w:r w:rsidR="00674CC5">
        <w:t>if more time is needed by the Parties to submit nominations</w:t>
      </w:r>
      <w:proofErr w:type="gramStart"/>
      <w:r w:rsidR="00674CC5">
        <w:t>;</w:t>
      </w:r>
      <w:proofErr w:type="gramEnd"/>
    </w:p>
    <w:p w14:paraId="01B75A4B" w14:textId="77777777" w:rsidR="00395B15" w:rsidRDefault="00395B15" w:rsidP="00395B15">
      <w:pPr>
        <w:pStyle w:val="Normalnumber"/>
        <w:tabs>
          <w:tab w:val="left" w:pos="567"/>
          <w:tab w:val="left" w:pos="1701"/>
        </w:tabs>
        <w:spacing w:after="0"/>
        <w:ind w:left="851"/>
      </w:pPr>
    </w:p>
    <w:p w14:paraId="720F940C" w14:textId="26A9FC3C" w:rsidR="00674CC5" w:rsidRDefault="00395B15" w:rsidP="00395B15">
      <w:pPr>
        <w:pStyle w:val="Normalnumber"/>
        <w:tabs>
          <w:tab w:val="left" w:pos="567"/>
          <w:tab w:val="left" w:pos="1701"/>
        </w:tabs>
        <w:spacing w:after="0"/>
        <w:ind w:left="851"/>
      </w:pPr>
      <w:r>
        <w:t>10.</w:t>
      </w:r>
      <w:r>
        <w:tab/>
      </w:r>
      <w:r w:rsidR="00674CC5" w:rsidRPr="007F4F67">
        <w:t xml:space="preserve">To invite </w:t>
      </w:r>
      <w:r w:rsidR="00054A4F">
        <w:t xml:space="preserve">the </w:t>
      </w:r>
      <w:r w:rsidR="00674CC5" w:rsidRPr="007F4F67">
        <w:t xml:space="preserve">parties </w:t>
      </w:r>
      <w:r w:rsidR="00054A4F">
        <w:t xml:space="preserve">having co-chairs and members currently serving on the </w:t>
      </w:r>
      <w:r w:rsidR="00674CC5">
        <w:t xml:space="preserve">Panel and </w:t>
      </w:r>
      <w:r w:rsidR="00054A4F">
        <w:t xml:space="preserve">its </w:t>
      </w:r>
      <w:r w:rsidR="00674CC5">
        <w:t>technical options committee</w:t>
      </w:r>
      <w:r w:rsidR="00054A4F">
        <w:t>s</w:t>
      </w:r>
      <w:r w:rsidR="00674CC5" w:rsidRPr="007F4F67">
        <w:t xml:space="preserve"> to submit </w:t>
      </w:r>
      <w:r w:rsidR="00674CC5" w:rsidRPr="007F4F67">
        <w:rPr>
          <w:rStyle w:val="yiv315943952343535721-12072011"/>
        </w:rPr>
        <w:t>re</w:t>
      </w:r>
      <w:r w:rsidR="00674CC5">
        <w:rPr>
          <w:rStyle w:val="yiv315943952343535721-12072011"/>
        </w:rPr>
        <w:t>-</w:t>
      </w:r>
      <w:r w:rsidR="00674CC5" w:rsidRPr="007F4F67">
        <w:t xml:space="preserve">nominations </w:t>
      </w:r>
      <w:r w:rsidR="00674CC5">
        <w:t>for</w:t>
      </w:r>
      <w:r w:rsidR="00674CC5" w:rsidRPr="007F4F67">
        <w:t xml:space="preserve"> those </w:t>
      </w:r>
      <w:r w:rsidR="00674CC5">
        <w:t>experts in line with paragraph</w:t>
      </w:r>
      <w:r w:rsidR="00054A4F">
        <w:t>s</w:t>
      </w:r>
      <w:r w:rsidR="00674CC5">
        <w:t xml:space="preserve"> </w:t>
      </w:r>
      <w:r w:rsidR="00054A4F">
        <w:t>6, 7 and 8</w:t>
      </w:r>
      <w:r w:rsidR="00674CC5">
        <w:t xml:space="preserve"> of the present decision</w:t>
      </w:r>
      <w:r w:rsidR="00674CC5" w:rsidRPr="007F4F67">
        <w:t xml:space="preserve"> for consideration </w:t>
      </w:r>
      <w:r w:rsidR="002A45D0">
        <w:t xml:space="preserve">at </w:t>
      </w:r>
      <w:r w:rsidR="00674CC5">
        <w:t xml:space="preserve">Twenty-Fifth </w:t>
      </w:r>
      <w:r w:rsidR="00DD4F9B">
        <w:t>and T</w:t>
      </w:r>
      <w:r w:rsidR="002A45D0">
        <w:t>wenty</w:t>
      </w:r>
      <w:r w:rsidR="00DD4F9B">
        <w:t>-S</w:t>
      </w:r>
      <w:r w:rsidR="002A45D0">
        <w:t xml:space="preserve">ixth </w:t>
      </w:r>
      <w:r w:rsidR="00674CC5">
        <w:t>Meeting</w:t>
      </w:r>
      <w:r w:rsidR="002A45D0">
        <w:t>s</w:t>
      </w:r>
      <w:r w:rsidR="00674CC5">
        <w:t xml:space="preserve"> of the Parties</w:t>
      </w:r>
      <w:r w:rsidR="00DD4F9B">
        <w:t xml:space="preserve"> respectively</w:t>
      </w:r>
      <w:r w:rsidR="00674CC5" w:rsidRPr="007F4F67">
        <w:t>;</w:t>
      </w:r>
      <w:r w:rsidR="00674CC5">
        <w:t xml:space="preserve"> </w:t>
      </w:r>
    </w:p>
    <w:p w14:paraId="5AAF8834" w14:textId="77777777" w:rsidR="00395B15" w:rsidRDefault="00395B15" w:rsidP="00395B15">
      <w:pPr>
        <w:pStyle w:val="Normalnumber"/>
        <w:tabs>
          <w:tab w:val="left" w:pos="567"/>
          <w:tab w:val="left" w:pos="1701"/>
        </w:tabs>
        <w:spacing w:after="0"/>
        <w:ind w:left="851"/>
      </w:pPr>
    </w:p>
    <w:p w14:paraId="1B091D84" w14:textId="753A21E2" w:rsidR="00674CC5" w:rsidRDefault="00395B15" w:rsidP="00395B15">
      <w:pPr>
        <w:pStyle w:val="Normalnumber"/>
        <w:tabs>
          <w:tab w:val="left" w:pos="567"/>
          <w:tab w:val="left" w:pos="1701"/>
        </w:tabs>
        <w:spacing w:after="0"/>
        <w:ind w:left="851"/>
      </w:pPr>
      <w:r>
        <w:t>11.</w:t>
      </w:r>
      <w:r>
        <w:tab/>
      </w:r>
      <w:r w:rsidR="00674CC5">
        <w:t>That a decision of the parties is required to confirm any</w:t>
      </w:r>
      <w:r w:rsidR="00674CC5" w:rsidRPr="007F4F67">
        <w:t xml:space="preserve"> </w:t>
      </w:r>
      <w:r w:rsidR="007C1F12">
        <w:t>re</w:t>
      </w:r>
      <w:bookmarkStart w:id="0" w:name="_GoBack"/>
      <w:bookmarkEnd w:id="0"/>
      <w:r w:rsidR="007C1F12">
        <w:t>appointment</w:t>
      </w:r>
      <w:r w:rsidR="00674CC5" w:rsidRPr="007F4F67">
        <w:t xml:space="preserve"> to </w:t>
      </w:r>
      <w:r w:rsidR="00674CC5">
        <w:t>the Panel;</w:t>
      </w:r>
    </w:p>
    <w:p w14:paraId="47BE16A3" w14:textId="77777777" w:rsidR="00395B15" w:rsidRDefault="00395B15" w:rsidP="00395B15">
      <w:pPr>
        <w:pStyle w:val="Normalnumber"/>
        <w:tabs>
          <w:tab w:val="left" w:pos="567"/>
          <w:tab w:val="left" w:pos="1701"/>
        </w:tabs>
        <w:spacing w:after="0"/>
        <w:ind w:left="851"/>
      </w:pPr>
    </w:p>
    <w:p w14:paraId="62774234" w14:textId="77777777" w:rsidR="00674CC5" w:rsidRDefault="00395B15" w:rsidP="00395B15">
      <w:pPr>
        <w:pStyle w:val="Normalnumber"/>
        <w:tabs>
          <w:tab w:val="left" w:pos="567"/>
          <w:tab w:val="left" w:pos="1701"/>
        </w:tabs>
        <w:spacing w:after="0"/>
        <w:ind w:left="851"/>
      </w:pPr>
      <w:r>
        <w:t>12.</w:t>
      </w:r>
      <w:r>
        <w:tab/>
      </w:r>
      <w:r w:rsidR="00674CC5">
        <w:t>That a decision of the parties is required to confirm a</w:t>
      </w:r>
      <w:r w:rsidR="00674CC5" w:rsidRPr="007F4F67">
        <w:t xml:space="preserve">ny </w:t>
      </w:r>
      <w:r w:rsidR="00674CC5">
        <w:t>temporary subsidiary body</w:t>
      </w:r>
      <w:r w:rsidR="00674CC5" w:rsidRPr="007F4F67">
        <w:t xml:space="preserve"> that exists for a period </w:t>
      </w:r>
      <w:r w:rsidR="00674CC5">
        <w:t>of more</w:t>
      </w:r>
      <w:r w:rsidR="00674CC5" w:rsidRPr="007F4F67">
        <w:t xml:space="preserve"> than one year</w:t>
      </w:r>
      <w:r w:rsidR="00674CC5">
        <w:t>;</w:t>
      </w:r>
    </w:p>
    <w:p w14:paraId="1433C0AD" w14:textId="77777777" w:rsidR="00395B15" w:rsidRDefault="00395B15" w:rsidP="00395B15">
      <w:pPr>
        <w:pStyle w:val="Normalnumber"/>
        <w:tabs>
          <w:tab w:val="left" w:pos="567"/>
          <w:tab w:val="left" w:pos="1701"/>
        </w:tabs>
        <w:spacing w:after="0"/>
        <w:ind w:left="851"/>
      </w:pPr>
    </w:p>
    <w:p w14:paraId="20736306" w14:textId="77777777" w:rsidR="00674CC5" w:rsidRDefault="00395B15" w:rsidP="00395B15">
      <w:pPr>
        <w:pStyle w:val="Normalnumber"/>
        <w:tabs>
          <w:tab w:val="left" w:pos="567"/>
          <w:tab w:val="left" w:pos="1701"/>
        </w:tabs>
        <w:spacing w:after="0"/>
        <w:ind w:left="851"/>
      </w:pPr>
      <w:r>
        <w:t>13.</w:t>
      </w:r>
      <w:r>
        <w:tab/>
      </w:r>
      <w:r w:rsidR="00674CC5" w:rsidRPr="007F4F67">
        <w:t>Th</w:t>
      </w:r>
      <w:r w:rsidR="00674CC5">
        <w:t>at th</w:t>
      </w:r>
      <w:r w:rsidR="00674CC5" w:rsidRPr="007F4F67">
        <w:t xml:space="preserve">e parties should confirm, every </w:t>
      </w:r>
      <w:r w:rsidR="00674CC5">
        <w:t>four</w:t>
      </w:r>
      <w:r w:rsidR="00674CC5" w:rsidRPr="007F4F67">
        <w:t xml:space="preserve"> years</w:t>
      </w:r>
      <w:r w:rsidR="00674CC5">
        <w:t>, beginning in 2012</w:t>
      </w:r>
      <w:r w:rsidR="00674CC5" w:rsidRPr="007F4F67">
        <w:t xml:space="preserve">, the list of </w:t>
      </w:r>
      <w:r w:rsidR="00674CC5">
        <w:t>technical options committees</w:t>
      </w:r>
      <w:r w:rsidR="00674CC5" w:rsidRPr="007F4F67">
        <w:t xml:space="preserve"> </w:t>
      </w:r>
      <w:r w:rsidR="00674CC5">
        <w:t>needed</w:t>
      </w:r>
      <w:r w:rsidR="00674CC5" w:rsidRPr="007F4F67">
        <w:t xml:space="preserve"> t</w:t>
      </w:r>
      <w:r w:rsidR="00674CC5">
        <w:t>o meet the parties’ requirements</w:t>
      </w:r>
      <w:proofErr w:type="gramStart"/>
      <w:r w:rsidR="00674CC5">
        <w:t>;</w:t>
      </w:r>
      <w:proofErr w:type="gramEnd"/>
    </w:p>
    <w:p w14:paraId="05AA9D2C" w14:textId="77777777" w:rsidR="00395B15" w:rsidRDefault="00395B15" w:rsidP="00395B15">
      <w:pPr>
        <w:pStyle w:val="Normalnumber"/>
        <w:tabs>
          <w:tab w:val="left" w:pos="567"/>
          <w:tab w:val="left" w:pos="1701"/>
        </w:tabs>
        <w:spacing w:after="0"/>
        <w:ind w:left="851"/>
      </w:pPr>
    </w:p>
    <w:p w14:paraId="7D5C591A" w14:textId="77777777" w:rsidR="00090CB3" w:rsidRDefault="00395B15" w:rsidP="00395B15">
      <w:pPr>
        <w:pStyle w:val="Normalnumber"/>
        <w:tabs>
          <w:tab w:val="left" w:pos="567"/>
          <w:tab w:val="left" w:pos="1701"/>
        </w:tabs>
        <w:spacing w:after="0"/>
        <w:ind w:left="851"/>
      </w:pPr>
      <w:r>
        <w:t>14.</w:t>
      </w:r>
      <w:r>
        <w:tab/>
      </w:r>
      <w:r w:rsidR="00674CC5">
        <w:t xml:space="preserve">That the Ozone Secretariat </w:t>
      </w:r>
      <w:r w:rsidR="00CE4557">
        <w:t xml:space="preserve">should </w:t>
      </w:r>
      <w:r w:rsidR="00427A5F">
        <w:t xml:space="preserve">attend the meetings of the Panel </w:t>
      </w:r>
      <w:r w:rsidR="00AB5D44">
        <w:t xml:space="preserve">whenever </w:t>
      </w:r>
      <w:r w:rsidR="00CE4557">
        <w:t>possible and appropriate to</w:t>
      </w:r>
      <w:r w:rsidR="00427A5F">
        <w:t xml:space="preserve"> </w:t>
      </w:r>
      <w:r w:rsidR="00CC549B">
        <w:t xml:space="preserve">provide ongoing institutional advice </w:t>
      </w:r>
      <w:r w:rsidR="00427A5F">
        <w:t xml:space="preserve">in administrative issues when </w:t>
      </w:r>
      <w:r w:rsidR="00CC549B">
        <w:t>necessary</w:t>
      </w:r>
      <w:r w:rsidR="00090CB3">
        <w:t>;</w:t>
      </w:r>
    </w:p>
    <w:p w14:paraId="5AD33C85" w14:textId="77777777" w:rsidR="00395B15" w:rsidRDefault="00395B15" w:rsidP="00395B15">
      <w:pPr>
        <w:pStyle w:val="Normalnumber"/>
        <w:tabs>
          <w:tab w:val="left" w:pos="567"/>
          <w:tab w:val="left" w:pos="1701"/>
        </w:tabs>
        <w:spacing w:after="0"/>
        <w:ind w:left="851"/>
      </w:pPr>
    </w:p>
    <w:p w14:paraId="74C5A0BE" w14:textId="61FE6F78" w:rsidR="00674CC5" w:rsidRDefault="00395B15" w:rsidP="00395B15">
      <w:pPr>
        <w:pStyle w:val="Normalnumber"/>
        <w:tabs>
          <w:tab w:val="left" w:pos="567"/>
          <w:tab w:val="left" w:pos="1701"/>
        </w:tabs>
        <w:spacing w:after="0"/>
        <w:ind w:left="851"/>
      </w:pPr>
      <w:r>
        <w:t>15.</w:t>
      </w:r>
      <w:r>
        <w:tab/>
      </w:r>
      <w:r w:rsidR="00674CC5">
        <w:t>To request</w:t>
      </w:r>
      <w:r w:rsidR="00674CC5" w:rsidRPr="007F4F67">
        <w:t xml:space="preserve"> </w:t>
      </w:r>
      <w:r w:rsidR="00674CC5">
        <w:t>the Panel</w:t>
      </w:r>
      <w:r w:rsidR="00674CC5" w:rsidRPr="007F4F67">
        <w:t xml:space="preserve"> to ensure that all new </w:t>
      </w:r>
      <w:r w:rsidR="00674CC5">
        <w:t xml:space="preserve">technical options committee </w:t>
      </w:r>
      <w:r w:rsidR="00674CC5" w:rsidRPr="007F4F67">
        <w:t xml:space="preserve">members are properly informed of the </w:t>
      </w:r>
      <w:r w:rsidR="00674CC5">
        <w:t>Panel’s</w:t>
      </w:r>
      <w:r w:rsidR="00674CC5" w:rsidRPr="007F4F67">
        <w:t xml:space="preserve"> terms of reference, </w:t>
      </w:r>
      <w:r w:rsidR="00077DEB">
        <w:t xml:space="preserve">its code of conduct </w:t>
      </w:r>
      <w:r w:rsidR="00674CC5">
        <w:t xml:space="preserve">contained in the </w:t>
      </w:r>
      <w:r w:rsidR="00077DEB">
        <w:t>Panel’s terms of reference</w:t>
      </w:r>
      <w:r w:rsidR="00674CC5">
        <w:t xml:space="preserve"> </w:t>
      </w:r>
      <w:r w:rsidR="00674CC5" w:rsidRPr="007F4F67">
        <w:t>re</w:t>
      </w:r>
      <w:r w:rsidR="00674CC5">
        <w:t>levant decisions of the parties, and</w:t>
      </w:r>
      <w:r w:rsidR="00674CC5" w:rsidRPr="007F4F67">
        <w:t xml:space="preserve"> </w:t>
      </w:r>
      <w:r w:rsidR="00674CC5">
        <w:t>Panel</w:t>
      </w:r>
      <w:r w:rsidR="00674CC5" w:rsidRPr="007F4F67">
        <w:t xml:space="preserve"> operational procedures</w:t>
      </w:r>
      <w:r w:rsidR="00674CC5">
        <w:t xml:space="preserve"> and are requested to abide by this guidance;</w:t>
      </w:r>
    </w:p>
    <w:p w14:paraId="5CB47E7A" w14:textId="77777777" w:rsidR="00395B15" w:rsidRDefault="00395B15" w:rsidP="00395B15">
      <w:pPr>
        <w:pStyle w:val="Normalnumber"/>
        <w:tabs>
          <w:tab w:val="left" w:pos="567"/>
          <w:tab w:val="left" w:pos="1701"/>
        </w:tabs>
        <w:spacing w:after="0"/>
        <w:ind w:left="851"/>
      </w:pPr>
    </w:p>
    <w:p w14:paraId="1364E610" w14:textId="75CDE535" w:rsidR="00674CC5" w:rsidRDefault="00395B15" w:rsidP="00395B15">
      <w:pPr>
        <w:pStyle w:val="Normalnumber"/>
        <w:tabs>
          <w:tab w:val="left" w:pos="567"/>
          <w:tab w:val="left" w:pos="1701"/>
        </w:tabs>
        <w:spacing w:after="0"/>
        <w:ind w:left="851"/>
      </w:pPr>
      <w:r>
        <w:t>16.</w:t>
      </w:r>
      <w:r>
        <w:tab/>
      </w:r>
      <w:r w:rsidR="00674CC5">
        <w:t xml:space="preserve">To request the Panel to </w:t>
      </w:r>
      <w:r w:rsidR="001F65A5">
        <w:t>revise</w:t>
      </w:r>
      <w:r w:rsidR="00674CC5">
        <w:t xml:space="preserve"> its draft guidelines on recusal, taking into account similar guidelines in other multilateral </w:t>
      </w:r>
      <w:proofErr w:type="spellStart"/>
      <w:r w:rsidR="00674CC5">
        <w:t>fora</w:t>
      </w:r>
      <w:proofErr w:type="spellEnd"/>
      <w:r w:rsidR="00674CC5">
        <w:t>, and provide them to</w:t>
      </w:r>
      <w:r w:rsidR="00077DEB" w:rsidRPr="00077DEB">
        <w:t xml:space="preserve"> </w:t>
      </w:r>
      <w:r w:rsidR="00077DEB">
        <w:t xml:space="preserve">Open-ended Working Group at its thirty-second meeting </w:t>
      </w:r>
      <w:r w:rsidR="00674CC5">
        <w:t>for consideration</w:t>
      </w:r>
      <w:r w:rsidR="00DD4F9B">
        <w:t xml:space="preserve"> by the Parties</w:t>
      </w:r>
      <w:r w:rsidR="00674CC5">
        <w:t>;</w:t>
      </w:r>
    </w:p>
    <w:p w14:paraId="20DAC231" w14:textId="77777777" w:rsidR="00395B15" w:rsidRDefault="00395B15" w:rsidP="00395B15">
      <w:pPr>
        <w:pStyle w:val="Normalnumber"/>
        <w:tabs>
          <w:tab w:val="left" w:pos="567"/>
          <w:tab w:val="left" w:pos="1701"/>
        </w:tabs>
        <w:spacing w:after="0"/>
        <w:ind w:left="851"/>
      </w:pPr>
    </w:p>
    <w:p w14:paraId="03588521" w14:textId="531C2232" w:rsidR="000A36CE" w:rsidRPr="00B44672" w:rsidRDefault="00395B15" w:rsidP="00395B15">
      <w:pPr>
        <w:pStyle w:val="Normalnumber"/>
        <w:tabs>
          <w:tab w:val="left" w:pos="567"/>
          <w:tab w:val="left" w:pos="1701"/>
        </w:tabs>
        <w:spacing w:after="0"/>
        <w:ind w:left="851"/>
        <w:rPr>
          <w:strike/>
        </w:rPr>
      </w:pPr>
      <w:r>
        <w:t>17.</w:t>
      </w:r>
      <w:r>
        <w:tab/>
      </w:r>
      <w:r w:rsidR="000E6C65" w:rsidRPr="000E6C65">
        <w:t>To request the P</w:t>
      </w:r>
      <w:r w:rsidR="000A36CE" w:rsidRPr="00B44672">
        <w:t xml:space="preserve">anel </w:t>
      </w:r>
      <w:r w:rsidR="000A36CE" w:rsidRPr="000A36CE">
        <w:t>to</w:t>
      </w:r>
      <w:r w:rsidR="000A36CE">
        <w:t xml:space="preserve"> prepare guidelines</w:t>
      </w:r>
      <w:r w:rsidR="00636787">
        <w:t>,</w:t>
      </w:r>
      <w:r w:rsidR="000A36CE">
        <w:t xml:space="preserve"> for the appointment of the </w:t>
      </w:r>
      <w:r w:rsidR="00DD4F9B">
        <w:t>c</w:t>
      </w:r>
      <w:r w:rsidR="000A36CE">
        <w:t>o-</w:t>
      </w:r>
      <w:r w:rsidR="00DD4F9B">
        <w:t>c</w:t>
      </w:r>
      <w:r w:rsidR="000A36CE">
        <w:t xml:space="preserve">hairs </w:t>
      </w:r>
      <w:r w:rsidR="00DD4F9B">
        <w:t xml:space="preserve">of the Panel </w:t>
      </w:r>
      <w:r w:rsidR="000A36CE">
        <w:t xml:space="preserve">and to provide them to </w:t>
      </w:r>
      <w:r w:rsidR="00077DEB">
        <w:t>Open-ended Working Group at its thirty-second meeting</w:t>
      </w:r>
      <w:r w:rsidR="000A36CE">
        <w:t xml:space="preserve"> for consideration </w:t>
      </w:r>
      <w:r w:rsidR="00DD4F9B">
        <w:t>by</w:t>
      </w:r>
      <w:r w:rsidR="000A36CE">
        <w:t xml:space="preserve"> the Parties</w:t>
      </w:r>
      <w:r w:rsidR="00DD4F9B">
        <w:t>;</w:t>
      </w:r>
    </w:p>
    <w:p w14:paraId="75F806B8" w14:textId="77777777" w:rsidR="00395B15" w:rsidRDefault="00395B15" w:rsidP="00395B15">
      <w:pPr>
        <w:pStyle w:val="Normalnumber"/>
        <w:tabs>
          <w:tab w:val="left" w:pos="567"/>
          <w:tab w:val="left" w:pos="1701"/>
        </w:tabs>
        <w:spacing w:after="0"/>
        <w:ind w:left="851"/>
        <w:rPr>
          <w:rFonts w:ascii="TimesNewRomanPSMT" w:hAnsi="TimesNewRomanPSMT" w:cs="TimesNewRomanPSMT"/>
          <w:color w:val="000000"/>
          <w:szCs w:val="20"/>
          <w:lang w:eastAsia="en-US"/>
        </w:rPr>
      </w:pPr>
    </w:p>
    <w:p w14:paraId="4726C8D7" w14:textId="078F5CC0" w:rsidR="00636787" w:rsidRPr="00B44672" w:rsidRDefault="00395B15" w:rsidP="00395B15">
      <w:pPr>
        <w:pStyle w:val="Normalnumber"/>
        <w:tabs>
          <w:tab w:val="left" w:pos="567"/>
          <w:tab w:val="left" w:pos="1701"/>
        </w:tabs>
        <w:spacing w:after="0"/>
        <w:ind w:left="851"/>
        <w:rPr>
          <w:strike/>
        </w:rPr>
      </w:pPr>
      <w:r>
        <w:rPr>
          <w:rFonts w:ascii="TimesNewRomanPSMT" w:hAnsi="TimesNewRomanPSMT" w:cs="TimesNewRomanPSMT"/>
          <w:color w:val="000000"/>
          <w:szCs w:val="20"/>
          <w:lang w:eastAsia="en-US"/>
        </w:rPr>
        <w:t>18.</w:t>
      </w:r>
      <w:r>
        <w:rPr>
          <w:rFonts w:ascii="TimesNewRomanPSMT" w:hAnsi="TimesNewRomanPSMT" w:cs="TimesNewRomanPSMT"/>
          <w:color w:val="000000"/>
          <w:szCs w:val="20"/>
          <w:lang w:eastAsia="en-US"/>
        </w:rPr>
        <w:tab/>
      </w:r>
      <w:r w:rsidR="000A36CE">
        <w:rPr>
          <w:rFonts w:ascii="TimesNewRomanPSMT" w:hAnsi="TimesNewRomanPSMT" w:cs="TimesNewRomanPSMT"/>
          <w:color w:val="000000"/>
          <w:szCs w:val="20"/>
          <w:lang w:eastAsia="en-US"/>
        </w:rPr>
        <w:t>To request the Panel to consider the number of members of each of its subsidiary bodies to ensure that their membership is</w:t>
      </w:r>
      <w:r w:rsidR="000E6C65">
        <w:rPr>
          <w:rFonts w:ascii="TimesNewRomanPSMT" w:hAnsi="TimesNewRomanPSMT" w:cs="TimesNewRomanPSMT"/>
          <w:color w:val="000000"/>
          <w:szCs w:val="20"/>
          <w:lang w:eastAsia="en-US"/>
        </w:rPr>
        <w:t xml:space="preserve"> consistent with each of the </w:t>
      </w:r>
      <w:r w:rsidR="00DD4F9B">
        <w:rPr>
          <w:rFonts w:ascii="TimesNewRomanPSMT" w:hAnsi="TimesNewRomanPSMT" w:cs="TimesNewRomanPSMT"/>
          <w:color w:val="000000"/>
          <w:szCs w:val="20"/>
          <w:lang w:eastAsia="en-US"/>
        </w:rPr>
        <w:t>subsidiary bodies’</w:t>
      </w:r>
      <w:r w:rsidR="000A36CE">
        <w:rPr>
          <w:rFonts w:ascii="TimesNewRomanPSMT" w:hAnsi="TimesNewRomanPSMT" w:cs="TimesNewRomanPSMT"/>
          <w:color w:val="000000"/>
          <w:szCs w:val="20"/>
          <w:lang w:eastAsia="en-US"/>
        </w:rPr>
        <w:t xml:space="preserve"> workload and to propose </w:t>
      </w:r>
      <w:r w:rsidR="000E6C65">
        <w:rPr>
          <w:rFonts w:ascii="TimesNewRomanPSMT" w:hAnsi="TimesNewRomanPSMT" w:cs="TimesNewRomanPSMT"/>
          <w:color w:val="000000"/>
          <w:szCs w:val="20"/>
          <w:lang w:eastAsia="en-US"/>
        </w:rPr>
        <w:t xml:space="preserve">revision to their numbers to </w:t>
      </w:r>
      <w:r w:rsidR="000A36CE">
        <w:rPr>
          <w:rFonts w:ascii="TimesNewRomanPSMT" w:hAnsi="TimesNewRomanPSMT" w:cs="TimesNewRomanPSMT"/>
          <w:color w:val="000000"/>
          <w:szCs w:val="20"/>
          <w:lang w:eastAsia="en-US"/>
        </w:rPr>
        <w:t xml:space="preserve">the </w:t>
      </w:r>
      <w:r w:rsidR="00077DEB">
        <w:t>Open-ended Working Group at its thirty-second meeting</w:t>
      </w:r>
      <w:r w:rsidR="000A36CE">
        <w:rPr>
          <w:rFonts w:ascii="TimesNewRomanPSMT" w:hAnsi="TimesNewRomanPSMT" w:cs="TimesNewRomanPSMT"/>
          <w:color w:val="000000"/>
          <w:szCs w:val="20"/>
          <w:lang w:eastAsia="en-US"/>
        </w:rPr>
        <w:t xml:space="preserve"> for the consideration of the Parties, taking into </w:t>
      </w:r>
      <w:r w:rsidR="0077081A">
        <w:rPr>
          <w:rFonts w:ascii="TimesNewRomanPSMT" w:hAnsi="TimesNewRomanPSMT" w:cs="TimesNewRomanPSMT"/>
          <w:color w:val="000000"/>
          <w:szCs w:val="20"/>
          <w:lang w:eastAsia="en-US"/>
        </w:rPr>
        <w:t>account</w:t>
      </w:r>
      <w:r w:rsidR="000A36CE">
        <w:rPr>
          <w:rFonts w:ascii="TimesNewRomanPSMT" w:hAnsi="TimesNewRomanPSMT" w:cs="TimesNewRomanPSMT"/>
          <w:color w:val="000000"/>
          <w:szCs w:val="20"/>
          <w:lang w:eastAsia="en-US"/>
        </w:rPr>
        <w:t xml:space="preserve"> the need for geographical balance in accordance with decision VII/34</w:t>
      </w:r>
      <w:r w:rsidR="0077081A">
        <w:rPr>
          <w:rFonts w:ascii="TimesNewRomanPSMT" w:hAnsi="TimesNewRomanPSMT" w:cs="TimesNewRomanPSMT"/>
          <w:color w:val="000000"/>
          <w:szCs w:val="20"/>
          <w:lang w:eastAsia="en-US"/>
        </w:rPr>
        <w:t>;</w:t>
      </w:r>
      <w:r w:rsidR="00636787">
        <w:rPr>
          <w:rFonts w:ascii="TimesNewRomanPSMT" w:hAnsi="TimesNewRomanPSMT" w:cs="TimesNewRomanPSMT"/>
          <w:color w:val="000000"/>
          <w:szCs w:val="20"/>
          <w:lang w:eastAsia="en-US"/>
        </w:rPr>
        <w:t xml:space="preserve"> </w:t>
      </w:r>
    </w:p>
    <w:p w14:paraId="35F3ADA8" w14:textId="77777777" w:rsidR="00395B15" w:rsidRDefault="00395B15" w:rsidP="00395B15">
      <w:pPr>
        <w:pStyle w:val="Normalnumber"/>
        <w:tabs>
          <w:tab w:val="left" w:pos="567"/>
          <w:tab w:val="left" w:pos="1701"/>
        </w:tabs>
        <w:spacing w:after="0"/>
        <w:ind w:left="851"/>
        <w:rPr>
          <w:rFonts w:ascii="TimesNewRomanPSMT" w:hAnsi="TimesNewRomanPSMT" w:cs="TimesNewRomanPSMT"/>
          <w:color w:val="000000"/>
          <w:szCs w:val="20"/>
          <w:lang w:eastAsia="en-US"/>
        </w:rPr>
      </w:pPr>
    </w:p>
    <w:p w14:paraId="6059DFCB" w14:textId="5D4A9037" w:rsidR="000A36CE" w:rsidRDefault="00395B15" w:rsidP="00395B15">
      <w:pPr>
        <w:pStyle w:val="Normalnumber"/>
        <w:tabs>
          <w:tab w:val="left" w:pos="567"/>
          <w:tab w:val="left" w:pos="1701"/>
        </w:tabs>
        <w:spacing w:after="0"/>
        <w:ind w:left="851"/>
        <w:rPr>
          <w:strike/>
        </w:rPr>
      </w:pPr>
      <w:r>
        <w:rPr>
          <w:rFonts w:ascii="TimesNewRomanPSMT" w:hAnsi="TimesNewRomanPSMT" w:cs="TimesNewRomanPSMT"/>
          <w:color w:val="000000"/>
          <w:szCs w:val="20"/>
          <w:lang w:eastAsia="en-US"/>
        </w:rPr>
        <w:t>19.</w:t>
      </w:r>
      <w:r>
        <w:rPr>
          <w:rFonts w:ascii="TimesNewRomanPSMT" w:hAnsi="TimesNewRomanPSMT" w:cs="TimesNewRomanPSMT"/>
          <w:color w:val="000000"/>
          <w:szCs w:val="20"/>
          <w:lang w:eastAsia="en-US"/>
        </w:rPr>
        <w:tab/>
      </w:r>
      <w:r w:rsidR="000A36CE">
        <w:rPr>
          <w:rFonts w:ascii="TimesNewRomanPSMT" w:hAnsi="TimesNewRomanPSMT" w:cs="TimesNewRomanPSMT"/>
          <w:color w:val="000000"/>
          <w:szCs w:val="20"/>
          <w:lang w:eastAsia="en-US"/>
        </w:rPr>
        <w:t>To r</w:t>
      </w:r>
      <w:r w:rsidR="00077DEB">
        <w:rPr>
          <w:rFonts w:ascii="TimesNewRomanPSMT" w:hAnsi="TimesNewRomanPSMT" w:cs="TimesNewRomanPSMT"/>
          <w:color w:val="000000"/>
          <w:szCs w:val="20"/>
          <w:lang w:eastAsia="en-US"/>
        </w:rPr>
        <w:t>equest the Panel to update its terms of reference</w:t>
      </w:r>
      <w:r w:rsidR="000A36CE">
        <w:rPr>
          <w:rFonts w:ascii="TimesNewRomanPSMT" w:hAnsi="TimesNewRomanPSMT" w:cs="TimesNewRomanPSMT"/>
          <w:color w:val="000000"/>
          <w:szCs w:val="20"/>
          <w:lang w:eastAsia="en-US"/>
        </w:rPr>
        <w:t xml:space="preserve"> in accordance with this decision </w:t>
      </w:r>
      <w:r w:rsidR="000E6C65">
        <w:rPr>
          <w:rFonts w:ascii="TimesNewRomanPSMT" w:hAnsi="TimesNewRomanPSMT" w:cs="TimesNewRomanPSMT"/>
          <w:color w:val="000000"/>
          <w:szCs w:val="20"/>
          <w:lang w:eastAsia="en-US"/>
        </w:rPr>
        <w:t xml:space="preserve">and submit it </w:t>
      </w:r>
      <w:r w:rsidR="000A36CE">
        <w:rPr>
          <w:rFonts w:ascii="TimesNewRomanPSMT" w:hAnsi="TimesNewRomanPSMT" w:cs="TimesNewRomanPSMT"/>
          <w:color w:val="000000"/>
          <w:szCs w:val="20"/>
          <w:lang w:eastAsia="en-US"/>
        </w:rPr>
        <w:t xml:space="preserve">to the </w:t>
      </w:r>
      <w:r w:rsidR="00077DEB">
        <w:t>Open-ended Working Group at its thirty-second meeting</w:t>
      </w:r>
      <w:r w:rsidR="0077081A">
        <w:rPr>
          <w:rFonts w:ascii="TimesNewRomanPSMT" w:hAnsi="TimesNewRomanPSMT" w:cs="TimesNewRomanPSMT"/>
          <w:color w:val="000000"/>
          <w:szCs w:val="20"/>
          <w:lang w:eastAsia="en-US"/>
        </w:rPr>
        <w:t xml:space="preserve"> for </w:t>
      </w:r>
      <w:r w:rsidR="000A36CE">
        <w:rPr>
          <w:rFonts w:ascii="TimesNewRomanPSMT" w:hAnsi="TimesNewRomanPSMT" w:cs="TimesNewRomanPSMT"/>
          <w:color w:val="000000"/>
          <w:szCs w:val="20"/>
          <w:lang w:eastAsia="en-US"/>
        </w:rPr>
        <w:t xml:space="preserve">consideration </w:t>
      </w:r>
      <w:r w:rsidR="000E6C65">
        <w:rPr>
          <w:rFonts w:ascii="TimesNewRomanPSMT" w:hAnsi="TimesNewRomanPSMT" w:cs="TimesNewRomanPSMT"/>
          <w:color w:val="000000"/>
          <w:szCs w:val="20"/>
          <w:lang w:eastAsia="en-US"/>
        </w:rPr>
        <w:t>by the Parties</w:t>
      </w:r>
      <w:r w:rsidR="0077081A">
        <w:rPr>
          <w:rFonts w:ascii="TimesNewRomanPSMT" w:hAnsi="TimesNewRomanPSMT" w:cs="TimesNewRomanPSMT"/>
          <w:color w:val="000000"/>
          <w:szCs w:val="20"/>
          <w:lang w:eastAsia="en-US"/>
        </w:rPr>
        <w:t>;</w:t>
      </w:r>
    </w:p>
    <w:p w14:paraId="72EB5FCF" w14:textId="77777777" w:rsidR="00395B15" w:rsidRDefault="00395B15" w:rsidP="00395B15">
      <w:pPr>
        <w:pStyle w:val="Normalnumber"/>
        <w:tabs>
          <w:tab w:val="left" w:pos="567"/>
          <w:tab w:val="left" w:pos="1701"/>
        </w:tabs>
        <w:spacing w:after="0"/>
        <w:ind w:left="851"/>
      </w:pPr>
    </w:p>
    <w:p w14:paraId="4AC78C13" w14:textId="3ADCA5BB" w:rsidR="00636787" w:rsidRPr="00B44672" w:rsidRDefault="00395B15" w:rsidP="00395B15">
      <w:pPr>
        <w:pStyle w:val="Normalnumber"/>
        <w:tabs>
          <w:tab w:val="left" w:pos="567"/>
          <w:tab w:val="left" w:pos="1701"/>
        </w:tabs>
        <w:spacing w:after="0"/>
        <w:ind w:left="851"/>
      </w:pPr>
      <w:r>
        <w:t>20.</w:t>
      </w:r>
      <w:r>
        <w:tab/>
      </w:r>
      <w:r w:rsidR="00636787">
        <w:t>To request the T</w:t>
      </w:r>
      <w:r w:rsidR="0077081A">
        <w:t>echnology and Economic Assessment Panel</w:t>
      </w:r>
      <w:r w:rsidR="00636787">
        <w:t xml:space="preserve"> not to apply the guidelines mentioned in paragraphs </w:t>
      </w:r>
      <w:r w:rsidR="0077081A">
        <w:t xml:space="preserve">17, 18 and 19 </w:t>
      </w:r>
      <w:r w:rsidR="00636787">
        <w:t xml:space="preserve">until </w:t>
      </w:r>
      <w:proofErr w:type="gramStart"/>
      <w:r w:rsidR="00636787">
        <w:t>they are approved by the Parties</w:t>
      </w:r>
      <w:proofErr w:type="gramEnd"/>
      <w:r w:rsidR="00636787">
        <w:t>.</w:t>
      </w:r>
    </w:p>
    <w:p w14:paraId="645582C0" w14:textId="77777777" w:rsidR="005500FA" w:rsidRDefault="005500FA" w:rsidP="00395B15">
      <w:pPr>
        <w:tabs>
          <w:tab w:val="left" w:pos="1701"/>
        </w:tabs>
        <w:ind w:left="851"/>
      </w:pPr>
    </w:p>
    <w:p w14:paraId="3F85F563" w14:textId="77777777" w:rsidR="00395B15" w:rsidRDefault="00395B15" w:rsidP="00395B15">
      <w:pPr>
        <w:tabs>
          <w:tab w:val="left" w:pos="1701"/>
        </w:tabs>
        <w:rPr>
          <w:rFonts w:asciiTheme="minorHAnsi" w:eastAsiaTheme="minorHAnsi" w:hAnsiTheme="minorHAnsi" w:cstheme="minorBidi"/>
          <w:sz w:val="22"/>
          <w:szCs w:val="22"/>
          <w:lang w:val="en-AU" w:eastAsia="en-US"/>
        </w:rPr>
      </w:pPr>
    </w:p>
    <w:sectPr w:rsidR="00395B15" w:rsidSect="00BE7A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35714B" w14:textId="77777777" w:rsidR="00DD4F9B" w:rsidRDefault="00DD4F9B" w:rsidP="005D0A88">
      <w:r>
        <w:separator/>
      </w:r>
    </w:p>
  </w:endnote>
  <w:endnote w:type="continuationSeparator" w:id="0">
    <w:p w14:paraId="0DF00B63" w14:textId="77777777" w:rsidR="00DD4F9B" w:rsidRDefault="00DD4F9B" w:rsidP="005D0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1DDE74" w14:textId="77777777" w:rsidR="00DD4F9B" w:rsidRDefault="00DD4F9B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5B7024" w14:textId="77777777" w:rsidR="00DD4F9B" w:rsidRDefault="00DD4F9B" w:rsidP="00BE7A67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C1F12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4554DF" w14:textId="77777777" w:rsidR="00DD4F9B" w:rsidRDefault="00DD4F9B" w:rsidP="005D0A88">
      <w:r>
        <w:separator/>
      </w:r>
    </w:p>
  </w:footnote>
  <w:footnote w:type="continuationSeparator" w:id="0">
    <w:p w14:paraId="189ED1E0" w14:textId="77777777" w:rsidR="00DD4F9B" w:rsidRDefault="00DD4F9B" w:rsidP="005D0A8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5DC0C" w14:textId="77777777" w:rsidR="00DD4F9B" w:rsidRPr="00AF1DE6" w:rsidRDefault="00DD4F9B">
    <w:pPr>
      <w:pStyle w:val="Header"/>
      <w:rPr>
        <w:szCs w:val="18"/>
      </w:rPr>
    </w:pPr>
    <w:r w:rsidRPr="00AF1DE6">
      <w:rPr>
        <w:szCs w:val="18"/>
      </w:rPr>
      <w:t>UNEP</w:t>
    </w:r>
    <w:r>
      <w:rPr>
        <w:szCs w:val="18"/>
      </w:rPr>
      <w:t>/OzL.Pro.WG.1/31/CRP.6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D6E1AF" w14:textId="77777777" w:rsidR="00DD4F9B" w:rsidRDefault="00DD4F9B" w:rsidP="00BE7A67">
    <w:pPr>
      <w:pStyle w:val="Header"/>
      <w:jc w:val="right"/>
    </w:pPr>
    <w:r>
      <w:t>UNON/DCS/ELU/TEMPLATE.1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D6122F" w14:textId="77777777" w:rsidR="00DD4F9B" w:rsidRDefault="00DD4F9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E5A93"/>
    <w:multiLevelType w:val="hybridMultilevel"/>
    <w:tmpl w:val="2AC41432"/>
    <w:lvl w:ilvl="0" w:tplc="04090001">
      <w:start w:val="1"/>
      <w:numFmt w:val="bullet"/>
      <w:lvlText w:val=""/>
      <w:lvlJc w:val="left"/>
      <w:pPr>
        <w:ind w:left="16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abstractNum w:abstractNumId="1">
    <w:nsid w:val="1FC75D23"/>
    <w:multiLevelType w:val="singleLevel"/>
    <w:tmpl w:val="CE3668CE"/>
    <w:lvl w:ilvl="0">
      <w:start w:val="1"/>
      <w:numFmt w:val="lowerLetter"/>
      <w:lvlText w:val="(%1)"/>
      <w:lvlJc w:val="left"/>
      <w:pPr>
        <w:tabs>
          <w:tab w:val="num" w:pos="1607"/>
        </w:tabs>
        <w:ind w:left="1607" w:hanging="360"/>
      </w:pPr>
      <w:rPr>
        <w:rFonts w:hint="default"/>
      </w:rPr>
    </w:lvl>
  </w:abstractNum>
  <w:abstractNum w:abstractNumId="2">
    <w:nsid w:val="45075FDB"/>
    <w:multiLevelType w:val="hybridMultilevel"/>
    <w:tmpl w:val="DC5A21C0"/>
    <w:lvl w:ilvl="0" w:tplc="56A431B2">
      <w:start w:val="19"/>
      <w:numFmt w:val="lowerLetter"/>
      <w:lvlText w:val="(%1)"/>
      <w:lvlJc w:val="left"/>
      <w:pPr>
        <w:ind w:left="2514" w:hanging="360"/>
      </w:pPr>
      <w:rPr>
        <w:rFonts w:ascii="TimesNewRomanPSMT" w:hAnsi="TimesNewRomanPSMT" w:cs="TimesNewRomanPSMT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3234" w:hanging="360"/>
      </w:pPr>
    </w:lvl>
    <w:lvl w:ilvl="2" w:tplc="0409001B" w:tentative="1">
      <w:start w:val="1"/>
      <w:numFmt w:val="lowerRoman"/>
      <w:lvlText w:val="%3."/>
      <w:lvlJc w:val="right"/>
      <w:pPr>
        <w:ind w:left="3954" w:hanging="180"/>
      </w:pPr>
    </w:lvl>
    <w:lvl w:ilvl="3" w:tplc="0409000F" w:tentative="1">
      <w:start w:val="1"/>
      <w:numFmt w:val="decimal"/>
      <w:lvlText w:val="%4."/>
      <w:lvlJc w:val="left"/>
      <w:pPr>
        <w:ind w:left="4674" w:hanging="360"/>
      </w:pPr>
    </w:lvl>
    <w:lvl w:ilvl="4" w:tplc="04090019" w:tentative="1">
      <w:start w:val="1"/>
      <w:numFmt w:val="lowerLetter"/>
      <w:lvlText w:val="%5."/>
      <w:lvlJc w:val="left"/>
      <w:pPr>
        <w:ind w:left="5394" w:hanging="360"/>
      </w:pPr>
    </w:lvl>
    <w:lvl w:ilvl="5" w:tplc="0409001B" w:tentative="1">
      <w:start w:val="1"/>
      <w:numFmt w:val="lowerRoman"/>
      <w:lvlText w:val="%6."/>
      <w:lvlJc w:val="right"/>
      <w:pPr>
        <w:ind w:left="6114" w:hanging="180"/>
      </w:pPr>
    </w:lvl>
    <w:lvl w:ilvl="6" w:tplc="0409000F" w:tentative="1">
      <w:start w:val="1"/>
      <w:numFmt w:val="decimal"/>
      <w:lvlText w:val="%7."/>
      <w:lvlJc w:val="left"/>
      <w:pPr>
        <w:ind w:left="6834" w:hanging="360"/>
      </w:pPr>
    </w:lvl>
    <w:lvl w:ilvl="7" w:tplc="04090019" w:tentative="1">
      <w:start w:val="1"/>
      <w:numFmt w:val="lowerLetter"/>
      <w:lvlText w:val="%8."/>
      <w:lvlJc w:val="left"/>
      <w:pPr>
        <w:ind w:left="7554" w:hanging="360"/>
      </w:pPr>
    </w:lvl>
    <w:lvl w:ilvl="8" w:tplc="0409001B" w:tentative="1">
      <w:start w:val="1"/>
      <w:numFmt w:val="lowerRoman"/>
      <w:lvlText w:val="%9."/>
      <w:lvlJc w:val="right"/>
      <w:pPr>
        <w:ind w:left="827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5A227109-F813-4778-BEAF-690C39013EA6}"/>
    <w:docVar w:name="dgnword-eventsink" w:val="34835408"/>
  </w:docVars>
  <w:rsids>
    <w:rsidRoot w:val="00674CC5"/>
    <w:rsid w:val="000158FC"/>
    <w:rsid w:val="00025D91"/>
    <w:rsid w:val="00054A4F"/>
    <w:rsid w:val="00077DEB"/>
    <w:rsid w:val="00090CB3"/>
    <w:rsid w:val="00092A43"/>
    <w:rsid w:val="000A36CE"/>
    <w:rsid w:val="000B3E2B"/>
    <w:rsid w:val="000C2011"/>
    <w:rsid w:val="000E6C65"/>
    <w:rsid w:val="001F65A5"/>
    <w:rsid w:val="00203FB7"/>
    <w:rsid w:val="002447B1"/>
    <w:rsid w:val="002550CC"/>
    <w:rsid w:val="002A45D0"/>
    <w:rsid w:val="002A5E21"/>
    <w:rsid w:val="002C3E7B"/>
    <w:rsid w:val="0033398A"/>
    <w:rsid w:val="00333B49"/>
    <w:rsid w:val="00384EE4"/>
    <w:rsid w:val="00395B15"/>
    <w:rsid w:val="003B535A"/>
    <w:rsid w:val="003D59F8"/>
    <w:rsid w:val="003F005D"/>
    <w:rsid w:val="004252CE"/>
    <w:rsid w:val="00427A5F"/>
    <w:rsid w:val="00432A0B"/>
    <w:rsid w:val="00520DB0"/>
    <w:rsid w:val="005500FA"/>
    <w:rsid w:val="0056501A"/>
    <w:rsid w:val="00580301"/>
    <w:rsid w:val="0058147D"/>
    <w:rsid w:val="005D0A88"/>
    <w:rsid w:val="00636787"/>
    <w:rsid w:val="00637AE7"/>
    <w:rsid w:val="00674CC5"/>
    <w:rsid w:val="006C1C32"/>
    <w:rsid w:val="006E493E"/>
    <w:rsid w:val="00705ECD"/>
    <w:rsid w:val="00725730"/>
    <w:rsid w:val="0077081A"/>
    <w:rsid w:val="007A0431"/>
    <w:rsid w:val="007A1C95"/>
    <w:rsid w:val="007B0757"/>
    <w:rsid w:val="007C1F12"/>
    <w:rsid w:val="00801316"/>
    <w:rsid w:val="00821100"/>
    <w:rsid w:val="0082351B"/>
    <w:rsid w:val="00870BCB"/>
    <w:rsid w:val="00883156"/>
    <w:rsid w:val="00885931"/>
    <w:rsid w:val="0094445E"/>
    <w:rsid w:val="00956D77"/>
    <w:rsid w:val="009F619A"/>
    <w:rsid w:val="009F7826"/>
    <w:rsid w:val="00A007CF"/>
    <w:rsid w:val="00A35C69"/>
    <w:rsid w:val="00A66B21"/>
    <w:rsid w:val="00A913BD"/>
    <w:rsid w:val="00AB5D44"/>
    <w:rsid w:val="00AE01AB"/>
    <w:rsid w:val="00B44672"/>
    <w:rsid w:val="00B569E7"/>
    <w:rsid w:val="00BB6E19"/>
    <w:rsid w:val="00BE7A67"/>
    <w:rsid w:val="00C2703F"/>
    <w:rsid w:val="00CB4E4F"/>
    <w:rsid w:val="00CC517C"/>
    <w:rsid w:val="00CC549B"/>
    <w:rsid w:val="00CE4557"/>
    <w:rsid w:val="00D13AF6"/>
    <w:rsid w:val="00D16A5A"/>
    <w:rsid w:val="00D84225"/>
    <w:rsid w:val="00DD4F9B"/>
    <w:rsid w:val="00E253C4"/>
    <w:rsid w:val="00EA6ACB"/>
    <w:rsid w:val="00F4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AFE0A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CC5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74C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674CC5"/>
    <w:rPr>
      <w:rFonts w:ascii="Times New Roman" w:hAnsi="Times New Roman"/>
      <w:b/>
      <w:sz w:val="18"/>
    </w:rPr>
  </w:style>
  <w:style w:type="paragraph" w:customStyle="1" w:styleId="Subtitle">
    <w:name w:val="Sub title"/>
    <w:basedOn w:val="Heading2"/>
    <w:rsid w:val="00674CC5"/>
    <w:pPr>
      <w:keepLines w:val="0"/>
      <w:spacing w:before="0"/>
      <w:ind w:left="1247"/>
    </w:pPr>
    <w:rPr>
      <w:rFonts w:ascii="Times New Roman" w:eastAsia="Times New Roman" w:hAnsi="Times New Roman" w:cs="Times New Roman"/>
      <w:bCs w:val="0"/>
      <w:color w:val="auto"/>
      <w:sz w:val="24"/>
      <w:szCs w:val="24"/>
    </w:rPr>
  </w:style>
  <w:style w:type="character" w:customStyle="1" w:styleId="yiv315943952343535721-12072011">
    <w:name w:val="yiv315943952343535721-12072011"/>
    <w:basedOn w:val="DefaultParagraphFont"/>
    <w:rsid w:val="00674CC5"/>
    <w:rPr>
      <w:rFonts w:ascii="Times New Roman" w:hAnsi="Times New Roman" w:cs="Times New Roman"/>
    </w:rPr>
  </w:style>
  <w:style w:type="paragraph" w:styleId="FootnoteText">
    <w:name w:val="footnote text"/>
    <w:aliases w:val="Fußnotentextf"/>
    <w:basedOn w:val="Normal"/>
    <w:link w:val="FootnoteTextChar"/>
    <w:semiHidden/>
    <w:rsid w:val="00674CC5"/>
    <w:pPr>
      <w:spacing w:before="20" w:after="40"/>
      <w:ind w:left="1247"/>
    </w:pPr>
    <w:rPr>
      <w:sz w:val="18"/>
    </w:rPr>
  </w:style>
  <w:style w:type="character" w:customStyle="1" w:styleId="FootnoteTextChar">
    <w:name w:val="Footnote Text Char"/>
    <w:aliases w:val="Fußnotentextf Char"/>
    <w:basedOn w:val="DefaultParagraphFont"/>
    <w:link w:val="FootnoteText"/>
    <w:semiHidden/>
    <w:rsid w:val="00674CC5"/>
    <w:rPr>
      <w:rFonts w:ascii="Times New Roman" w:eastAsia="Times New Roman" w:hAnsi="Times New Roman" w:cs="Times New Roman"/>
      <w:sz w:val="18"/>
      <w:szCs w:val="24"/>
      <w:lang w:val="en-GB" w:eastAsia="en-GB"/>
    </w:rPr>
  </w:style>
  <w:style w:type="paragraph" w:customStyle="1" w:styleId="BBTitle">
    <w:name w:val="BB_Title"/>
    <w:basedOn w:val="Normal"/>
    <w:rsid w:val="00674CC5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link w:val="FooterChar"/>
    <w:rsid w:val="00674CC5"/>
    <w:pPr>
      <w:tabs>
        <w:tab w:val="center" w:pos="4320"/>
        <w:tab w:val="right" w:pos="8640"/>
      </w:tabs>
      <w:spacing w:before="60" w:after="120"/>
    </w:pPr>
    <w:rPr>
      <w:sz w:val="18"/>
    </w:rPr>
  </w:style>
  <w:style w:type="character" w:customStyle="1" w:styleId="FooterChar">
    <w:name w:val="Footer Char"/>
    <w:basedOn w:val="DefaultParagraphFont"/>
    <w:link w:val="Footer"/>
    <w:rsid w:val="00674CC5"/>
    <w:rPr>
      <w:rFonts w:ascii="Times New Roman" w:eastAsia="Times New Roman" w:hAnsi="Times New Roman" w:cs="Times New Roman"/>
      <w:sz w:val="18"/>
      <w:szCs w:val="24"/>
      <w:lang w:val="en-GB" w:eastAsia="en-GB"/>
    </w:rPr>
  </w:style>
  <w:style w:type="paragraph" w:styleId="Header">
    <w:name w:val="header"/>
    <w:basedOn w:val="Normal"/>
    <w:link w:val="HeaderChar"/>
    <w:rsid w:val="00674CC5"/>
    <w:pPr>
      <w:pBdr>
        <w:bottom w:val="single" w:sz="4" w:space="1" w:color="auto"/>
      </w:pBdr>
      <w:tabs>
        <w:tab w:val="center" w:pos="4536"/>
        <w:tab w:val="right" w:pos="9072"/>
      </w:tabs>
      <w:spacing w:after="120"/>
    </w:pPr>
    <w:rPr>
      <w:b/>
      <w:sz w:val="18"/>
    </w:rPr>
  </w:style>
  <w:style w:type="character" w:customStyle="1" w:styleId="HeaderChar">
    <w:name w:val="Header Char"/>
    <w:basedOn w:val="DefaultParagraphFont"/>
    <w:link w:val="Header"/>
    <w:rsid w:val="00674CC5"/>
    <w:rPr>
      <w:rFonts w:ascii="Times New Roman" w:eastAsia="Times New Roman" w:hAnsi="Times New Roman" w:cs="Times New Roman"/>
      <w:b/>
      <w:sz w:val="18"/>
      <w:szCs w:val="24"/>
      <w:lang w:val="en-GB" w:eastAsia="en-GB"/>
    </w:rPr>
  </w:style>
  <w:style w:type="paragraph" w:customStyle="1" w:styleId="NormalNonumber">
    <w:name w:val="Normal_No_number"/>
    <w:basedOn w:val="Normal"/>
    <w:rsid w:val="00674CC5"/>
    <w:pPr>
      <w:spacing w:after="120"/>
      <w:ind w:left="1247"/>
    </w:pPr>
  </w:style>
  <w:style w:type="paragraph" w:customStyle="1" w:styleId="Normalnumber">
    <w:name w:val="Normal_number"/>
    <w:basedOn w:val="Normal"/>
    <w:rsid w:val="00674CC5"/>
    <w:pPr>
      <w:spacing w:after="120"/>
    </w:pPr>
    <w:rPr>
      <w:lang w:val="en-US"/>
    </w:rPr>
  </w:style>
  <w:style w:type="character" w:styleId="CommentReference">
    <w:name w:val="annotation reference"/>
    <w:basedOn w:val="DefaultParagraphFont"/>
    <w:rsid w:val="00674CC5"/>
    <w:rPr>
      <w:sz w:val="16"/>
      <w:szCs w:val="16"/>
    </w:rPr>
  </w:style>
  <w:style w:type="paragraph" w:styleId="CommentText">
    <w:name w:val="annotation text"/>
    <w:basedOn w:val="Normal"/>
    <w:link w:val="CommentTextChar"/>
    <w:rsid w:val="00674CC5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674CC5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74C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4C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CC5"/>
    <w:rPr>
      <w:rFonts w:ascii="Tahoma" w:eastAsia="Times New Roman" w:hAnsi="Tahoma" w:cs="Tahoma"/>
      <w:sz w:val="16"/>
      <w:szCs w:val="16"/>
      <w:lang w:val="en-GB" w:eastAsia="en-GB"/>
    </w:rPr>
  </w:style>
  <w:style w:type="paragraph" w:styleId="Revision">
    <w:name w:val="Revision"/>
    <w:hidden/>
    <w:uiPriority w:val="99"/>
    <w:semiHidden/>
    <w:rsid w:val="0094445E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4A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4A4F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CC5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74C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674CC5"/>
    <w:rPr>
      <w:rFonts w:ascii="Times New Roman" w:hAnsi="Times New Roman"/>
      <w:b/>
      <w:sz w:val="18"/>
    </w:rPr>
  </w:style>
  <w:style w:type="paragraph" w:customStyle="1" w:styleId="Subtitle">
    <w:name w:val="Sub title"/>
    <w:basedOn w:val="Heading2"/>
    <w:rsid w:val="00674CC5"/>
    <w:pPr>
      <w:keepLines w:val="0"/>
      <w:spacing w:before="0"/>
      <w:ind w:left="1247"/>
    </w:pPr>
    <w:rPr>
      <w:rFonts w:ascii="Times New Roman" w:eastAsia="Times New Roman" w:hAnsi="Times New Roman" w:cs="Times New Roman"/>
      <w:bCs w:val="0"/>
      <w:color w:val="auto"/>
      <w:sz w:val="24"/>
      <w:szCs w:val="24"/>
    </w:rPr>
  </w:style>
  <w:style w:type="character" w:customStyle="1" w:styleId="yiv315943952343535721-12072011">
    <w:name w:val="yiv315943952343535721-12072011"/>
    <w:basedOn w:val="DefaultParagraphFont"/>
    <w:rsid w:val="00674CC5"/>
    <w:rPr>
      <w:rFonts w:ascii="Times New Roman" w:hAnsi="Times New Roman" w:cs="Times New Roman"/>
    </w:rPr>
  </w:style>
  <w:style w:type="paragraph" w:styleId="FootnoteText">
    <w:name w:val="footnote text"/>
    <w:aliases w:val="Fußnotentextf"/>
    <w:basedOn w:val="Normal"/>
    <w:link w:val="FootnoteTextChar"/>
    <w:semiHidden/>
    <w:rsid w:val="00674CC5"/>
    <w:pPr>
      <w:spacing w:before="20" w:after="40"/>
      <w:ind w:left="1247"/>
    </w:pPr>
    <w:rPr>
      <w:sz w:val="18"/>
    </w:rPr>
  </w:style>
  <w:style w:type="character" w:customStyle="1" w:styleId="FootnoteTextChar">
    <w:name w:val="Footnote Text Char"/>
    <w:aliases w:val="Fußnotentextf Char"/>
    <w:basedOn w:val="DefaultParagraphFont"/>
    <w:link w:val="FootnoteText"/>
    <w:semiHidden/>
    <w:rsid w:val="00674CC5"/>
    <w:rPr>
      <w:rFonts w:ascii="Times New Roman" w:eastAsia="Times New Roman" w:hAnsi="Times New Roman" w:cs="Times New Roman"/>
      <w:sz w:val="18"/>
      <w:szCs w:val="24"/>
      <w:lang w:val="en-GB" w:eastAsia="en-GB"/>
    </w:rPr>
  </w:style>
  <w:style w:type="paragraph" w:customStyle="1" w:styleId="BBTitle">
    <w:name w:val="BB_Title"/>
    <w:basedOn w:val="Normal"/>
    <w:rsid w:val="00674CC5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link w:val="FooterChar"/>
    <w:rsid w:val="00674CC5"/>
    <w:pPr>
      <w:tabs>
        <w:tab w:val="center" w:pos="4320"/>
        <w:tab w:val="right" w:pos="8640"/>
      </w:tabs>
      <w:spacing w:before="60" w:after="120"/>
    </w:pPr>
    <w:rPr>
      <w:sz w:val="18"/>
    </w:rPr>
  </w:style>
  <w:style w:type="character" w:customStyle="1" w:styleId="FooterChar">
    <w:name w:val="Footer Char"/>
    <w:basedOn w:val="DefaultParagraphFont"/>
    <w:link w:val="Footer"/>
    <w:rsid w:val="00674CC5"/>
    <w:rPr>
      <w:rFonts w:ascii="Times New Roman" w:eastAsia="Times New Roman" w:hAnsi="Times New Roman" w:cs="Times New Roman"/>
      <w:sz w:val="18"/>
      <w:szCs w:val="24"/>
      <w:lang w:val="en-GB" w:eastAsia="en-GB"/>
    </w:rPr>
  </w:style>
  <w:style w:type="paragraph" w:styleId="Header">
    <w:name w:val="header"/>
    <w:basedOn w:val="Normal"/>
    <w:link w:val="HeaderChar"/>
    <w:rsid w:val="00674CC5"/>
    <w:pPr>
      <w:pBdr>
        <w:bottom w:val="single" w:sz="4" w:space="1" w:color="auto"/>
      </w:pBdr>
      <w:tabs>
        <w:tab w:val="center" w:pos="4536"/>
        <w:tab w:val="right" w:pos="9072"/>
      </w:tabs>
      <w:spacing w:after="120"/>
    </w:pPr>
    <w:rPr>
      <w:b/>
      <w:sz w:val="18"/>
    </w:rPr>
  </w:style>
  <w:style w:type="character" w:customStyle="1" w:styleId="HeaderChar">
    <w:name w:val="Header Char"/>
    <w:basedOn w:val="DefaultParagraphFont"/>
    <w:link w:val="Header"/>
    <w:rsid w:val="00674CC5"/>
    <w:rPr>
      <w:rFonts w:ascii="Times New Roman" w:eastAsia="Times New Roman" w:hAnsi="Times New Roman" w:cs="Times New Roman"/>
      <w:b/>
      <w:sz w:val="18"/>
      <w:szCs w:val="24"/>
      <w:lang w:val="en-GB" w:eastAsia="en-GB"/>
    </w:rPr>
  </w:style>
  <w:style w:type="paragraph" w:customStyle="1" w:styleId="NormalNonumber">
    <w:name w:val="Normal_No_number"/>
    <w:basedOn w:val="Normal"/>
    <w:rsid w:val="00674CC5"/>
    <w:pPr>
      <w:spacing w:after="120"/>
      <w:ind w:left="1247"/>
    </w:pPr>
  </w:style>
  <w:style w:type="paragraph" w:customStyle="1" w:styleId="Normalnumber">
    <w:name w:val="Normal_number"/>
    <w:basedOn w:val="Normal"/>
    <w:rsid w:val="00674CC5"/>
    <w:pPr>
      <w:spacing w:after="120"/>
    </w:pPr>
    <w:rPr>
      <w:lang w:val="en-US"/>
    </w:rPr>
  </w:style>
  <w:style w:type="character" w:styleId="CommentReference">
    <w:name w:val="annotation reference"/>
    <w:basedOn w:val="DefaultParagraphFont"/>
    <w:rsid w:val="00674CC5"/>
    <w:rPr>
      <w:sz w:val="16"/>
      <w:szCs w:val="16"/>
    </w:rPr>
  </w:style>
  <w:style w:type="paragraph" w:styleId="CommentText">
    <w:name w:val="annotation text"/>
    <w:basedOn w:val="Normal"/>
    <w:link w:val="CommentTextChar"/>
    <w:rsid w:val="00674CC5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674CC5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74C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4C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CC5"/>
    <w:rPr>
      <w:rFonts w:ascii="Tahoma" w:eastAsia="Times New Roman" w:hAnsi="Tahoma" w:cs="Tahoma"/>
      <w:sz w:val="16"/>
      <w:szCs w:val="16"/>
      <w:lang w:val="en-GB" w:eastAsia="en-GB"/>
    </w:rPr>
  </w:style>
  <w:style w:type="paragraph" w:styleId="Revision">
    <w:name w:val="Revision"/>
    <w:hidden/>
    <w:uiPriority w:val="99"/>
    <w:semiHidden/>
    <w:rsid w:val="0094445E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4A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4A4F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12" Type="http://schemas.openxmlformats.org/officeDocument/2006/relationships/header" Target="header3.xml"/><Relationship Id="rId7" Type="http://schemas.openxmlformats.org/officeDocument/2006/relationships/endnotes" Target="endnotes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1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1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88F80064028041A1D987DBDD6D48D6" ma:contentTypeVersion="0" ma:contentTypeDescription="Create a new document." ma:contentTypeScope="" ma:versionID="5f15139a2fa297e3e7b999ce24cb3e7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A4F362C-AC9F-49B0-8AB1-D35619FEAE15}"/>
</file>

<file path=customXml/itemProps2.xml><?xml version="1.0" encoding="utf-8"?>
<ds:datastoreItem xmlns:ds="http://schemas.openxmlformats.org/officeDocument/2006/customXml" ds:itemID="{C3625381-26A0-4DB7-B193-D95DE8DB6DC6}"/>
</file>

<file path=customXml/itemProps3.xml><?xml version="1.0" encoding="utf-8"?>
<ds:datastoreItem xmlns:ds="http://schemas.openxmlformats.org/officeDocument/2006/customXml" ds:itemID="{8FA42414-1630-442C-B05D-C3C73426961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1124</Words>
  <Characters>6049</Characters>
  <Application>Microsoft Macintosh Word</Application>
  <DocSecurity>0</DocSecurity>
  <Lines>549</Lines>
  <Paragraphs>265</Paragraphs>
  <ScaleCrop>false</ScaleCrop>
  <Company>DEWHA</Company>
  <LinksUpToDate>false</LinksUpToDate>
  <CharactersWithSpaces>6908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_</dc:creator>
  <cp:lastModifiedBy>meg seki</cp:lastModifiedBy>
  <cp:revision>3</cp:revision>
  <dcterms:created xsi:type="dcterms:W3CDTF">2011-11-23T12:23:00Z</dcterms:created>
  <dcterms:modified xsi:type="dcterms:W3CDTF">2011-11-24T14:10:00Z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0x010100E188F80064028041A1D987DBDD6D48D6</vt:lpwstr>
  </property>
</Properties>
</file>